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A26A" w14:textId="59B9D1FA" w:rsidR="00F24946" w:rsidRDefault="00EF7D0E" w:rsidP="00EF7D0E">
      <w:pPr>
        <w:pStyle w:val="Pagedecouverture"/>
        <w:rPr>
          <w:noProof/>
        </w:rPr>
      </w:pPr>
      <w:bookmarkStart w:id="0" w:name="LW_BM_COVERPAGE"/>
      <w:r>
        <w:rPr>
          <w:noProof/>
        </w:rPr>
        <w:pict w14:anchorId="70CD0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CD1CEB90-84E6-47A9-9024-64D0FA840C60" style="width:455.25pt;height:396.75pt">
            <v:imagedata r:id="rId11" o:title=""/>
          </v:shape>
        </w:pict>
      </w:r>
    </w:p>
    <w:bookmarkEnd w:id="0"/>
    <w:p w14:paraId="0B51AFC5" w14:textId="77777777" w:rsidR="00F24946" w:rsidRDefault="00F24946">
      <w:pPr>
        <w:rPr>
          <w:noProof/>
        </w:rPr>
        <w:sectPr w:rsidR="00F24946" w:rsidSect="00EF7D0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5F6175" w14:textId="152E7379" w:rsidR="00F24946" w:rsidRDefault="00613B06">
      <w:pPr>
        <w:pStyle w:val="P68B1DB1-Normal1"/>
        <w:jc w:val="center"/>
        <w:rPr>
          <w:noProof/>
        </w:rPr>
      </w:pPr>
      <w:bookmarkStart w:id="1" w:name="_GoBack"/>
      <w:bookmarkEnd w:id="1"/>
      <w:r>
        <w:rPr>
          <w:noProof/>
        </w:rPr>
        <w:lastRenderedPageBreak/>
        <w:t>PRILOGA</w:t>
      </w:r>
    </w:p>
    <w:p w14:paraId="57574ED9" w14:textId="78CF222F" w:rsidR="00F24946" w:rsidRDefault="00613B06">
      <w:pPr>
        <w:pStyle w:val="P68B1DB1-Normal2"/>
        <w:keepNext/>
        <w:tabs>
          <w:tab w:val="num" w:pos="850"/>
        </w:tabs>
        <w:spacing w:before="360" w:after="0" w:line="259" w:lineRule="auto"/>
        <w:ind w:left="850" w:hanging="850"/>
        <w:jc w:val="both"/>
        <w:outlineLvl w:val="0"/>
        <w:rPr>
          <w:rFonts w:eastAsiaTheme="majorEastAsia" w:cs="Times New Roman"/>
          <w:noProof/>
        </w:rPr>
      </w:pPr>
      <w:r>
        <w:rPr>
          <w:noProof/>
        </w:rPr>
        <w:t>PODROČJE 1: REFORME IN NALOŽBE V OKVIRU NAČRTA ZA OKREVANJE IN ODPORNOST</w:t>
      </w:r>
    </w:p>
    <w:p w14:paraId="4B78C2C2"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2D463D7"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1. Opis reform in naložb </w:t>
      </w:r>
    </w:p>
    <w:p w14:paraId="5907275D" w14:textId="77777777" w:rsidR="00F24946" w:rsidRDefault="00F24946">
      <w:pPr>
        <w:keepNext/>
        <w:spacing w:before="40" w:after="0" w:line="259" w:lineRule="auto"/>
        <w:jc w:val="both"/>
        <w:rPr>
          <w:rFonts w:ascii="Times New Roman" w:eastAsiaTheme="minorEastAsia" w:hAnsi="Times New Roman" w:cs="Times New Roman"/>
          <w:i/>
          <w:noProof/>
          <w:sz w:val="24"/>
        </w:rPr>
      </w:pPr>
    </w:p>
    <w:p w14:paraId="027E0929"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A. KOMPONENTA 1: Nacionalna zdravstvena služba</w:t>
      </w:r>
    </w:p>
    <w:p w14:paraId="38320C5D" w14:textId="409087CF" w:rsidR="00F24946" w:rsidRDefault="00613B06">
      <w:pPr>
        <w:pStyle w:val="P68B1DB1-Normal4"/>
        <w:keepNext/>
        <w:spacing w:before="40" w:after="0" w:line="259" w:lineRule="auto"/>
        <w:jc w:val="both"/>
        <w:rPr>
          <w:rFonts w:eastAsiaTheme="minorEastAsia" w:cs="Times New Roman"/>
          <w:noProof/>
        </w:rPr>
      </w:pPr>
      <w:r>
        <w:rPr>
          <w:noProof/>
        </w:rPr>
        <w:t>Ta komponenta portugalskega načrta za okrevanje in odpornost obravnava več izzivov, s katerimi se trenutno sooča portugalski zdravstveni sistem v zvezi s sedanjimi in spreminjajočimi se potrebami po zdravstvenem varstvu ter povezanimi stroški. Prvič, negativni demografski trendi Portugalske, za katere so značilni pospešeno staranje in posledične potrebe po dolgotrajni oskrbi, sovpadajo s spreminjajočimi se vzorci bolezni, vse večjim bremenom kroničnih in degenerativnih bolezni ter vse večjo prisotnostjo multimorbidnosti. Drugič, na Portugalskem je še vedno precejšnja smrtnost, ki se ji je mogoče izogniti, in razmeroma nizko število let zdravega življenja pri starosti 65 let. Tretjič, na voljo so možnosti za večji poudarek na spodbujanju zdravja in preprečevanju bolezni, skupaj z odpravljanjem razdrobljenosti zdravstvenih storitev in vrzeli pri dostopu do zdravstvenega varstva. Četrtič, neposredna plačila za zdravstveno varstvo so med najvišjimi v EU, sporočena finančna obremenitev zdravstvene oskrbe pa je razmeroma visoka. Nazadnje, portugalska nacionalna zdravstvena služba se že več let sooča s težkim finančnim položajem. Portugalska ima zlasti izkušnje s ponavljajočim se reševanjem javnih bolnišnic s strani vlade, ki se ni uspelo izogniti sistematičnemu ciklu zadolženosti bolnišnic, kar je posredno vplivalo na razmerja med dobavno verigo.</w:t>
      </w:r>
    </w:p>
    <w:p w14:paraId="7311148A" w14:textId="0249E23A" w:rsidR="00F24946" w:rsidRDefault="00613B06">
      <w:pPr>
        <w:pStyle w:val="P68B1DB1-Normal4"/>
        <w:keepNext/>
        <w:spacing w:before="40" w:after="0" w:line="259" w:lineRule="auto"/>
        <w:jc w:val="both"/>
        <w:rPr>
          <w:rFonts w:eastAsia="Times New Roman" w:cs="Times New Roman"/>
          <w:noProof/>
        </w:rPr>
      </w:pPr>
      <w:r>
        <w:rPr>
          <w:noProof/>
        </w:rPr>
        <w:t>Glavni cilj komponente je okrepiti odzivno zmogljivost portugalske nacionalne zdravstvene službe, da bi se odzvali na demografske in epidemiološke spremembe v državi, terapevtske in tehnološke inovacije ter trend naraščajočega povpraševanja po zdravstvenem varstvu in s tem povezanih stroškov. V ta namen je cilj komponente okrepiti osrednjo vlogo storitev primarnega zdravstvenega varstva v okviru splošne strukture nacionalne zdravstvene službe, razširiti storitve dolgotrajnega in duševnega zdravstvenega varstva ter povečati učinkovitost z dokončanjem reforme modela upravljanja javnih bolnišnic in pospešitvijo digitalizacije zdravstvenih storitev.</w:t>
      </w:r>
    </w:p>
    <w:p w14:paraId="714DF149" w14:textId="77777777" w:rsidR="00F24946" w:rsidRDefault="00613B06">
      <w:pPr>
        <w:pStyle w:val="P68B1DB1-Normal4"/>
        <w:spacing w:before="40" w:after="120" w:line="259" w:lineRule="auto"/>
        <w:jc w:val="both"/>
        <w:rPr>
          <w:rFonts w:eastAsiaTheme="minorEastAsia" w:cs="Times New Roman"/>
          <w:noProof/>
        </w:rPr>
      </w:pPr>
      <w:r>
        <w:rPr>
          <w:noProof/>
        </w:rPr>
        <w:t>Komponenta podpira obravnavanje priporočila za posamezne države o okrepitvi nadzora skupnih odhodkov, stroškovne učinkovitosti in ustreznega oblikovanja proračuna s poudarkom na trajnem zmanjšanju zaostalih plačil v bolnišnicah (priporočilo za posamezno državo št. 1 iz leta 2019) ter priporočila za posamezno državo o krepitvi odpornosti zdravstvenega sistema in zagotavljanju enakega dostopa do kakovostnega zdravstvenega varstva in dolgotrajne oskrbe (priporočilo za posamezno državo št. 1 2020). Komponenta prispeva tudi k obravnavi priporočila za posamezno državo, da se naložbe osredotočijo na zeleni in digitalni prehod (priporočilo za posamezno državo št. 3 2020).</w:t>
      </w:r>
    </w:p>
    <w:p w14:paraId="562E60CC" w14:textId="5277BFA7" w:rsidR="00F24946" w:rsidRDefault="00613B06">
      <w:pPr>
        <w:pStyle w:val="P68B1DB1-Normal4"/>
        <w:keepNext/>
        <w:spacing w:before="40" w:after="120" w:line="259" w:lineRule="auto"/>
        <w:jc w:val="both"/>
        <w:rPr>
          <w:rFonts w:eastAsiaTheme="minorEastAsia" w:cs="Times New Roman"/>
          <w:b/>
          <w:noProof/>
          <w:u w:val="single"/>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4C4465E0" w14:textId="77777777" w:rsidR="00F24946" w:rsidRDefault="00613B06">
      <w:pPr>
        <w:pStyle w:val="P68B1DB1-Normal3"/>
        <w:keepNext/>
        <w:spacing w:before="40" w:after="120" w:line="259" w:lineRule="auto"/>
        <w:ind w:left="130" w:firstLine="720"/>
        <w:jc w:val="both"/>
        <w:outlineLvl w:val="1"/>
        <w:rPr>
          <w:rFonts w:eastAsiaTheme="minorEastAsia" w:cs="Times New Roman"/>
          <w:noProof/>
        </w:rPr>
      </w:pPr>
      <w:r>
        <w:rPr>
          <w:noProof/>
        </w:rPr>
        <w:t>A.1. Opis reform in naložb za nepovratno finančno podporo</w:t>
      </w:r>
    </w:p>
    <w:p w14:paraId="77050E33"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RE-r01: Reforma primarnega zdravstvenega varstva</w:t>
      </w:r>
    </w:p>
    <w:p w14:paraId="17FEB3D7" w14:textId="77777777" w:rsidR="00F24946" w:rsidRDefault="00613B06">
      <w:pPr>
        <w:pStyle w:val="P68B1DB1-Normal4"/>
        <w:keepNext/>
        <w:spacing w:before="40" w:after="0" w:line="259" w:lineRule="auto"/>
        <w:jc w:val="both"/>
        <w:rPr>
          <w:rFonts w:eastAsiaTheme="minorEastAsia" w:cs="Times New Roman"/>
          <w:noProof/>
          <w:u w:val="single"/>
        </w:rPr>
      </w:pPr>
      <w:r>
        <w:rPr>
          <w:noProof/>
        </w:rPr>
        <w:t>Glavni cilj reforme je okrepiti osrednjo vlogo storitev primarnega zdravstvenega varstva pri odzivanju na zdravstvene potrebe prebivalstva v okviru splošne strukture nacionalne zdravstvene službe. V ta namen je reforma namenjena obravnavi šestih prednostnih nalog: I) poglabljanje zmogljivosti za presejanje in zgodnje diagnosticiranje, in sicer najpogostejših patologij; II) krepitev odzivne zmogljivosti primarnega zdravstvenega varstva z ustanovitvijo bolj proaktivnih zdravstvenih centrov z razširjenim portfeljem storitev in področji ukrepanja, pa tudi z večjo povezanostjo z drugimi ravnmi oskrbe, ter s prilagoditvijo postopkov individualnim značilnostim vsakega uporabnika in s tem povezanim življenjskim potjo, zmanjšanjem velike raznolikosti kliničnih praks (tudi v smislu predpisovanja ambulantnih zdravil), izboljšanjem klinične napotitve med različnimi ravnmi zdravstvenega varstva in iskanjem večje učinkovitosti z omejevanjem podvajanja storitev ali zagotavljanjem neučinkovite, neustrezne oskrbe ali oskrbe nizke vrednosti; III) odpravo regionalnih in lokalnih asimetrij glede zmogljivosti in opreme, ki so na voljo v osnovnih zdravstvenih storitvah; IV) podpiranje odzivov na ravni skupnosti in oblikovanje podpornih programov za uporabnike in njihove družine, boljše vključevanje državljanov in skupnosti, tudi z dokončanjem prenosa odgovornosti na področju zdravja s centralne ravni oblasti na lokalne oblasti; v) izboljšanje znanj in spretnosti zdravstvenih delavcev, krepitev multidisciplinarnega timskega dela in povečanje števila strokovnjakov, vključno s strokovnjaki; ter (vi) izvajanje digitalnega prehoda nacionalne zdravstvene službe in izkoriščanje njegovega potenciala za posodobitev in poenostavitev uporabe storitev zdravstvenega varstva. Pri tem bo ta reforma zagotovila okrepljene okvirne pogoje za s tem povezane naložbe v storitve primarnega zdravstvenega varstva.</w:t>
      </w:r>
    </w:p>
    <w:p w14:paraId="2145F595" w14:textId="182C1721" w:rsidR="00F24946" w:rsidRDefault="00613B06">
      <w:pPr>
        <w:pStyle w:val="P68B1DB1-Normal4"/>
        <w:keepNext/>
        <w:spacing w:before="40" w:after="0" w:line="259" w:lineRule="auto"/>
        <w:jc w:val="both"/>
        <w:rPr>
          <w:rFonts w:eastAsiaTheme="minorEastAsia" w:cs="Times New Roman"/>
          <w:noProof/>
        </w:rPr>
      </w:pPr>
      <w:r>
        <w:rPr>
          <w:noProof/>
        </w:rPr>
        <w:t>Reforma vključuje izvajanje več zakonodajnih in regulativnih ukrepov z namenom: I) razširitev odgovornosti in obsega posredovanja skupin zdravstvenih centrov ter tipologije funkcionalnih enot, ki jih sestavljajo; pregled pravne ureditve za organizacijo in delovanje funkcionalnih enot ter sheme spodbud, ki se dodelijo za elemente, ki jih sestavljajo; razvoj instrumenta za stratifikacijo tveganja za podporo kliničnemu upravljanju v funkcionalnih enotah skupin zdravstvenih centrov; ter iv) dokončanje prenosa pristojnosti na področju zdravja z osrednje uprave na občine.</w:t>
      </w:r>
    </w:p>
    <w:p w14:paraId="13EB0AA1" w14:textId="77777777" w:rsidR="00F24946" w:rsidRDefault="00613B06">
      <w:pPr>
        <w:pStyle w:val="P68B1DB1-Normal4"/>
        <w:keepNext/>
        <w:spacing w:before="40" w:after="0" w:line="259" w:lineRule="auto"/>
        <w:jc w:val="both"/>
        <w:rPr>
          <w:rFonts w:eastAsiaTheme="minorEastAsia" w:cs="Times New Roman"/>
          <w:noProof/>
        </w:rPr>
      </w:pPr>
      <w:r>
        <w:rPr>
          <w:noProof/>
        </w:rPr>
        <w:t>Mejnik in cilji v zvezi z izvajanjem reforme se zaključijo do 31. decembra 2023.</w:t>
      </w:r>
    </w:p>
    <w:p w14:paraId="3B03907D"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RE-r02: Reforma duševnega zdravja</w:t>
      </w:r>
    </w:p>
    <w:p w14:paraId="12CAE8A0" w14:textId="77777777" w:rsidR="00F24946" w:rsidRDefault="00613B06">
      <w:pPr>
        <w:pStyle w:val="P68B1DB1-Normal4"/>
        <w:keepNext/>
        <w:spacing w:before="40" w:after="0" w:line="259" w:lineRule="auto"/>
        <w:jc w:val="both"/>
        <w:rPr>
          <w:rFonts w:eastAsiaTheme="minorEastAsia" w:cs="Times New Roman"/>
          <w:noProof/>
        </w:rPr>
      </w:pPr>
      <w:r>
        <w:rPr>
          <w:noProof/>
        </w:rPr>
        <w:t>Glavni cilj te reforme je izboljšati duševno zdravje na Portugalskem. V ta namen reforma temelji na petih intervencijskih oseh: I) deinstitucionalizacijo pacientov, ki prebivajo v psihiatričnih bolnišnicah ali ustanovah socialnega sektorja; dokončanje nacionalnega pokritja lokalnih služb na področju duševnega zdravja na področju bolnišnične, ambulantne in skupnostne oskrbe; III) razširitev nacionalne mreže integrirane stalne oskrbe s poudarkom na duševnem zdravju; reorganizacija forenzičnih psihiatričnih storitev; in v) izvajanje regionalnih zdravstvenih načrtov za demenco.</w:t>
      </w:r>
    </w:p>
    <w:p w14:paraId="0D4AF41B" w14:textId="77777777" w:rsidR="00F24946" w:rsidRDefault="00613B06">
      <w:pPr>
        <w:pStyle w:val="P68B1DB1-Normal4"/>
        <w:keepNext/>
        <w:spacing w:before="40" w:after="0" w:line="259" w:lineRule="auto"/>
        <w:jc w:val="both"/>
        <w:rPr>
          <w:rFonts w:eastAsiaTheme="minorEastAsia" w:cs="Times New Roman"/>
          <w:noProof/>
        </w:rPr>
      </w:pPr>
      <w:r>
        <w:rPr>
          <w:noProof/>
        </w:rPr>
        <w:t>Konkretno je reforma sestavljena iz pregleda veljavnega zakona o duševnem zdravju, ki določa splošna načela politike duševnega zdravja na Portugalskem in ureja obvezno internacijo oseb s psihičnimi motnjami, in uredbe-zakona o duševnem zdravju, ki določa vodilna načela za organizacijo, upravljanje in ocenjevanje storitev na področju duševnega zdravja. Med drugim se v te pravne določbe uvedejo naslednje spremembe: I) vključitev načel Konvencije Združenih narodov o pravicah invalidov v zakonodajo; ter ii) povečanje samostojnosti in dobrega upravljanja lokalnih služb za duševno zdravje z ustanovitvijo integriranih centrov za odgovornost. Pri tem bo ta reforma zagotovila okrepljene okvirne pogoje za s tem povezane naložbe v storitve varstva duševnega zdravja.</w:t>
      </w:r>
    </w:p>
    <w:p w14:paraId="10338A6D" w14:textId="77777777" w:rsidR="00F24946" w:rsidRDefault="00613B06">
      <w:pPr>
        <w:pStyle w:val="P68B1DB1-Normal4"/>
        <w:keepNext/>
        <w:spacing w:before="40" w:after="0" w:line="259" w:lineRule="auto"/>
        <w:jc w:val="both"/>
        <w:rPr>
          <w:rFonts w:eastAsiaTheme="minorEastAsia" w:cs="Times New Roman"/>
          <w:noProof/>
        </w:rPr>
        <w:sectPr w:rsidR="00F24946" w:rsidSect="00787826">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r>
        <w:rPr>
          <w:noProof/>
        </w:rPr>
        <w:t>Mejniki v zvezi z izvajanjem reforme se zaključijo do 31. marca 2023.</w:t>
      </w:r>
    </w:p>
    <w:p w14:paraId="3F67CEFA"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RE-r03: Dokončanje reforme modela upravljanja javnih bolnišnic</w:t>
      </w:r>
    </w:p>
    <w:p w14:paraId="0C7C138E" w14:textId="77777777" w:rsidR="00F24946" w:rsidRDefault="00613B06">
      <w:pPr>
        <w:pStyle w:val="P68B1DB1-Normal4"/>
        <w:keepNext/>
        <w:spacing w:before="40" w:after="0" w:line="259" w:lineRule="auto"/>
        <w:jc w:val="both"/>
        <w:rPr>
          <w:rFonts w:eastAsiaTheme="minorEastAsia" w:cs="Times New Roman"/>
          <w:noProof/>
        </w:rPr>
      </w:pPr>
      <w:r>
        <w:rPr>
          <w:noProof/>
        </w:rPr>
        <w:t>Glavni cilj reforme je povečati učinkovitost bolnišnic nacionalne zdravstvene službe. V ta namen je njen cilj: I) reformo organizacije in notranjega upravljanja javnih bolnišnic; (II) preoblikovanje bolnišničnega omrežja v skladu z načrtovanjem zmogljivosti v smislu povpraševanja po storitvah ter ponudbe človeških virov in infrastrukture; III) izboljšanje povezanosti z drugimi elementi nacionalne zdravstvene službe, in sicer z osnovnimi in duševnimi zdravstvenimi storitvami ter paliativnimi in integriranimi mrežami stalne oskrbe; vključitev zdravstvenih delavcev in posredniških struktur v upravljanje javnih bolnišnic; in v) osredotočanje odzivov na dejanske potrebe državljanov na področju zdravja in dobrega počutja.</w:t>
      </w:r>
    </w:p>
    <w:p w14:paraId="0F06F40C" w14:textId="77777777" w:rsidR="00F24946" w:rsidRDefault="00613B06">
      <w:pPr>
        <w:pStyle w:val="P68B1DB1-Normal4"/>
        <w:keepNext/>
        <w:spacing w:before="40" w:after="0" w:line="259" w:lineRule="auto"/>
        <w:jc w:val="both"/>
        <w:rPr>
          <w:rFonts w:eastAsiaTheme="minorEastAsia" w:cs="Times New Roman"/>
          <w:noProof/>
        </w:rPr>
      </w:pPr>
      <w:r>
        <w:rPr>
          <w:noProof/>
        </w:rPr>
        <w:t>Objektivne metrike za ocenjevanje uspešnosti vodstvenih delavcev bolnišnic se vključijo v pogodbe o upravljanju, pri čemer se ocenita kakovost storitev in finančni položaj javnih bolnišnic. To prispeva k zagotavljanju skladnosti s prednostnimi nalogami vladne zdravstvene politike in k bolj predvidljivemu upravljanju bolnišničnih virov, pri čemer je samostojnost povezana z okrepljenim spremljanjem in odgovornostjo. Prenovljene pogodbe o upravljanju se izvajajo postopno in prednostno glede na raven učinkovitosti, razsežnosti in geografsko porazdelitev javnih bolnišnic. Poleg tega se okrepi nadzorna vloga ministrstev za zdravje in finance, da se zagotovi celosten in skladen pristop k ocenjevanju uspešnosti bolnišnic in pravočasno odpravi odstopanj od odobrenih proračunov.</w:t>
      </w:r>
    </w:p>
    <w:p w14:paraId="18CD3273" w14:textId="77777777" w:rsidR="00F24946" w:rsidRDefault="00613B06">
      <w:pPr>
        <w:pStyle w:val="P68B1DB1-Normal4"/>
        <w:keepNext/>
        <w:spacing w:before="40" w:after="0" w:line="259" w:lineRule="auto"/>
        <w:jc w:val="both"/>
        <w:rPr>
          <w:rFonts w:eastAsiaTheme="minorEastAsia" w:cs="Times New Roman"/>
          <w:noProof/>
        </w:rPr>
      </w:pPr>
      <w:r>
        <w:rPr>
          <w:noProof/>
        </w:rPr>
        <w:t>Poleg tega je treba okrepiti centralizirano nabavo, da bi dosegli nadaljnje prihranke zaradi učinkovitosti, zlasti z upoštevanjem priporočil iz nedavne neodvisne ocene. Zlasti je treba centralizirano nabavo razširiti na medicinsko opremo in pripomočke. Poleg tega se načrtuje izboljšanje notranjega upravljanja javnih bolnišnic, zlasti z ustanovitvijo centrov integrirane odgovornosti in izvajanjem sistemov prejemkov na podlagi uspešnosti, ki se uporabljajo za enote, povezane s takimi centri. V zvezi s tem začne veljati popolna predanost nacionalni zdravstveni službi za zdravstvene delavce.</w:t>
      </w:r>
    </w:p>
    <w:p w14:paraId="13152133" w14:textId="77777777" w:rsidR="00F24946" w:rsidRDefault="00613B06">
      <w:pPr>
        <w:pStyle w:val="P68B1DB1-Normal4"/>
        <w:keepNext/>
        <w:spacing w:before="40" w:after="0" w:line="259" w:lineRule="auto"/>
        <w:jc w:val="both"/>
        <w:rPr>
          <w:rFonts w:eastAsiaTheme="minorEastAsia" w:cs="Times New Roman"/>
          <w:noProof/>
        </w:rPr>
      </w:pPr>
      <w:r>
        <w:rPr>
          <w:noProof/>
        </w:rPr>
        <w:t>Poleg tega ukrep vključuje pobude za preoblikovanje bolnišničnega omrežja, da se zagotovi boljša povezanost med storitvami. Zlasti se nadalje razvijajo odzivi na hospitalizacijo na domu, da se zagotovi bolnišnična oskrba na domu pacienta, v tesni povezavi s storitvami primarnega zdravstvenega varstva, nacionalno mrežo integriranih storitev stalne oskrbe, socialnim sektorjem in lokalnimi skupnostmi. Poleg tega je treba okrepiti laboratorijsko zmogljivost nacionalne zdravstvene službe za diagnosticiranje nalezljivih bolezni in povečati njeno zmogljivost za intenzivno zdravstveno oskrbo.</w:t>
      </w:r>
    </w:p>
    <w:p w14:paraId="2CA75694"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decembra 2025.</w:t>
      </w:r>
    </w:p>
    <w:p w14:paraId="2AB13652"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RE-C01-i01: Storitve primarnega zdravstvenega varstva z več odgovori</w:t>
      </w:r>
    </w:p>
    <w:p w14:paraId="6B7DB75C" w14:textId="77777777" w:rsidR="00F24946" w:rsidRDefault="00613B06">
      <w:pPr>
        <w:pStyle w:val="P68B1DB1-Normal4"/>
        <w:keepNext/>
        <w:spacing w:before="40" w:after="0" w:line="259" w:lineRule="auto"/>
        <w:jc w:val="both"/>
        <w:rPr>
          <w:rFonts w:eastAsia="Times New Roman" w:cs="Times New Roman"/>
          <w:noProof/>
        </w:rPr>
      </w:pPr>
      <w:r>
        <w:rPr>
          <w:noProof/>
        </w:rPr>
        <w:t>Cilj te naložbe je razširiti storitve primarnega zdravstvenega varstva in okrepiti osrednjo vlogo storitev primarnega zdravstvenega varstva pri odzivanju na zdravstvene potrebe prebivalstva v okviru splošne strukture nacionalne zdravstvene službe. Naložba temelji na reformi storitev primarnega zdravstvenega varstva.</w:t>
      </w:r>
    </w:p>
    <w:p w14:paraId="50F040E1" w14:textId="77777777" w:rsidR="00F24946" w:rsidRDefault="00613B06">
      <w:pPr>
        <w:pStyle w:val="P68B1DB1-Normal4"/>
        <w:keepNext/>
        <w:spacing w:before="40" w:after="0" w:line="259" w:lineRule="auto"/>
        <w:jc w:val="both"/>
        <w:rPr>
          <w:rFonts w:eastAsia="Times New Roman" w:cs="Times New Roman"/>
          <w:noProof/>
        </w:rPr>
      </w:pPr>
      <w:r>
        <w:rPr>
          <w:noProof/>
        </w:rPr>
        <w:t>Naložba vključuje naslednje pobude:</w:t>
      </w:r>
    </w:p>
    <w:p w14:paraId="2BF5C657" w14:textId="77777777" w:rsidR="00F24946" w:rsidRDefault="00613B06">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Prvič, z več podnaložbami se izboljšajo dostop, kakovost in učinkovitost storitev primarnega zdravstvenega varstva, s čimer se prispeva k dokončanju nacionalne pokritosti presejalnih programov in okrepi zmogljivost za zgodnje diagnosticiranje. Te vključujejo: I) razširitev presejanja raka na vse zdravstvene centre, tudi za raka debelega črevesa in danke ter materničnega vratu; II) razširitev presejanja za diabetično retinopatijo na vse zdravstvene domove; III) zagotavljanje zmogljivosti vsem zdravstvenim centrom za merjenje C-reaktivnih beljakovin; IV) opremljanje skupin zdravstvenih centrov s spirometri za zgodnje odkrivanje, spremljanje in zdravljenje astme, kronične obstruktivne pljučne bolezni in kajenja; v) zagotavljanje enot zdravstvenega varstva z opremo Holter in ambulatornim spremljanjem krvnega tlaka; VI) razširitev posvetovanja z diabetičnimi čevlji na vse skupine zdravstvenih centrov; sprejetje načrtov za individualno oskrbo kompleksnih bolnikov in bolnikov z več motnjami; opredelitev napotitvenih protokolov na najbolj iskanih področjih oskrbe, in sicer na oftalmologiji, ortopediji in urologiji, ortopediji in urologiji; in ix) dokončanje integriranega informacijskega sistema, ki bolnikom olajšal napotitev med ravnmi zdravstvenega varstva.</w:t>
      </w:r>
    </w:p>
    <w:p w14:paraId="0EC6BFD7" w14:textId="77777777" w:rsidR="00F24946" w:rsidRDefault="00613B06">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Drugič, druge podnaložbe so usmerjene v razširitev področij posredovanja skupin zdravstvenih centrov, s čimer se poveča odzivna zmogljivost te ravni zdravstvenega varstva in okrepi ponudba zdravstvenih specializacij s krepitvijo specializiranega in skupinskega dela v zdravstvenih enotah. To podrobno vključuje: I) namestitev zobozdravstvenih uradov v zdravstvenih domovih; II) vzpostavitev integriranih diagnostičnih centrov (vključno z vsaj rentgenskimi in kliničnimi analizami) v skupinah zdravstvenih centrov; III) vzpostavitev rehabilitacijskih storitev v zdravstvenih centrih (ustrezni fizični prostori in rehabilitacija, multidisciplinarne in interdisciplinarne skupine); IV) vsem zdravstvenim centrom zagotoviti opremo (strežo v sili, defibrilator in spremljanje ključnih znakov) za kvalificirano ukrepanje ob nesrečah (osnovna življenjska podpora); in v) spodbujanje zagona programa za zmanjšanje neustrezne in/ali preprečljive uporabe storitev nujne zdravstvene oskrbe.</w:t>
      </w:r>
    </w:p>
    <w:p w14:paraId="79BA5279" w14:textId="43FCD498" w:rsidR="00F24946" w:rsidRDefault="00613B06">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Tretjič, nadaljnje podnaložbe bodo zagotovile nadgradnjo objektov in opreme zdravstvenih centrov, povečanje energijske učinkovitosti, zagotavljanje pogojev dostopnosti, kakovosti, udobja in varnosti za paciente in strokovnjake ter njihovo prilagoditev novim modelom zagotavljanja zdravstvenega varstva. Ti med drugim vključujejo: I) gradnja 124 novih zdravstvenih centrov; II) obnovo ali prilagoditev 347 zdravstvenih ustanov, da se poveča energetska učinkovitost, upoštevajo načrti ukrepov ob nepredvidljivih dogodkih ter zagotovijo dostopnost, sanitarna varnost in udobje; in iii) posodobitev zdravstvene opreme.</w:t>
      </w:r>
    </w:p>
    <w:p w14:paraId="7BFAF513" w14:textId="77777777" w:rsidR="00F24946" w:rsidRDefault="00613B06">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Četrtič, dodatne podnaložbe se osredotočajo na izboljšanje odzivov na bližino, s poudarkom na oskrbi na domu in v skupnosti, posegih v najbolj ogroženem prebivalstvu ter spodbujanju deinstitucionalizacije in ambulantne oskrbe. To podrobno vključuje: I) zagotavljanje električnih vozil zdravstvenim centrom v podporo oskrbi na domu; II) povečanje števila mobilnih enot na regije z nizko gostoto prebivalstva; III) zagotavljanje tehničnih pogojev zdravstvenim centrom za televizijsko svetovanje in spremljanje kroničnih bolezni, na primer pri srčnem popuščanju; (IV) krepitev enot za oskrbo v skupnosti in skupin integrirane neprekinjene oskrbe; v) oblikovanje skupin skupnosti za podporo paliativni oskrbi v skupinah zdravstvenih centrov; in (vi) oblikovanje programov psihosocialnega posredovanja pri pogostih duševnih boleznih (depresija in tesnoba) v skupinah zdravstvenih centrov.</w:t>
      </w:r>
    </w:p>
    <w:p w14:paraId="6598C353" w14:textId="351C8CDE" w:rsidR="00F24946" w:rsidRDefault="00613B06">
      <w:pPr>
        <w:pStyle w:val="P68B1DB1-Normal4"/>
        <w:keepNext/>
        <w:tabs>
          <w:tab w:val="left" w:pos="426"/>
        </w:tabs>
        <w:spacing w:before="40" w:after="0" w:line="259" w:lineRule="auto"/>
        <w:jc w:val="both"/>
        <w:rPr>
          <w:rFonts w:eastAsiaTheme="minorEastAsia" w:cs="Times New Roman"/>
          <w:noProof/>
        </w:rPr>
      </w:pPr>
      <w:r>
        <w:rPr>
          <w:noProof/>
        </w:rPr>
        <w:t>Naložba se izvede do 30. junija 2026.</w:t>
      </w:r>
    </w:p>
    <w:p w14:paraId="2354E762" w14:textId="0B3D6010" w:rsidR="00F24946" w:rsidRDefault="00F24946">
      <w:pPr>
        <w:keepNext/>
        <w:tabs>
          <w:tab w:val="left" w:pos="426"/>
        </w:tabs>
        <w:spacing w:before="40" w:after="0" w:line="259" w:lineRule="auto"/>
        <w:jc w:val="both"/>
        <w:rPr>
          <w:rFonts w:ascii="Times New Roman" w:eastAsiaTheme="minorEastAsia" w:hAnsi="Times New Roman" w:cs="Times New Roman"/>
          <w:noProof/>
          <w:sz w:val="24"/>
        </w:rPr>
      </w:pPr>
    </w:p>
    <w:p w14:paraId="4C9B07E6" w14:textId="77777777" w:rsidR="00F24946" w:rsidRDefault="00F24946">
      <w:pPr>
        <w:keepNext/>
        <w:tabs>
          <w:tab w:val="left" w:pos="426"/>
        </w:tabs>
        <w:spacing w:before="40" w:after="0" w:line="259" w:lineRule="auto"/>
        <w:jc w:val="both"/>
        <w:rPr>
          <w:rFonts w:ascii="Times New Roman" w:eastAsia="Times New Roman" w:hAnsi="Times New Roman" w:cs="Times New Roman"/>
          <w:noProof/>
          <w:sz w:val="24"/>
        </w:rPr>
      </w:pPr>
    </w:p>
    <w:p w14:paraId="308A36DF"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RE-C01-i02: Nacionalna mreža integrirane stalne oskrbe in nacionalna mreža palativne oskrbe</w:t>
      </w:r>
    </w:p>
    <w:p w14:paraId="4167DC2F" w14:textId="77777777" w:rsidR="00F24946" w:rsidRDefault="00613B06">
      <w:pPr>
        <w:pStyle w:val="P68B1DB1-Normal4"/>
        <w:keepNext/>
        <w:spacing w:before="40" w:after="0" w:line="259" w:lineRule="auto"/>
        <w:jc w:val="both"/>
        <w:rPr>
          <w:rFonts w:eastAsia="Times New Roman" w:cs="Times New Roman"/>
          <w:noProof/>
        </w:rPr>
      </w:pPr>
      <w:r>
        <w:rPr>
          <w:noProof/>
        </w:rPr>
        <w:t>Cilj naložbe je nadgraditi nacionalne mreže paliativne in celostne neprekinjene oskrbe, tako v zvezi z zdravljenjem v bolnišničnem kot v ambulantnem zdravljenju, pa tudi oskrbo na domu. Naložba temelji na reformi nacionalne strategije za vključevanje invalidov, ki je predstavljena v komponenti 3 o socialnih odzivih, je del portugalske strategije za deinstitucionalizacijo in splošna prizadevanja za obravnavanje neugodnih demografskih trendov, s katerimi se sooča država.</w:t>
      </w:r>
    </w:p>
    <w:p w14:paraId="4876C261" w14:textId="5574ACD9" w:rsidR="00F24946" w:rsidRDefault="00613B06">
      <w:pPr>
        <w:pStyle w:val="P68B1DB1-Normal4"/>
        <w:keepNext/>
        <w:spacing w:before="40" w:after="0" w:line="259" w:lineRule="auto"/>
        <w:jc w:val="both"/>
        <w:rPr>
          <w:rFonts w:eastAsia="Times New Roman" w:cs="Times New Roman"/>
          <w:noProof/>
        </w:rPr>
      </w:pPr>
      <w:r>
        <w:rPr>
          <w:noProof/>
        </w:rPr>
        <w:t>Naložba je sestavljena iz strukturiranega in postopnega uvajanja programa za zagotavljanje finančne podpore nosilcem projektov iz javnega, socialnega ali zasebnega sektorja, da se: I) razširitev nacionalne mreže integrirane neprekinjene oskrbe za 5500 postelj (v obstoječih ali novih enotah); vzpostavitev 20-dnevnih enot za spodbujanje samostojnosti z namenom spremljanja 500 ambulantnih bolnikov; (III) ustanoviti 50 domačih ekip za integrirano stalno oskrbo, da bi se odzvali na 1000 pacientov doma (vključno z opremo in električnimi vozili); (IV) razširitev celostnih odzivov na področju duševnega zdravja na 1000 mestih, v 50 prebivališčih in socialno-poklicnih enotah (podpora za oblikovanje novih odzivov ali razširitev obstoječih odzivov); v) ustvariti do 100 mest v 10 domačih podpornih ekipah za duševno zdravje (podpora za nakup potrebnih materialnih virov in električnih vozil za dejavnosti skupin); (VI) razširiti nacionalno mrežo za paliativno oskrbo z 20 bolnišničnimi enotami za bolnišnično oskrbo z nizkokompleksnostjo, da bi se odzvali na 400 bolnikov; in (vii) ustvariti do 100 mest v 10 paliativnih ekipah za oskrbo v skupnosti (podpora za nakup potrebnih materialnih virov in električnih vozil za dejavnosti ekip).</w:t>
      </w:r>
    </w:p>
    <w:p w14:paraId="0F0BCBC6"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31. decembra 2025.</w:t>
      </w:r>
    </w:p>
    <w:p w14:paraId="529517D0"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RE-C01-i03: Dokončanje reforme na področju duševnega zdravja in izvajanje strategije za demence</w:t>
      </w:r>
    </w:p>
    <w:p w14:paraId="3CBF58D6" w14:textId="77777777" w:rsidR="00F24946" w:rsidRDefault="00613B06">
      <w:pPr>
        <w:pStyle w:val="P68B1DB1-Normal4"/>
        <w:keepNext/>
        <w:spacing w:before="40" w:after="0" w:line="259" w:lineRule="auto"/>
        <w:jc w:val="both"/>
        <w:rPr>
          <w:rFonts w:eastAsia="Times New Roman" w:cs="Times New Roman"/>
          <w:noProof/>
        </w:rPr>
      </w:pPr>
      <w:r>
        <w:rPr>
          <w:noProof/>
        </w:rPr>
        <w:t>Cilj naložbe je podpreti izvajanje reforme storitev varstva duševnega zdravja ter tako prispevati k razširitvi in krepitvi odzivnih zmogljivosti nacionalne zdravstvene službe na področju duševnega zdravja.</w:t>
      </w:r>
    </w:p>
    <w:p w14:paraId="13BFCE28" w14:textId="77777777" w:rsidR="00F24946" w:rsidRDefault="00613B06">
      <w:pPr>
        <w:pStyle w:val="P68B1DB1-Normal4"/>
        <w:keepNext/>
        <w:spacing w:before="40" w:after="0" w:line="259" w:lineRule="auto"/>
        <w:jc w:val="both"/>
        <w:rPr>
          <w:rFonts w:eastAsia="Times New Roman" w:cs="Times New Roman"/>
          <w:noProof/>
        </w:rPr>
      </w:pPr>
      <w:r>
        <w:rPr>
          <w:noProof/>
        </w:rPr>
        <w:t>Naložba je sestavljena iz dopolnilnih podnaložb v objekte, strukture in človeške vire, in sicer: I) vzpostavitev nastanitvenih storitev v skupnosti, ki omogočajo deinstitucionalizacijo pacientov, ki prebivajo v psihiatričnih bolnišnicah ali v socialnem sektorju, ki nimajo koristi od ponudbe nacionalne mreže integrirane stalne oskrbe, vključno s povečanjem števila mest za varstvo duševnega zdravja za 500 mest v nacionalni mreži integrirane stalne oskrbe na področju duševnega zdravja; II) zgraditi štiri bolnišnične enote v splošnih bolnišnicah, s čimer bi odpravili akutno nastanitev v psihiatričnih bolnišnicah; III) ustanovitev 15 centrov integrirane odgovornosti za premagovanje ovir pri zagotavljanju nebolnišnične oskrbe z večjo stopnjo samostojnosti in odgovornosti; (IV) prenoviti 20 obstoječih zmogljivosti lokalnih služb za duševno zdravje; v) oblikovanje 40 skupin za duševno zdravje v skupnosti; (VI) preoblikovanje, razširitev in obnova forenzičnih storitev psihiatrije; ter (vii) razvoj ukrepov ozaveščanja in usposabljanja za „oblikovanje poti pacientov“ v okviru demence.</w:t>
      </w:r>
    </w:p>
    <w:p w14:paraId="405481CA" w14:textId="728AE455" w:rsidR="00F24946" w:rsidRDefault="00613B06">
      <w:pPr>
        <w:pStyle w:val="P68B1DB1-Normal4"/>
        <w:keepNext/>
        <w:spacing w:before="40" w:after="0" w:line="259" w:lineRule="auto"/>
        <w:jc w:val="both"/>
        <w:rPr>
          <w:rFonts w:eastAsia="Times New Roman" w:cs="Times New Roman"/>
          <w:noProof/>
        </w:rPr>
      </w:pPr>
      <w:r>
        <w:rPr>
          <w:noProof/>
        </w:rPr>
        <w:t>Naložba se izvede do 31. decembra 2025.</w:t>
      </w:r>
    </w:p>
    <w:p w14:paraId="556692A7" w14:textId="5B150195" w:rsidR="00F24946" w:rsidRDefault="00F24946">
      <w:pPr>
        <w:keepNext/>
        <w:spacing w:before="40" w:after="0" w:line="259" w:lineRule="auto"/>
        <w:jc w:val="both"/>
        <w:rPr>
          <w:rFonts w:ascii="Times New Roman" w:eastAsia="Times New Roman" w:hAnsi="Times New Roman" w:cs="Times New Roman"/>
          <w:noProof/>
          <w:sz w:val="24"/>
        </w:rPr>
      </w:pPr>
    </w:p>
    <w:p w14:paraId="4FEAA711" w14:textId="77777777" w:rsidR="00F24946" w:rsidRDefault="00F24946">
      <w:pPr>
        <w:keepNext/>
        <w:spacing w:before="40" w:after="0" w:line="259" w:lineRule="auto"/>
        <w:jc w:val="both"/>
        <w:rPr>
          <w:rFonts w:ascii="Times New Roman" w:eastAsia="Times New Roman" w:hAnsi="Times New Roman" w:cs="Times New Roman"/>
          <w:noProof/>
          <w:sz w:val="24"/>
        </w:rPr>
      </w:pPr>
    </w:p>
    <w:p w14:paraId="0503F123" w14:textId="15B27731"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RE-C01-i04: Gradnja bolnišnice v vzhodni Lizboni in opreme za bolnišnice v Lizboni in Vale do Tejo</w:t>
      </w:r>
    </w:p>
    <w:p w14:paraId="03467B86" w14:textId="790B987B" w:rsidR="00F24946" w:rsidRDefault="00613B06">
      <w:pPr>
        <w:pStyle w:val="P68B1DB1-Normal4"/>
        <w:keepNext/>
        <w:spacing w:before="40" w:after="0" w:line="259" w:lineRule="auto"/>
        <w:jc w:val="both"/>
        <w:rPr>
          <w:rFonts w:eastAsia="Times New Roman" w:cs="Times New Roman"/>
          <w:noProof/>
        </w:rPr>
      </w:pPr>
      <w:r>
        <w:rPr>
          <w:noProof/>
        </w:rPr>
        <w:t>Cilj naložbe je dokončati gradnjo dela načrtovane bolnišnice v vzhodni Lizboni in opremiti bolnišnice v Lizboni in Vale do Tejo, s čimer bi okrepili bolnišnično mrežo in ponudbo bolnišnične oskrbe v zelo poseljeni regiji, kjer je povpraševanje po zdravstvenih storitvah precejšnje. Cilj tega je zagotoviti boljši dostop do zdravstvenega varstva velikemu delu prebivalstva ter prispevati k zmanjšanju neenakosti in socialni koheziji v regiji.</w:t>
      </w:r>
    </w:p>
    <w:p w14:paraId="119C3D2D" w14:textId="68C14379" w:rsidR="00F24946" w:rsidRDefault="00613B06">
      <w:pPr>
        <w:pStyle w:val="P68B1DB1-Normal4"/>
        <w:keepNext/>
        <w:spacing w:before="40" w:after="0" w:line="259" w:lineRule="auto"/>
        <w:jc w:val="both"/>
        <w:rPr>
          <w:rFonts w:eastAsia="Times New Roman" w:cs="Times New Roman"/>
          <w:noProof/>
        </w:rPr>
      </w:pPr>
      <w:r>
        <w:rPr>
          <w:noProof/>
        </w:rPr>
        <w:t>Naložbo sestavljajo:</w:t>
      </w:r>
    </w:p>
    <w:p w14:paraId="25F5E9CC" w14:textId="7585701E" w:rsidR="00F24946" w:rsidRDefault="00613B06">
      <w:pPr>
        <w:pStyle w:val="ListParagraph"/>
        <w:numPr>
          <w:ilvl w:val="0"/>
          <w:numId w:val="72"/>
        </w:numPr>
        <w:spacing w:before="40" w:after="0"/>
        <w:rPr>
          <w:rFonts w:eastAsia="Times New Roman"/>
          <w:noProof/>
        </w:rPr>
      </w:pPr>
      <w:r>
        <w:rPr>
          <w:noProof/>
        </w:rPr>
        <w:t xml:space="preserve"> gradnja dela bolnišnice Vzhodna Lizbona, in sicer (i) Poente Tower, ki je eden od petih stolpov glavne bolnišnične stavbe, (ii) stavbe na zemljišču B, ki je med drugim namenjena upravnim območjem, duševnemu zdravju, telesni in rehabilitacijski medicini, in (iii) stavbi na parceli C, ki je med drugim namenjena raziskavam in izobraževanju, </w:t>
      </w:r>
    </w:p>
    <w:p w14:paraId="7C5B0F72" w14:textId="2D36EDF8" w:rsidR="00F24946" w:rsidRDefault="00613B06">
      <w:pPr>
        <w:pStyle w:val="ListParagraph"/>
        <w:numPr>
          <w:ilvl w:val="0"/>
          <w:numId w:val="72"/>
        </w:numPr>
        <w:spacing w:before="40" w:after="0"/>
        <w:rPr>
          <w:rFonts w:eastAsia="Times New Roman"/>
          <w:noProof/>
        </w:rPr>
      </w:pPr>
      <w:r>
        <w:rPr>
          <w:noProof/>
        </w:rPr>
        <w:t xml:space="preserve">nakup opreme za namestitev v bolnišnici Vzhodne Lizbone in novi bolnišnici v Sintri ter </w:t>
      </w:r>
    </w:p>
    <w:p w14:paraId="4C6CEAA9" w14:textId="7DDA0E9B" w:rsidR="00F24946" w:rsidRDefault="00613B06">
      <w:pPr>
        <w:pStyle w:val="ListParagraph"/>
        <w:numPr>
          <w:ilvl w:val="0"/>
          <w:numId w:val="72"/>
        </w:numPr>
        <w:spacing w:before="40" w:after="0"/>
        <w:rPr>
          <w:rFonts w:eastAsia="Times New Roman"/>
          <w:noProof/>
        </w:rPr>
      </w:pPr>
      <w:r>
        <w:rPr>
          <w:noProof/>
        </w:rPr>
        <w:t>nakup težke medicinske opreme za namestitev v bolnišnicah v Lizboni in regiji Vale do Tejo.</w:t>
      </w:r>
    </w:p>
    <w:p w14:paraId="41FD72CF" w14:textId="14FAD427" w:rsidR="00F24946" w:rsidRDefault="00613B06">
      <w:pPr>
        <w:pStyle w:val="P68B1DB1-Normal4"/>
        <w:spacing w:before="40" w:after="0"/>
        <w:ind w:left="420"/>
        <w:rPr>
          <w:rFonts w:eastAsia="Times New Roman" w:cs="Times New Roman"/>
          <w:noProof/>
        </w:rPr>
      </w:pPr>
      <w:r>
        <w:rPr>
          <w:noProof/>
        </w:rPr>
        <w:t>Oprema, ki se namesti v bolnišnici Vzhodne Lizbone in novi bolnišnici v Sintri, vključuje: (I) klinično, medicinsko in visokotehnološko opremo; (II) splošna oprema, vključno s specializiranim pohištvom; in iii) računalniška oprema.</w:t>
      </w:r>
    </w:p>
    <w:p w14:paraId="6CDC5B0F" w14:textId="21852E7C" w:rsidR="00F24946" w:rsidRDefault="00613B06">
      <w:pPr>
        <w:pStyle w:val="P68B1DB1-Normal4"/>
        <w:spacing w:before="40" w:after="0"/>
        <w:ind w:left="420"/>
        <w:rPr>
          <w:rFonts w:eastAsia="Times New Roman" w:cs="Times New Roman"/>
          <w:noProof/>
        </w:rPr>
        <w:sectPr w:rsidR="00F24946" w:rsidSect="00787826">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567" w:footer="567" w:gutter="0"/>
          <w:cols w:space="720"/>
          <w:docGrid w:linePitch="360"/>
        </w:sectPr>
      </w:pPr>
      <w:r>
        <w:rPr>
          <w:noProof/>
        </w:rPr>
        <w:t>Naložba se izvede do 30. junija 2026.</w:t>
      </w:r>
    </w:p>
    <w:p w14:paraId="5E298467" w14:textId="77777777" w:rsidR="00F24946" w:rsidRDefault="00F24946">
      <w:pPr>
        <w:spacing w:before="40" w:after="0"/>
        <w:ind w:left="420"/>
        <w:rPr>
          <w:rFonts w:ascii="Times New Roman" w:eastAsia="Times New Roman" w:hAnsi="Times New Roman" w:cs="Times New Roman"/>
          <w:noProof/>
          <w:sz w:val="24"/>
        </w:rPr>
      </w:pPr>
    </w:p>
    <w:p w14:paraId="65A51627" w14:textId="77777777" w:rsidR="00F24946" w:rsidRDefault="00F24946">
      <w:pPr>
        <w:spacing w:before="40" w:after="0"/>
        <w:ind w:left="420"/>
        <w:rPr>
          <w:rFonts w:ascii="Times New Roman" w:eastAsia="Times New Roman" w:hAnsi="Times New Roman" w:cs="Times New Roman"/>
          <w:noProof/>
          <w:sz w:val="24"/>
        </w:rPr>
      </w:pPr>
    </w:p>
    <w:p w14:paraId="222CB904" w14:textId="77777777" w:rsidR="00F24946" w:rsidRDefault="00F24946">
      <w:pPr>
        <w:spacing w:before="40" w:after="0"/>
        <w:ind w:left="420"/>
        <w:rPr>
          <w:rFonts w:ascii="Times New Roman" w:eastAsia="Times New Roman" w:hAnsi="Times New Roman" w:cs="Times New Roman"/>
          <w:noProof/>
          <w:sz w:val="24"/>
        </w:rPr>
      </w:pPr>
    </w:p>
    <w:p w14:paraId="79B3BC9F"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RE-C01-i05-RAM: Krepitev regionalne zdravstvene službe Madeire</w:t>
      </w:r>
    </w:p>
    <w:p w14:paraId="7F581BEA" w14:textId="77777777" w:rsidR="00F24946" w:rsidRDefault="00613B06">
      <w:pPr>
        <w:pStyle w:val="P68B1DB1-Normal4"/>
        <w:keepNext/>
        <w:spacing w:before="40" w:after="0" w:line="259" w:lineRule="auto"/>
        <w:jc w:val="both"/>
        <w:rPr>
          <w:rFonts w:eastAsia="Times New Roman" w:cs="Times New Roman"/>
          <w:noProof/>
        </w:rPr>
      </w:pPr>
      <w:r>
        <w:rPr>
          <w:noProof/>
        </w:rPr>
        <w:t>Cilj te naložbe je izvajanje strateškega načrta za regionalni zdravstveni sistem avtonomne regije Madeira in regionalne strategije za spodbujanje duševnega zdravja.</w:t>
      </w:r>
    </w:p>
    <w:p w14:paraId="7233DF75" w14:textId="75A994D0" w:rsidR="00F24946" w:rsidRDefault="00613B06">
      <w:pPr>
        <w:pStyle w:val="P68B1DB1-Normal4"/>
        <w:keepNext/>
        <w:spacing w:before="40" w:after="0" w:line="259" w:lineRule="auto"/>
        <w:jc w:val="both"/>
        <w:rPr>
          <w:rFonts w:eastAsia="Times New Roman" w:cs="Times New Roman"/>
          <w:noProof/>
        </w:rPr>
      </w:pPr>
      <w:r>
        <w:rPr>
          <w:noProof/>
        </w:rPr>
        <w:t>Naložbo sestavljata dve podnaložbi. Prvič, vključuje podnaložbo za razširitev, razvoj in izboljšanje regionalne mreže integrirane neprekinjene oskrbe, vključno s prenovo in razširitvijo števila mest v vseh njihovih tipologijah v skladu z načelom deinstitucionalizacije, v sodelovanju z zasebnim in socialnim sektorjem ter na področjih, za katera sta značilna akutno staranje prebivalstva in/ali manj nameščena zmogljivost. Drugič, vključuje tudi podnaložbo za krepitev zmogljivosti odzivanja na področju duševnega zdravja in demence, povezanih s staranjem, vključno z nadgradnjo infrastrukture in opreme v objektih za bolnišnično in osnovno zdravstveno varstvo, zagotavljanjem novih mest za hospitalizacijo na domu in dnevnih bolnišničnih storitev ter vzpostavitvijo skupin za duševno zdravje v skupnosti.</w:t>
      </w:r>
    </w:p>
    <w:p w14:paraId="4B108AA8"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30. junija 2026.</w:t>
      </w:r>
    </w:p>
    <w:p w14:paraId="54A4324F"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RE-C01-i06: Prehod na digitalno zdravje</w:t>
      </w:r>
    </w:p>
    <w:p w14:paraId="3A2AF464" w14:textId="77777777" w:rsidR="00F24946" w:rsidRDefault="00613B06">
      <w:pPr>
        <w:pStyle w:val="P68B1DB1-Normal4"/>
        <w:keepNext/>
        <w:spacing w:before="40" w:after="0" w:line="259" w:lineRule="auto"/>
        <w:jc w:val="both"/>
        <w:rPr>
          <w:rFonts w:eastAsia="Times New Roman" w:cs="Times New Roman"/>
          <w:noProof/>
        </w:rPr>
      </w:pPr>
      <w:r>
        <w:rPr>
          <w:noProof/>
        </w:rPr>
        <w:t>Ta cilj naložbe je odpraviti ozka grla, ki ovirajo digitalni prehod v nacionalni zdravstveni službi, vključno s pomanjkanjem ustrezne strojne in programske opreme, ki bi bila na voljo zdravstvenim delavcem, okrepiti standardizacijo informacijskih sistemov v nacionalni zdravstveni službi ter izboljšati uporabniško izkušnjo in dostop do podatkov.</w:t>
      </w:r>
    </w:p>
    <w:p w14:paraId="1CEE6531" w14:textId="77777777" w:rsidR="00F24946" w:rsidRDefault="00613B06">
      <w:pPr>
        <w:pStyle w:val="P68B1DB1-Normal4"/>
        <w:keepNext/>
        <w:spacing w:before="40" w:after="0" w:line="259" w:lineRule="auto"/>
        <w:jc w:val="both"/>
        <w:rPr>
          <w:rFonts w:eastAsia="Times New Roman" w:cs="Times New Roman"/>
          <w:noProof/>
        </w:rPr>
      </w:pPr>
      <w:r>
        <w:rPr>
          <w:noProof/>
        </w:rPr>
        <w:t>Naložba je sestavljena iz štirih podnaložb. Prvič, mreža zdravstvenih podatkov se okrepi, da se izboljšata kakovost storitev in odpornost računalniških sistemov, ki so na voljo v nacionalni zdravstveni službi, olajša uporaba podatkov v sistemih za podporo odločanju, zagotovi interoperabilnost med različnimi informacijskimi sistemi in skladnost z ustreznimi varnostnimi načeli. Drugič, komunikacija med državljani in zdravstvenimi enotami se poenostavi, standardizira in digitalizira z elektronskimi orodji, kot so platforma, osredotočena na državljane, in telezdravstvena orodja, da se poveča dostop do zdravstvenega varstva. Tretjič, nadgrajena in interoperabilna orodja, ki so na voljo zdravstvenim delavcem (npr. platforme za spremljanje in rehabilitacijo na daljavo, ter sistemi, ki izboljšujejo prenosljivost podatkov med primarnim zdravstvenim varstvom, bolnišnicami in integriranimi ustanovami za neprekinjeno oskrbo) ter ustrezno usposabljanje o digitalnih znanjih in spretnostih. Četrtič, spodbuja se digitalizacija kliničnih zapisov z namenom izvajanja dejavnosti za spremljanje delovanja nacionalne zdravstvene službe.</w:t>
      </w:r>
    </w:p>
    <w:p w14:paraId="00ACB982" w14:textId="05BED5B2" w:rsidR="00F24946" w:rsidRDefault="00613B06">
      <w:pPr>
        <w:pStyle w:val="P68B1DB1-Normal4"/>
        <w:keepNext/>
        <w:spacing w:before="40" w:after="0" w:line="259" w:lineRule="auto"/>
        <w:jc w:val="both"/>
        <w:rPr>
          <w:rFonts w:eastAsia="Times New Roman" w:cs="Times New Roman"/>
          <w:noProof/>
        </w:rPr>
      </w:pPr>
      <w:r>
        <w:rPr>
          <w:noProof/>
        </w:rPr>
        <w:t>Naložba se izvede do 30. junija 2025.</w:t>
      </w:r>
    </w:p>
    <w:p w14:paraId="7D55663F"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RE-C01-i07-RAM: Digitalizacija regionalne zdravstvene službe Madeire</w:t>
      </w:r>
    </w:p>
    <w:p w14:paraId="50407DAA" w14:textId="6CE36D09" w:rsidR="00F24946" w:rsidRDefault="00613B06">
      <w:pPr>
        <w:pStyle w:val="P68B1DB1-Normal4"/>
        <w:keepNext/>
        <w:spacing w:before="40" w:after="0" w:line="259" w:lineRule="auto"/>
        <w:jc w:val="both"/>
        <w:rPr>
          <w:rFonts w:eastAsia="Times New Roman" w:cs="Times New Roman"/>
          <w:noProof/>
        </w:rPr>
      </w:pPr>
      <w:r>
        <w:rPr>
          <w:noProof/>
        </w:rPr>
        <w:t>Cilj te naložbe je spodbujati digitalizacijo regionalne zdravstvene službe Madeire z uvedbo digitalnih tehnologij za podporo kakovosti in učinkovitosti storitev zdravstvenega varstva ter krepitvijo vloge zdravstvenih delavcev in državljanov.</w:t>
      </w:r>
    </w:p>
    <w:p w14:paraId="5521D506" w14:textId="0518B0F6" w:rsidR="00F24946" w:rsidRDefault="00613B06">
      <w:pPr>
        <w:pStyle w:val="P68B1DB1-Normal4"/>
        <w:keepNext/>
        <w:spacing w:before="40" w:after="0" w:line="259" w:lineRule="auto"/>
        <w:jc w:val="both"/>
        <w:rPr>
          <w:rFonts w:eastAsia="Times New Roman" w:cs="Times New Roman"/>
          <w:noProof/>
        </w:rPr>
      </w:pPr>
      <w:r>
        <w:rPr>
          <w:noProof/>
        </w:rPr>
        <w:t>Naložbo sestavlja več projektov, vključno z: I) izvajanje digitalnih tehnologij za podporo spremljanju pacientov, okrepitev razpisov za telezdravstveno delo in spremljanje zdravstvenih razmer državljanov na daljavo; II) krepitev digitalnih tehnologij in umetne inteligence za epidemiološko spremljanje; III) povečanje digitalizacije zdravja in izboljšanje interoperabilnosti informacijskih sistemov; izboljšanje dostopa državljanov do zdravstvenih informacij in storitev z digitalnimi sredstvi; ter v) usposabljanje državljanov in deležnikov za uporabo digitalnih zdravstvenih virov na področju zdravja.</w:t>
      </w:r>
    </w:p>
    <w:p w14:paraId="4184B02B" w14:textId="548FE233" w:rsidR="00F24946" w:rsidRDefault="00613B06">
      <w:pPr>
        <w:pStyle w:val="P68B1DB1-Normal4"/>
        <w:keepNext/>
        <w:spacing w:before="40" w:after="0" w:line="259" w:lineRule="auto"/>
        <w:jc w:val="both"/>
        <w:rPr>
          <w:rFonts w:eastAsia="Times New Roman" w:cs="Times New Roman"/>
          <w:noProof/>
        </w:rPr>
      </w:pPr>
      <w:r>
        <w:rPr>
          <w:noProof/>
        </w:rPr>
        <w:t>Naložba se izvede do 31. decembra 2024.</w:t>
      </w:r>
    </w:p>
    <w:p w14:paraId="36606E5C"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RE-C01-i08-RAA: Digitalna bolnišnica na Azorih</w:t>
      </w:r>
    </w:p>
    <w:p w14:paraId="2C7694B1" w14:textId="77777777" w:rsidR="00F24946" w:rsidRDefault="00613B06">
      <w:pPr>
        <w:pStyle w:val="P68B1DB1-Normal4"/>
        <w:keepNext/>
        <w:spacing w:before="40" w:after="0" w:line="259" w:lineRule="auto"/>
        <w:jc w:val="both"/>
        <w:rPr>
          <w:rFonts w:eastAsia="Times New Roman" w:cs="Times New Roman"/>
          <w:noProof/>
        </w:rPr>
      </w:pPr>
      <w:r>
        <w:rPr>
          <w:noProof/>
        </w:rPr>
        <w:t>Cilj naložbe je povečati ponudbo zdravstvenega varstva in zagotoviti boljši dostop do zdravstvenega varstva na Azorih z digitalizacijo regionalnih zdravstvenih storitev.</w:t>
      </w:r>
    </w:p>
    <w:p w14:paraId="5C3318E6" w14:textId="77777777" w:rsidR="00F24946" w:rsidRDefault="00613B06">
      <w:pPr>
        <w:pStyle w:val="P68B1DB1-Normal4"/>
        <w:keepNext/>
        <w:spacing w:before="40" w:after="0" w:line="259" w:lineRule="auto"/>
        <w:jc w:val="both"/>
        <w:rPr>
          <w:rFonts w:eastAsia="Times New Roman" w:cs="Times New Roman"/>
          <w:noProof/>
        </w:rPr>
      </w:pPr>
      <w:r>
        <w:rPr>
          <w:noProof/>
        </w:rPr>
        <w:t>Naložba zajema oblikovanje elektronskega zdravstvenega zapisa za vsakega državljana, povečanje interoperabilnosti informacijskih sistemov, da se omogoči izmenjava kliničnih informacij med zdravstvenimi delavci, izboljšanje dostopnosti zdravstvenega varstva na najbolj izoliranih otokih brez bolnišnice z izvajanjem telemedicine ter zagotavljanje potrebne strojne in programske opreme ter informacijskih sistemov.</w:t>
      </w:r>
    </w:p>
    <w:p w14:paraId="2F4F1E26"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30. septembra 2025.</w:t>
      </w:r>
    </w:p>
    <w:p w14:paraId="0944758B"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RE-C01-i09: Univerzalni sistem za podporo aktivnemu življenju</w:t>
      </w:r>
    </w:p>
    <w:p w14:paraId="225E11E4" w14:textId="77777777" w:rsidR="00F24946" w:rsidRDefault="00613B06">
      <w:pPr>
        <w:pStyle w:val="P68B1DB1-Normal4"/>
        <w:keepNext/>
        <w:spacing w:before="40" w:after="0" w:line="259" w:lineRule="auto"/>
        <w:jc w:val="both"/>
        <w:rPr>
          <w:rFonts w:eastAsia="Times New Roman" w:cs="Times New Roman"/>
          <w:noProof/>
        </w:rPr>
      </w:pPr>
      <w:r>
        <w:rPr>
          <w:noProof/>
        </w:rPr>
        <w:t>Cilj naložbe je spodbujati telesno in čustveno dobro počutje na Portugalskem s povečanjem nizke ravni telesne dejavnosti v državi ter prispevanjem k boljšemu preprečevanju bolezni in obvladovanju bremena nenalezljivih bolezni.</w:t>
      </w:r>
    </w:p>
    <w:p w14:paraId="0DE11ABE" w14:textId="77777777" w:rsidR="00F24946" w:rsidRDefault="00613B06">
      <w:pPr>
        <w:pStyle w:val="P68B1DB1-Normal4"/>
        <w:keepNext/>
        <w:spacing w:before="40" w:after="0" w:line="259" w:lineRule="auto"/>
        <w:jc w:val="both"/>
        <w:rPr>
          <w:rFonts w:eastAsia="Times New Roman" w:cs="Times New Roman"/>
          <w:noProof/>
        </w:rPr>
      </w:pPr>
      <w:r>
        <w:rPr>
          <w:noProof/>
        </w:rPr>
        <w:t>Naložbo sestavljajo: I) nacionalno kampanjo in tehnološko platformo za spodbujanje telesne dejavnosti, izboljšanje znanja državljanov o koristih redne telesne dejavnosti pri vseh starostih, predpisovanje vaj glede na njihovo sposobnost in spodbujanje bolj zdravega načina življenja; II) razširitev šolskega športa na skupnost s spodbujanjem aktivne mobilnosti, od mlajših let in vse življenje, ter športa v družinskem okolju kot sredstva za spodbujanje uspeha študentov in bolj zdravega načina življenja; ter (iii) spodbujanje telesne dejavnosti na delovnem mestu, spodbujanje izvajanja ukrepov in programov ter zagotavljanje prostorov in opreme za izvajanje telesne dejavnosti.</w:t>
      </w:r>
    </w:p>
    <w:p w14:paraId="0FCBA65F"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30. septembra 2025.</w:t>
      </w:r>
    </w:p>
    <w:p w14:paraId="7D908420" w14:textId="0634E12D" w:rsidR="00F24946" w:rsidRDefault="00613B06">
      <w:pPr>
        <w:pStyle w:val="P68B1DB1-Normal5"/>
        <w:keepNext/>
        <w:spacing w:before="240" w:after="0" w:line="259" w:lineRule="auto"/>
        <w:ind w:left="851"/>
        <w:jc w:val="both"/>
        <w:outlineLvl w:val="2"/>
        <w:rPr>
          <w:rFonts w:eastAsia="Times New Roman" w:cs="Times New Roman"/>
          <w:noProof/>
        </w:rPr>
      </w:pPr>
      <w:bookmarkStart w:id="2" w:name="_Toc137472436"/>
      <w:r>
        <w:rPr>
          <w:noProof/>
        </w:rPr>
        <w:t xml:space="preserve">Naložba RE-C01-i10: </w:t>
      </w:r>
      <w:bookmarkEnd w:id="2"/>
      <w:r>
        <w:rPr>
          <w:noProof/>
        </w:rPr>
        <w:t>Program posodobitve tehnologije NHS</w:t>
      </w:r>
    </w:p>
    <w:p w14:paraId="2C29C380" w14:textId="183EDF89" w:rsidR="00F24946" w:rsidRDefault="00613B06">
      <w:pPr>
        <w:pStyle w:val="P68B1DB1-Normal4"/>
        <w:keepNext/>
        <w:spacing w:before="40" w:after="0" w:line="259" w:lineRule="auto"/>
        <w:jc w:val="both"/>
        <w:rPr>
          <w:rFonts w:eastAsia="Times New Roman" w:cs="Times New Roman"/>
          <w:noProof/>
        </w:rPr>
      </w:pPr>
      <w:r>
        <w:rPr>
          <w:noProof/>
        </w:rPr>
        <w:t>Cilj te naložbe je izboljšati tehnološki park nacionalne zdravstvene službe (NHS), ki prispeva k izboljšanju zdravstvenih storitev.</w:t>
      </w:r>
    </w:p>
    <w:p w14:paraId="593DD359" w14:textId="13C9F938" w:rsidR="00F24946" w:rsidRDefault="00613B06">
      <w:pPr>
        <w:pStyle w:val="P68B1DB1-Normal4"/>
        <w:keepNext/>
        <w:spacing w:before="40" w:after="0" w:line="259" w:lineRule="auto"/>
        <w:jc w:val="both"/>
        <w:rPr>
          <w:rFonts w:eastAsia="Times New Roman" w:cs="Times New Roman"/>
          <w:noProof/>
        </w:rPr>
      </w:pPr>
      <w:r>
        <w:rPr>
          <w:noProof/>
        </w:rPr>
        <w:t xml:space="preserve">Ta naložba zagotavlja nakup težke medicinske opreme za bolnišnice NZS na podlagi poročila, ki ga odobri ministrstvo za zdravje in v katerem so opredeljene potrebe teh bolnišnic po opremi, in sicer v naslednjih kategorijah: angiografski sistemi, računalniški tomografski skenerji z enojno fotonsko emisijo, skenerji za tomografijo pozitronov, sistemi za slikanje z magnetno resonanco, računalniški tomografski skenerji, linearni pospeševalniki in kirurški roboti. </w:t>
      </w:r>
    </w:p>
    <w:p w14:paraId="7E32F4AC" w14:textId="77777777" w:rsidR="00F24946" w:rsidRDefault="00613B06">
      <w:pPr>
        <w:pStyle w:val="P68B1DB1-Normal4"/>
        <w:keepNext/>
        <w:spacing w:before="40" w:after="0" w:line="259" w:lineRule="auto"/>
        <w:jc w:val="both"/>
        <w:rPr>
          <w:rFonts w:eastAsia="Times New Roman" w:cs="Times New Roman"/>
          <w:noProof/>
        </w:rPr>
      </w:pPr>
      <w:r>
        <w:rPr>
          <w:noProof/>
        </w:rPr>
        <w:t>Bolnišnice NZS in enote NZS za primarno zdravstveno varstvo, ki prejemajo finančna sredstva v okviru naložb RE-C01-i04 oziroma RE-C01-i01, so izključene iz te naložbe.</w:t>
      </w:r>
    </w:p>
    <w:p w14:paraId="03E16FDC"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30. junija 2026.</w:t>
      </w:r>
    </w:p>
    <w:p w14:paraId="3F70E244" w14:textId="77777777" w:rsidR="00F24946" w:rsidRDefault="00F24946">
      <w:pPr>
        <w:keepNext/>
        <w:spacing w:before="40" w:after="0" w:line="259" w:lineRule="auto"/>
        <w:jc w:val="both"/>
        <w:rPr>
          <w:rFonts w:ascii="Times New Roman" w:eastAsia="Times New Roman" w:hAnsi="Times New Roman" w:cs="Times New Roman"/>
          <w:noProof/>
          <w:sz w:val="24"/>
        </w:rPr>
      </w:pPr>
    </w:p>
    <w:p w14:paraId="6B39DFAD"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3A4E8AF1" w14:textId="512DF5C1" w:rsidR="00F24946" w:rsidRDefault="00F24946">
      <w:pPr>
        <w:keepNext/>
        <w:spacing w:before="40" w:after="0" w:line="259" w:lineRule="auto"/>
        <w:jc w:val="both"/>
        <w:rPr>
          <w:rFonts w:ascii="Times New Roman" w:eastAsiaTheme="minorEastAsia" w:hAnsi="Times New Roman" w:cs="Times New Roman"/>
          <w:noProof/>
          <w:sz w:val="24"/>
        </w:rPr>
        <w:sectPr w:rsidR="00F24946" w:rsidSect="00CA5ACC">
          <w:headerReference w:type="even" r:id="rId30"/>
          <w:headerReference w:type="default" r:id="rId31"/>
          <w:footerReference w:type="even" r:id="rId32"/>
          <w:footerReference w:type="default" r:id="rId33"/>
          <w:headerReference w:type="first" r:id="rId34"/>
          <w:footerReference w:type="first" r:id="rId35"/>
          <w:type w:val="continuous"/>
          <w:pgSz w:w="11907" w:h="16839"/>
          <w:pgMar w:top="1134" w:right="1134" w:bottom="1134" w:left="1134" w:header="567" w:footer="567" w:gutter="0"/>
          <w:cols w:space="720"/>
          <w:docGrid w:linePitch="360"/>
        </w:sectPr>
      </w:pPr>
    </w:p>
    <w:p w14:paraId="723522AE"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B8052F6" w14:textId="4383A929"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A.2. Mejniki, cilji, kazalniki in časovni razpored za spremljanje in izvajanje nepovratne finančne podpore Naslednje;</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992"/>
        <w:gridCol w:w="1843"/>
        <w:gridCol w:w="1418"/>
        <w:gridCol w:w="1164"/>
        <w:gridCol w:w="962"/>
        <w:gridCol w:w="805"/>
        <w:gridCol w:w="9"/>
        <w:gridCol w:w="824"/>
        <w:gridCol w:w="901"/>
        <w:gridCol w:w="3981"/>
      </w:tblGrid>
      <w:tr w:rsidR="00F24946" w14:paraId="7B628CE4" w14:textId="77777777">
        <w:trPr>
          <w:trHeight w:val="910"/>
          <w:tblHeader/>
        </w:trPr>
        <w:tc>
          <w:tcPr>
            <w:tcW w:w="1135" w:type="dxa"/>
            <w:vMerge w:val="restart"/>
            <w:shd w:val="clear" w:color="auto" w:fill="BDD6EE"/>
            <w:noWrap/>
            <w:vAlign w:val="center"/>
            <w:hideMark/>
          </w:tcPr>
          <w:p w14:paraId="43757383"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noWrap/>
            <w:vAlign w:val="center"/>
            <w:hideMark/>
          </w:tcPr>
          <w:p w14:paraId="0BDD4AC0"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992" w:type="dxa"/>
            <w:vMerge w:val="restart"/>
            <w:shd w:val="clear" w:color="auto" w:fill="BDD6EE"/>
            <w:noWrap/>
            <w:vAlign w:val="center"/>
            <w:hideMark/>
          </w:tcPr>
          <w:p w14:paraId="43895947" w14:textId="12E1DEA9" w:rsidR="00F24946" w:rsidRDefault="00613B06">
            <w:pPr>
              <w:pStyle w:val="P68B1DB1-Normal6"/>
              <w:spacing w:after="0" w:line="240" w:lineRule="auto"/>
              <w:jc w:val="center"/>
              <w:rPr>
                <w:rFonts w:eastAsia="Times New Roman" w:cs="Times New Roman"/>
                <w:noProof/>
              </w:rPr>
            </w:pPr>
            <w:r>
              <w:rPr>
                <w:noProof/>
              </w:rPr>
              <w:t>Mejnik/cilj</w:t>
            </w:r>
          </w:p>
        </w:tc>
        <w:tc>
          <w:tcPr>
            <w:tcW w:w="1843" w:type="dxa"/>
            <w:vMerge w:val="restart"/>
            <w:shd w:val="clear" w:color="auto" w:fill="BDD6EE"/>
            <w:noWrap/>
            <w:vAlign w:val="center"/>
            <w:hideMark/>
          </w:tcPr>
          <w:p w14:paraId="0732D51C" w14:textId="77777777" w:rsidR="00F24946" w:rsidRDefault="00613B06">
            <w:pPr>
              <w:pStyle w:val="P68B1DB1-Normal6"/>
              <w:spacing w:after="0" w:line="240" w:lineRule="auto"/>
              <w:jc w:val="center"/>
              <w:rPr>
                <w:rFonts w:eastAsia="Times New Roman" w:cs="Times New Roman"/>
                <w:noProof/>
              </w:rPr>
            </w:pPr>
            <w:r>
              <w:rPr>
                <w:noProof/>
              </w:rPr>
              <w:t>Ime</w:t>
            </w:r>
          </w:p>
        </w:tc>
        <w:tc>
          <w:tcPr>
            <w:tcW w:w="1418" w:type="dxa"/>
            <w:vMerge w:val="restart"/>
            <w:shd w:val="clear" w:color="auto" w:fill="BDD6EE"/>
            <w:noWrap/>
            <w:vAlign w:val="center"/>
            <w:hideMark/>
          </w:tcPr>
          <w:p w14:paraId="44263E41"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940" w:type="dxa"/>
            <w:gridSpan w:val="4"/>
            <w:shd w:val="clear" w:color="auto" w:fill="BDD6EE"/>
            <w:noWrap/>
            <w:vAlign w:val="center"/>
            <w:hideMark/>
          </w:tcPr>
          <w:p w14:paraId="0A2F2E77"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725" w:type="dxa"/>
            <w:gridSpan w:val="2"/>
            <w:shd w:val="clear" w:color="auto" w:fill="BDD6EE"/>
            <w:noWrap/>
            <w:vAlign w:val="center"/>
            <w:hideMark/>
          </w:tcPr>
          <w:p w14:paraId="4F163F74"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81" w:type="dxa"/>
            <w:vMerge w:val="restart"/>
            <w:shd w:val="clear" w:color="auto" w:fill="BDD6EE"/>
            <w:noWrap/>
            <w:vAlign w:val="center"/>
            <w:hideMark/>
          </w:tcPr>
          <w:p w14:paraId="238D3622"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775EA2A6" w14:textId="77777777">
        <w:trPr>
          <w:trHeight w:val="300"/>
          <w:tblHeader/>
        </w:trPr>
        <w:tc>
          <w:tcPr>
            <w:tcW w:w="1135" w:type="dxa"/>
            <w:vMerge/>
            <w:vAlign w:val="center"/>
            <w:hideMark/>
          </w:tcPr>
          <w:p w14:paraId="0EC3FF2B"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1020BD4F" w14:textId="77777777" w:rsidR="00F24946" w:rsidRDefault="00F24946">
            <w:pPr>
              <w:spacing w:after="0" w:line="240" w:lineRule="auto"/>
              <w:rPr>
                <w:rFonts w:ascii="Times New Roman" w:eastAsia="Times New Roman" w:hAnsi="Times New Roman" w:cs="Times New Roman"/>
                <w:b/>
                <w:noProof/>
                <w:sz w:val="18"/>
              </w:rPr>
            </w:pPr>
          </w:p>
        </w:tc>
        <w:tc>
          <w:tcPr>
            <w:tcW w:w="992" w:type="dxa"/>
            <w:vMerge/>
            <w:noWrap/>
            <w:vAlign w:val="center"/>
            <w:hideMark/>
          </w:tcPr>
          <w:p w14:paraId="530B4B60" w14:textId="4C0DADAB" w:rsidR="00F24946" w:rsidRDefault="00F24946">
            <w:pPr>
              <w:spacing w:after="0" w:line="240" w:lineRule="auto"/>
              <w:jc w:val="center"/>
              <w:rPr>
                <w:rFonts w:ascii="Times New Roman" w:eastAsia="Times New Roman" w:hAnsi="Times New Roman" w:cs="Times New Roman"/>
                <w:b/>
                <w:noProof/>
                <w:sz w:val="18"/>
              </w:rPr>
            </w:pPr>
          </w:p>
        </w:tc>
        <w:tc>
          <w:tcPr>
            <w:tcW w:w="1843" w:type="dxa"/>
            <w:vMerge/>
            <w:vAlign w:val="center"/>
            <w:hideMark/>
          </w:tcPr>
          <w:p w14:paraId="73578D3F" w14:textId="77777777" w:rsidR="00F24946" w:rsidRDefault="00F24946">
            <w:pPr>
              <w:spacing w:after="0" w:line="240" w:lineRule="auto"/>
              <w:rPr>
                <w:rFonts w:ascii="Times New Roman" w:eastAsia="Times New Roman" w:hAnsi="Times New Roman" w:cs="Times New Roman"/>
                <w:b/>
                <w:noProof/>
                <w:sz w:val="18"/>
              </w:rPr>
            </w:pPr>
          </w:p>
        </w:tc>
        <w:tc>
          <w:tcPr>
            <w:tcW w:w="1418" w:type="dxa"/>
            <w:vMerge/>
            <w:vAlign w:val="center"/>
            <w:hideMark/>
          </w:tcPr>
          <w:p w14:paraId="00D28EE5" w14:textId="77777777" w:rsidR="00F24946" w:rsidRDefault="00F24946">
            <w:pPr>
              <w:spacing w:after="0" w:line="240" w:lineRule="auto"/>
              <w:rPr>
                <w:rFonts w:ascii="Times New Roman" w:eastAsia="Times New Roman" w:hAnsi="Times New Roman" w:cs="Times New Roman"/>
                <w:b/>
                <w:noProof/>
                <w:sz w:val="18"/>
              </w:rPr>
            </w:pPr>
          </w:p>
        </w:tc>
        <w:tc>
          <w:tcPr>
            <w:tcW w:w="1164" w:type="dxa"/>
            <w:shd w:val="clear" w:color="auto" w:fill="BDD6EE"/>
            <w:noWrap/>
            <w:vAlign w:val="center"/>
            <w:hideMark/>
          </w:tcPr>
          <w:p w14:paraId="28C094F9"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62" w:type="dxa"/>
            <w:shd w:val="clear" w:color="auto" w:fill="BDD6EE"/>
            <w:noWrap/>
            <w:vAlign w:val="center"/>
            <w:hideMark/>
          </w:tcPr>
          <w:p w14:paraId="7F1FED9F"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05" w:type="dxa"/>
            <w:shd w:val="clear" w:color="auto" w:fill="BDD6EE"/>
            <w:noWrap/>
            <w:vAlign w:val="center"/>
            <w:hideMark/>
          </w:tcPr>
          <w:p w14:paraId="06EBD7F3" w14:textId="77777777" w:rsidR="00F24946" w:rsidRDefault="00613B06">
            <w:pPr>
              <w:pStyle w:val="P68B1DB1-Normal6"/>
              <w:spacing w:after="0" w:line="240" w:lineRule="auto"/>
              <w:jc w:val="center"/>
              <w:rPr>
                <w:rFonts w:eastAsia="Times New Roman" w:cs="Times New Roman"/>
                <w:noProof/>
              </w:rPr>
            </w:pPr>
            <w:r>
              <w:rPr>
                <w:noProof/>
              </w:rPr>
              <w:t>Cilj</w:t>
            </w:r>
          </w:p>
        </w:tc>
        <w:tc>
          <w:tcPr>
            <w:tcW w:w="833" w:type="dxa"/>
            <w:gridSpan w:val="2"/>
            <w:shd w:val="clear" w:color="auto" w:fill="BDD6EE"/>
            <w:noWrap/>
            <w:vAlign w:val="center"/>
            <w:hideMark/>
          </w:tcPr>
          <w:p w14:paraId="20C845CB" w14:textId="77777777" w:rsidR="00F24946" w:rsidRDefault="00613B06">
            <w:pPr>
              <w:pStyle w:val="P68B1DB1-Normal6"/>
              <w:spacing w:after="0" w:line="240" w:lineRule="auto"/>
              <w:jc w:val="center"/>
              <w:rPr>
                <w:rFonts w:eastAsia="Times New Roman" w:cs="Times New Roman"/>
                <w:noProof/>
              </w:rPr>
            </w:pPr>
            <w:r>
              <w:rPr>
                <w:noProof/>
              </w:rPr>
              <w:t>Q</w:t>
            </w:r>
          </w:p>
        </w:tc>
        <w:tc>
          <w:tcPr>
            <w:tcW w:w="901" w:type="dxa"/>
            <w:shd w:val="clear" w:color="auto" w:fill="BDD6EE"/>
            <w:noWrap/>
            <w:vAlign w:val="center"/>
            <w:hideMark/>
          </w:tcPr>
          <w:p w14:paraId="3E2A3F48"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81" w:type="dxa"/>
            <w:vMerge/>
            <w:vAlign w:val="center"/>
            <w:hideMark/>
          </w:tcPr>
          <w:p w14:paraId="75CA9262" w14:textId="77777777" w:rsidR="00F24946" w:rsidRDefault="00F24946">
            <w:pPr>
              <w:spacing w:after="0" w:line="240" w:lineRule="auto"/>
              <w:rPr>
                <w:rFonts w:ascii="Times New Roman" w:eastAsia="Times New Roman" w:hAnsi="Times New Roman" w:cs="Times New Roman"/>
                <w:b/>
                <w:noProof/>
                <w:sz w:val="18"/>
              </w:rPr>
            </w:pPr>
          </w:p>
        </w:tc>
      </w:tr>
      <w:tr w:rsidR="00F24946" w14:paraId="121D32D4" w14:textId="77777777">
        <w:trPr>
          <w:trHeight w:val="1270"/>
        </w:trPr>
        <w:tc>
          <w:tcPr>
            <w:tcW w:w="1135" w:type="dxa"/>
            <w:shd w:val="clear" w:color="auto" w:fill="C4EFCE"/>
            <w:noWrap/>
            <w:vAlign w:val="center"/>
            <w:hideMark/>
          </w:tcPr>
          <w:p w14:paraId="0492ADA0" w14:textId="77777777" w:rsidR="00F24946" w:rsidRDefault="00613B06">
            <w:pPr>
              <w:pStyle w:val="P68B1DB1-Normal7"/>
              <w:spacing w:after="0" w:line="240" w:lineRule="auto"/>
              <w:jc w:val="center"/>
              <w:rPr>
                <w:rFonts w:eastAsia="Times New Roman" w:cs="Calibri"/>
                <w:noProof/>
              </w:rPr>
            </w:pPr>
            <w:r>
              <w:rPr>
                <w:noProof/>
              </w:rPr>
              <w:t>1.1</w:t>
            </w:r>
          </w:p>
        </w:tc>
        <w:tc>
          <w:tcPr>
            <w:tcW w:w="1276" w:type="dxa"/>
            <w:shd w:val="clear" w:color="auto" w:fill="C4EFCE"/>
            <w:noWrap/>
            <w:vAlign w:val="center"/>
            <w:hideMark/>
          </w:tcPr>
          <w:p w14:paraId="0A1B7539" w14:textId="77777777" w:rsidR="00F24946" w:rsidRDefault="00613B06">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5A6CB19F"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6E6F728" w14:textId="77777777" w:rsidR="00F24946" w:rsidRDefault="00613B06">
            <w:pPr>
              <w:pStyle w:val="P68B1DB1-Normal8"/>
              <w:spacing w:after="0" w:line="240" w:lineRule="auto"/>
              <w:jc w:val="center"/>
              <w:rPr>
                <w:rFonts w:eastAsia="Times New Roman" w:cs="Calibri"/>
                <w:noProof/>
              </w:rPr>
            </w:pPr>
            <w:r>
              <w:rPr>
                <w:noProof/>
              </w:rPr>
              <w:t>Začetek veljavnosti pravnih aktov na področju primarnega zdravstvenega varstva</w:t>
            </w:r>
          </w:p>
        </w:tc>
        <w:tc>
          <w:tcPr>
            <w:tcW w:w="1418" w:type="dxa"/>
            <w:shd w:val="clear" w:color="auto" w:fill="C4EFCE"/>
            <w:noWrap/>
            <w:vAlign w:val="center"/>
            <w:hideMark/>
          </w:tcPr>
          <w:p w14:paraId="35A47D91" w14:textId="77777777" w:rsidR="00F24946" w:rsidRDefault="00613B06">
            <w:pPr>
              <w:pStyle w:val="P68B1DB1-Normal8"/>
              <w:spacing w:after="0" w:line="240" w:lineRule="auto"/>
              <w:jc w:val="center"/>
              <w:rPr>
                <w:rFonts w:eastAsia="Times New Roman" w:cs="Calibri"/>
                <w:noProof/>
              </w:rPr>
            </w:pPr>
            <w:r>
              <w:rPr>
                <w:noProof/>
              </w:rPr>
              <w:t>Začetek veljavnosti revidiranih pravnih aktov</w:t>
            </w:r>
          </w:p>
        </w:tc>
        <w:tc>
          <w:tcPr>
            <w:tcW w:w="1164" w:type="dxa"/>
            <w:shd w:val="clear" w:color="auto" w:fill="C4EFCE"/>
            <w:noWrap/>
            <w:vAlign w:val="center"/>
            <w:hideMark/>
          </w:tcPr>
          <w:p w14:paraId="0271FAD2"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69B00747"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1142975"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D871EE2"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63B8927A" w14:textId="77777777" w:rsidR="00F24946" w:rsidRDefault="00613B06">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AD82C03" w14:textId="77777777" w:rsidR="00F24946" w:rsidRDefault="00613B06">
            <w:pPr>
              <w:pStyle w:val="P68B1DB1-Normal8"/>
              <w:spacing w:after="0" w:line="240" w:lineRule="auto"/>
              <w:jc w:val="both"/>
              <w:rPr>
                <w:rFonts w:eastAsia="Times New Roman" w:cs="Calibri"/>
                <w:noProof/>
              </w:rPr>
            </w:pPr>
            <w:r>
              <w:rPr>
                <w:noProof/>
              </w:rPr>
              <w:t>Revizija pravnih aktov na področju primarnega zdravstvenega varstva, in sicer: I) zakonodajo, na kateri temeljijo funkcionalne enote ustanov primarnega zdravstvenega varstva (vključno z uredbo-zakonom št. 73/2017 za enote za družinsko zdravstveno varstvo vzorca B, odlokom vlade št. 1368/2007, pravili in modelom plačila za enote družinskega zdravstvenega varstva iz vzorca B in povezanim pravnim aktom ter pravnimi akti, ki podpirajo delovanje drugih vrst enot primarnega zdravstvenega varstva); in (ii) zakonodajo, ki podpira skupine zdravstvenih centrov (vključno s pravnimi akti, na katerih temeljijo skupine zdravstvenih domov, tj. uredbo-zakonom št. 28/2008).</w:t>
            </w:r>
          </w:p>
        </w:tc>
      </w:tr>
      <w:tr w:rsidR="00F24946" w14:paraId="50205165" w14:textId="77777777">
        <w:trPr>
          <w:trHeight w:val="1270"/>
        </w:trPr>
        <w:tc>
          <w:tcPr>
            <w:tcW w:w="1135" w:type="dxa"/>
            <w:shd w:val="clear" w:color="auto" w:fill="C4EFCE"/>
            <w:noWrap/>
            <w:vAlign w:val="center"/>
            <w:hideMark/>
          </w:tcPr>
          <w:p w14:paraId="0533AA4A" w14:textId="77777777" w:rsidR="00F24946" w:rsidRDefault="00613B06">
            <w:pPr>
              <w:pStyle w:val="P68B1DB1-Normal7"/>
              <w:spacing w:after="0" w:line="240" w:lineRule="auto"/>
              <w:jc w:val="center"/>
              <w:rPr>
                <w:rFonts w:eastAsia="Times New Roman" w:cs="Calibri"/>
                <w:noProof/>
              </w:rPr>
            </w:pPr>
            <w:r>
              <w:rPr>
                <w:noProof/>
              </w:rPr>
              <w:t>1.2</w:t>
            </w:r>
          </w:p>
        </w:tc>
        <w:tc>
          <w:tcPr>
            <w:tcW w:w="1276" w:type="dxa"/>
            <w:shd w:val="clear" w:color="auto" w:fill="C4EFCE"/>
            <w:noWrap/>
            <w:vAlign w:val="center"/>
            <w:hideMark/>
          </w:tcPr>
          <w:p w14:paraId="2A187FFF" w14:textId="77777777" w:rsidR="00F24946" w:rsidRDefault="00613B06">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08F32C70"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3FC6D25" w14:textId="77777777" w:rsidR="00F24946" w:rsidRDefault="00613B06">
            <w:pPr>
              <w:pStyle w:val="P68B1DB1-Normal8"/>
              <w:spacing w:after="0" w:line="240" w:lineRule="auto"/>
              <w:jc w:val="center"/>
              <w:rPr>
                <w:rFonts w:eastAsia="Times New Roman" w:cs="Calibri"/>
                <w:noProof/>
              </w:rPr>
            </w:pPr>
            <w:r>
              <w:rPr>
                <w:noProof/>
              </w:rPr>
              <w:t>Zagotavljanje dostopa do instrumenta za stratifikacijo tveganja za podporo kliničnemu upravljanju v funkcionalnih enotah skupin zdravstvenih centrov</w:t>
            </w:r>
          </w:p>
        </w:tc>
        <w:tc>
          <w:tcPr>
            <w:tcW w:w="1418" w:type="dxa"/>
            <w:shd w:val="clear" w:color="auto" w:fill="C4EFCE"/>
            <w:noWrap/>
            <w:vAlign w:val="center"/>
            <w:hideMark/>
          </w:tcPr>
          <w:p w14:paraId="35F427F1"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2AD19FF"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75CB367B"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FF60DCA" w14:textId="77777777" w:rsidR="00F24946" w:rsidRDefault="00613B06">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D7BB0A8"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3D3518AA" w14:textId="77777777" w:rsidR="00F24946" w:rsidRDefault="00613B06">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9000082" w14:textId="77777777" w:rsidR="00F24946" w:rsidRDefault="00613B06">
            <w:pPr>
              <w:pStyle w:val="P68B1DB1-Normal8"/>
              <w:spacing w:after="0" w:line="240" w:lineRule="auto"/>
              <w:jc w:val="both"/>
              <w:rPr>
                <w:rFonts w:eastAsia="Times New Roman" w:cs="Calibri"/>
                <w:noProof/>
              </w:rPr>
            </w:pPr>
            <w:r>
              <w:rPr>
                <w:noProof/>
              </w:rPr>
              <w:t>Število funkcionalnih enot zdravstvenih centrov, ki imajo dostop do informacij iz instrumenta za stratifikacijo tveganja, ki zajema registrirane uporabnike. Instrument za stratifikacijo tveganja omogoča proaktivno posredovanje pri prebivalstvu z večjim kliničnim tveganjem in socialno ranljivostjo, zagotavlja programe presejanja prebivalstva in zgodnjega diagnosticiranja po vsej državi ter pravočasno zdravljenje in ustrezno spremljanje uporabnikov, ki imajo najpogostejše bolezni (kardiovaskularne bolezni, sladkorna bolezen, rak, dihalne, duševne in osteoartikularne bolezni).</w:t>
            </w:r>
          </w:p>
        </w:tc>
      </w:tr>
      <w:tr w:rsidR="00F24946" w14:paraId="10D6008A" w14:textId="77777777">
        <w:trPr>
          <w:trHeight w:val="1123"/>
        </w:trPr>
        <w:tc>
          <w:tcPr>
            <w:tcW w:w="1135" w:type="dxa"/>
            <w:shd w:val="clear" w:color="auto" w:fill="C4EFCE"/>
            <w:noWrap/>
            <w:vAlign w:val="center"/>
            <w:hideMark/>
          </w:tcPr>
          <w:p w14:paraId="02DF6530" w14:textId="77777777" w:rsidR="00F24946" w:rsidRDefault="00613B06">
            <w:pPr>
              <w:pStyle w:val="P68B1DB1-Normal7"/>
              <w:spacing w:after="0" w:line="240" w:lineRule="auto"/>
              <w:jc w:val="center"/>
              <w:rPr>
                <w:rFonts w:eastAsia="Times New Roman" w:cs="Calibri"/>
                <w:noProof/>
              </w:rPr>
            </w:pPr>
            <w:r>
              <w:rPr>
                <w:noProof/>
              </w:rPr>
              <w:t>1.3</w:t>
            </w:r>
          </w:p>
        </w:tc>
        <w:tc>
          <w:tcPr>
            <w:tcW w:w="1276" w:type="dxa"/>
            <w:shd w:val="clear" w:color="auto" w:fill="C4EFCE"/>
            <w:noWrap/>
            <w:vAlign w:val="center"/>
            <w:hideMark/>
          </w:tcPr>
          <w:p w14:paraId="4F399F94" w14:textId="77777777" w:rsidR="00F24946" w:rsidRDefault="00613B06">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70ABD2FF"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ACA7681" w14:textId="77777777" w:rsidR="00F24946" w:rsidRDefault="00613B06">
            <w:pPr>
              <w:pStyle w:val="P68B1DB1-Normal8"/>
              <w:spacing w:after="0" w:line="240" w:lineRule="auto"/>
              <w:jc w:val="center"/>
              <w:rPr>
                <w:rFonts w:eastAsia="Times New Roman" w:cs="Calibri"/>
                <w:noProof/>
              </w:rPr>
            </w:pPr>
            <w:r>
              <w:rPr>
                <w:noProof/>
              </w:rPr>
              <w:t>Zaključek procesa decentralizacije odgovornosti na področju zdravja v občinah</w:t>
            </w:r>
          </w:p>
        </w:tc>
        <w:tc>
          <w:tcPr>
            <w:tcW w:w="1418" w:type="dxa"/>
            <w:shd w:val="clear" w:color="auto" w:fill="C4EFCE"/>
            <w:noWrap/>
            <w:vAlign w:val="center"/>
            <w:hideMark/>
          </w:tcPr>
          <w:p w14:paraId="1430DBB4"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1693BA5"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2D21E5B6"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8763683" w14:textId="77777777" w:rsidR="00F24946" w:rsidRDefault="00613B06">
            <w:pPr>
              <w:pStyle w:val="P68B1DB1-Normal8"/>
              <w:spacing w:after="0" w:line="240" w:lineRule="auto"/>
              <w:jc w:val="center"/>
              <w:rPr>
                <w:rFonts w:eastAsia="Times New Roman" w:cs="Calibri"/>
                <w:noProof/>
              </w:rPr>
            </w:pPr>
            <w:r>
              <w:rPr>
                <w:noProof/>
              </w:rPr>
              <w:t>201</w:t>
            </w:r>
          </w:p>
        </w:tc>
        <w:tc>
          <w:tcPr>
            <w:tcW w:w="833" w:type="dxa"/>
            <w:gridSpan w:val="2"/>
            <w:shd w:val="clear" w:color="auto" w:fill="C4EFCE"/>
            <w:noWrap/>
            <w:vAlign w:val="center"/>
            <w:hideMark/>
          </w:tcPr>
          <w:p w14:paraId="3A15E654"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531FAD5"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970A0D0" w14:textId="5F4E6DC1" w:rsidR="00F24946" w:rsidRDefault="00613B06">
            <w:pPr>
              <w:pStyle w:val="P68B1DB1-Normal8"/>
              <w:spacing w:after="0" w:line="240" w:lineRule="auto"/>
              <w:jc w:val="both"/>
              <w:rPr>
                <w:rFonts w:eastAsia="Times New Roman" w:cs="Calibri"/>
                <w:noProof/>
              </w:rPr>
            </w:pPr>
            <w:r>
              <w:rPr>
                <w:noProof/>
              </w:rPr>
              <w:t xml:space="preserve">Število novih občin, v katerih se je proces decentralizacije pristojnosti na področju zdravja zaključil v skladu z uredbo-zakonom št. 23/2019 z dne 30. januarja, in sicer s podpisom obvestila o prenosu s strani ministrstva za zdravje, regionalnih zdravstvenih uprav in občin. Prenos odgovornosti zajema: I) sodelovanje občin pri odločitvah o načrtovanju, upravljanju in naložbah enot primarnega zdravstvenega varstva ter oddelkov posegov v zasvojenost in odvisnost, zlasti pri njihovi gradnji, opremi in vzdrževanju; II) upravljanje, vzdrževanje in ohranjanje druge opreme, povezane z osnovnim zdravstvenim varstvom; III) upravljanje zdravstvenih delavcev v kategoriji operativnih pomočnikov funkcionalnih enot skupin zdravstvenih centrov in oddelkov za posredovanje pri zasvojevalnem vedenju in odvisnosti, ki vključujejo nacionalno zdravstveno službo; IV) upravljanje logističnih podpornih storitev skupin zdravstvenih centrov. </w:t>
            </w:r>
          </w:p>
        </w:tc>
      </w:tr>
      <w:tr w:rsidR="00F24946" w14:paraId="52519A96" w14:textId="77777777">
        <w:trPr>
          <w:trHeight w:val="640"/>
        </w:trPr>
        <w:tc>
          <w:tcPr>
            <w:tcW w:w="1135" w:type="dxa"/>
            <w:shd w:val="clear" w:color="auto" w:fill="C4EFCE"/>
            <w:noWrap/>
            <w:vAlign w:val="center"/>
            <w:hideMark/>
          </w:tcPr>
          <w:p w14:paraId="7CDF71B7" w14:textId="77777777" w:rsidR="00F24946" w:rsidRDefault="00613B06">
            <w:pPr>
              <w:pStyle w:val="P68B1DB1-Normal7"/>
              <w:spacing w:after="0" w:line="240" w:lineRule="auto"/>
              <w:jc w:val="center"/>
              <w:rPr>
                <w:rFonts w:eastAsia="Times New Roman" w:cs="Calibri"/>
                <w:noProof/>
              </w:rPr>
            </w:pPr>
            <w:r>
              <w:rPr>
                <w:noProof/>
              </w:rPr>
              <w:t>1.4</w:t>
            </w:r>
          </w:p>
        </w:tc>
        <w:tc>
          <w:tcPr>
            <w:tcW w:w="1276" w:type="dxa"/>
            <w:shd w:val="clear" w:color="auto" w:fill="C4EFCE"/>
            <w:noWrap/>
            <w:vAlign w:val="center"/>
            <w:hideMark/>
          </w:tcPr>
          <w:p w14:paraId="231A738A" w14:textId="77777777" w:rsidR="00F24946" w:rsidRDefault="00613B06">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48CF4AED"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37A3F1D" w14:textId="77777777" w:rsidR="00F24946" w:rsidRDefault="00613B06">
            <w:pPr>
              <w:pStyle w:val="P68B1DB1-Normal8"/>
              <w:spacing w:after="0" w:line="240" w:lineRule="auto"/>
              <w:jc w:val="center"/>
              <w:rPr>
                <w:rFonts w:eastAsia="Times New Roman" w:cs="Calibri"/>
                <w:noProof/>
              </w:rPr>
            </w:pPr>
            <w:r>
              <w:rPr>
                <w:noProof/>
              </w:rPr>
              <w:t>Začetek veljavnosti nove uredbe-zakona o duševnem zdravju, ki določa načela za organizacijo storitev varstva duševnega zdravja</w:t>
            </w:r>
          </w:p>
        </w:tc>
        <w:tc>
          <w:tcPr>
            <w:tcW w:w="1418" w:type="dxa"/>
            <w:shd w:val="clear" w:color="auto" w:fill="C4EFCE"/>
            <w:noWrap/>
            <w:vAlign w:val="center"/>
            <w:hideMark/>
          </w:tcPr>
          <w:p w14:paraId="13D40D49" w14:textId="77777777" w:rsidR="00F24946" w:rsidRDefault="00613B06">
            <w:pPr>
              <w:pStyle w:val="P68B1DB1-Normal8"/>
              <w:spacing w:after="0" w:line="240" w:lineRule="auto"/>
              <w:jc w:val="center"/>
              <w:rPr>
                <w:rFonts w:eastAsia="Times New Roman" w:cs="Calibri"/>
                <w:noProof/>
              </w:rPr>
            </w:pPr>
            <w:r>
              <w:rPr>
                <w:noProof/>
              </w:rPr>
              <w:t>Začetek veljavnosti nove uredbe-zakona o duševnem zdravju</w:t>
            </w:r>
          </w:p>
        </w:tc>
        <w:tc>
          <w:tcPr>
            <w:tcW w:w="1164" w:type="dxa"/>
            <w:shd w:val="clear" w:color="auto" w:fill="C4EFCE"/>
            <w:noWrap/>
            <w:vAlign w:val="center"/>
            <w:hideMark/>
          </w:tcPr>
          <w:p w14:paraId="490E6384"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80C890F"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F2D094"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35388639"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548204FC" w14:textId="77777777" w:rsidR="00F24946" w:rsidRDefault="00613B06">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1B060DF1" w14:textId="77777777" w:rsidR="00F24946" w:rsidRDefault="00613B06">
            <w:pPr>
              <w:pStyle w:val="P68B1DB1-Normal8"/>
              <w:spacing w:after="0" w:line="240" w:lineRule="auto"/>
              <w:jc w:val="both"/>
              <w:rPr>
                <w:rFonts w:eastAsia="Times New Roman" w:cs="Calibri"/>
                <w:noProof/>
              </w:rPr>
            </w:pPr>
            <w:r>
              <w:rPr>
                <w:noProof/>
              </w:rPr>
              <w:t>Nova uredba-zakon odraža predloge za spremembe, ki jih je pripravila delovna skupina, ustanovljena z vladnim odlokom št. 6324/2020 z dne 15. junija, kakor je bila spremenjena z vladnim odlokom št. 11485/2020 z dne 20. novembra, da se opredelijo načela za organizacijo storitev varstva duševnega zdravja.</w:t>
            </w:r>
          </w:p>
        </w:tc>
      </w:tr>
      <w:tr w:rsidR="00F24946" w14:paraId="5A9C21C0" w14:textId="77777777">
        <w:trPr>
          <w:trHeight w:val="1966"/>
        </w:trPr>
        <w:tc>
          <w:tcPr>
            <w:tcW w:w="1135" w:type="dxa"/>
            <w:shd w:val="clear" w:color="auto" w:fill="C4EFCE"/>
            <w:noWrap/>
            <w:vAlign w:val="center"/>
            <w:hideMark/>
          </w:tcPr>
          <w:p w14:paraId="1FA443A3" w14:textId="77777777" w:rsidR="00F24946" w:rsidRDefault="00613B06">
            <w:pPr>
              <w:pStyle w:val="P68B1DB1-Normal7"/>
              <w:spacing w:after="0" w:line="240" w:lineRule="auto"/>
              <w:jc w:val="center"/>
              <w:rPr>
                <w:rFonts w:eastAsia="Times New Roman" w:cs="Calibri"/>
                <w:noProof/>
              </w:rPr>
            </w:pPr>
            <w:r>
              <w:rPr>
                <w:noProof/>
              </w:rPr>
              <w:t>1.5</w:t>
            </w:r>
          </w:p>
        </w:tc>
        <w:tc>
          <w:tcPr>
            <w:tcW w:w="1276" w:type="dxa"/>
            <w:shd w:val="clear" w:color="auto" w:fill="C4EFCE"/>
            <w:noWrap/>
            <w:vAlign w:val="center"/>
            <w:hideMark/>
          </w:tcPr>
          <w:p w14:paraId="7BC38134" w14:textId="77777777" w:rsidR="00F24946" w:rsidRDefault="00613B06">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1640A28D"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8A8BC09" w14:textId="77777777" w:rsidR="00F24946" w:rsidRDefault="00613B06">
            <w:pPr>
              <w:pStyle w:val="P68B1DB1-Normal8"/>
              <w:spacing w:after="0" w:line="240" w:lineRule="auto"/>
              <w:jc w:val="center"/>
              <w:rPr>
                <w:rFonts w:eastAsia="Times New Roman" w:cs="Calibri"/>
                <w:noProof/>
              </w:rPr>
            </w:pPr>
            <w:r>
              <w:rPr>
                <w:noProof/>
              </w:rPr>
              <w:t>Začetek veljavnosti novega zakona o duševnem zdravju, ki določa načela v zvezi s pravicami oseb z duševnimi boleznimi in ureja obvezno hospitalizacijo ali zdravljenje</w:t>
            </w:r>
          </w:p>
        </w:tc>
        <w:tc>
          <w:tcPr>
            <w:tcW w:w="1418" w:type="dxa"/>
            <w:shd w:val="clear" w:color="auto" w:fill="C4EFCE"/>
            <w:noWrap/>
            <w:vAlign w:val="center"/>
            <w:hideMark/>
          </w:tcPr>
          <w:p w14:paraId="0C4283AF" w14:textId="77777777" w:rsidR="00F24946" w:rsidRDefault="00613B06">
            <w:pPr>
              <w:pStyle w:val="P68B1DB1-Normal8"/>
              <w:spacing w:after="0" w:line="240" w:lineRule="auto"/>
              <w:jc w:val="center"/>
              <w:rPr>
                <w:rFonts w:eastAsia="Times New Roman" w:cs="Calibri"/>
                <w:noProof/>
              </w:rPr>
            </w:pPr>
            <w:r>
              <w:rPr>
                <w:noProof/>
              </w:rPr>
              <w:t>Začetek veljavnosti novega zakona o duševnem zdravju</w:t>
            </w:r>
          </w:p>
        </w:tc>
        <w:tc>
          <w:tcPr>
            <w:tcW w:w="1164" w:type="dxa"/>
            <w:shd w:val="clear" w:color="auto" w:fill="C4EFCE"/>
            <w:noWrap/>
            <w:vAlign w:val="center"/>
            <w:hideMark/>
          </w:tcPr>
          <w:p w14:paraId="6EC27EF4"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68D4131"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40AB3AA"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99B69D0"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2A36F701" w14:textId="77777777" w:rsidR="00F24946" w:rsidRDefault="00613B06">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19AE9BCF" w14:textId="77777777" w:rsidR="00F24946" w:rsidRDefault="00613B06">
            <w:pPr>
              <w:pStyle w:val="P68B1DB1-Normal8"/>
              <w:spacing w:after="0" w:line="240" w:lineRule="auto"/>
              <w:jc w:val="both"/>
              <w:rPr>
                <w:rFonts w:eastAsia="Times New Roman" w:cs="Calibri"/>
                <w:noProof/>
              </w:rPr>
            </w:pPr>
            <w:r>
              <w:rPr>
                <w:noProof/>
              </w:rPr>
              <w:t>Novi zakon o duševnem zdravju odraža predloge sprememb, ki jih je pripravila delovna skupina, ustanovljena z vladnim odlokom št. 6324/2020 z dne 15. junija, kakor je bila spremenjena z vladnim odlokom št. 11485/2020 z dne 20. novembra, da bi določila načela v zvezi s pravicami duševno bolnih oseb in uredila obvezno hospitalizacijo ali zdravljenje.</w:t>
            </w:r>
          </w:p>
        </w:tc>
      </w:tr>
      <w:tr w:rsidR="00F24946" w14:paraId="30477D5B" w14:textId="77777777">
        <w:trPr>
          <w:trHeight w:val="850"/>
        </w:trPr>
        <w:tc>
          <w:tcPr>
            <w:tcW w:w="1135" w:type="dxa"/>
            <w:shd w:val="clear" w:color="auto" w:fill="C4EFCE"/>
            <w:noWrap/>
            <w:vAlign w:val="center"/>
            <w:hideMark/>
          </w:tcPr>
          <w:p w14:paraId="32C79C84" w14:textId="77777777" w:rsidR="00F24946" w:rsidRDefault="00613B06">
            <w:pPr>
              <w:pStyle w:val="P68B1DB1-Normal7"/>
              <w:spacing w:after="0" w:line="240" w:lineRule="auto"/>
              <w:jc w:val="center"/>
              <w:rPr>
                <w:rFonts w:eastAsia="Times New Roman" w:cs="Calibri"/>
                <w:noProof/>
              </w:rPr>
            </w:pPr>
            <w:r>
              <w:rPr>
                <w:noProof/>
              </w:rPr>
              <w:t>1.6</w:t>
            </w:r>
          </w:p>
        </w:tc>
        <w:tc>
          <w:tcPr>
            <w:tcW w:w="1276" w:type="dxa"/>
            <w:shd w:val="clear" w:color="auto" w:fill="C4EFCE"/>
            <w:noWrap/>
            <w:vAlign w:val="center"/>
            <w:hideMark/>
          </w:tcPr>
          <w:p w14:paraId="2ECC3EA8"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6C8C908A"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791F258" w14:textId="77777777" w:rsidR="00F24946" w:rsidRDefault="00613B06">
            <w:pPr>
              <w:pStyle w:val="P68B1DB1-Normal8"/>
              <w:spacing w:after="0" w:line="240" w:lineRule="auto"/>
              <w:jc w:val="center"/>
              <w:rPr>
                <w:rFonts w:eastAsia="Times New Roman" w:cs="Calibri"/>
                <w:noProof/>
              </w:rPr>
            </w:pPr>
            <w:r>
              <w:rPr>
                <w:noProof/>
              </w:rPr>
              <w:t xml:space="preserve">Začetek veljavnosti nove predloge pogodbe o upravljanju </w:t>
            </w:r>
          </w:p>
        </w:tc>
        <w:tc>
          <w:tcPr>
            <w:tcW w:w="1418" w:type="dxa"/>
            <w:shd w:val="clear" w:color="auto" w:fill="C4EFCE"/>
            <w:noWrap/>
            <w:vAlign w:val="center"/>
            <w:hideMark/>
          </w:tcPr>
          <w:p w14:paraId="650B0FAE" w14:textId="77777777" w:rsidR="00F24946" w:rsidRDefault="00613B06">
            <w:pPr>
              <w:pStyle w:val="P68B1DB1-Normal8"/>
              <w:spacing w:after="0" w:line="240" w:lineRule="auto"/>
              <w:jc w:val="center"/>
              <w:rPr>
                <w:rFonts w:eastAsia="Times New Roman" w:cs="Calibri"/>
                <w:noProof/>
              </w:rPr>
            </w:pPr>
            <w:r>
              <w:rPr>
                <w:noProof/>
              </w:rPr>
              <w:t>Začetek veljavnosti nove predloge pogodbe o upravljanju</w:t>
            </w:r>
          </w:p>
        </w:tc>
        <w:tc>
          <w:tcPr>
            <w:tcW w:w="1164" w:type="dxa"/>
            <w:shd w:val="clear" w:color="auto" w:fill="C4EFCE"/>
            <w:noWrap/>
            <w:vAlign w:val="center"/>
            <w:hideMark/>
          </w:tcPr>
          <w:p w14:paraId="74656DC2"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230ACBA"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05F4225"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17978E7"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5C203299"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5A41FB03" w14:textId="77777777" w:rsidR="00F24946" w:rsidRDefault="00613B06">
            <w:pPr>
              <w:pStyle w:val="P68B1DB1-Normal8"/>
              <w:spacing w:after="0" w:line="240" w:lineRule="auto"/>
              <w:jc w:val="both"/>
              <w:rPr>
                <w:rFonts w:eastAsia="Times New Roman" w:cs="Calibri"/>
                <w:noProof/>
              </w:rPr>
            </w:pPr>
            <w:r>
              <w:rPr>
                <w:noProof/>
              </w:rPr>
              <w:t>Začetek veljavnosti nove predloge za pogodbo o upravljanju s strani ministrstev za zdravje in finance. Nova predloga se upošteva pri vseh prihodnjih pogodbah o upravljanju, ki jih podpišejo vsi javni upravitelji podjetij v državni lasti v zdravstvenem sistemu, da bi okrepili odgovornost in spodbudili prakse upravljanja, ki temeljijo na uspešnosti.</w:t>
            </w:r>
          </w:p>
        </w:tc>
      </w:tr>
      <w:tr w:rsidR="00F24946" w14:paraId="62CE5DDB" w14:textId="77777777">
        <w:trPr>
          <w:trHeight w:val="556"/>
        </w:trPr>
        <w:tc>
          <w:tcPr>
            <w:tcW w:w="1135" w:type="dxa"/>
            <w:shd w:val="clear" w:color="auto" w:fill="C4EFCE"/>
            <w:noWrap/>
            <w:vAlign w:val="center"/>
            <w:hideMark/>
          </w:tcPr>
          <w:p w14:paraId="41A0C8AD" w14:textId="77777777" w:rsidR="00F24946" w:rsidRDefault="00613B06">
            <w:pPr>
              <w:pStyle w:val="P68B1DB1-Normal7"/>
              <w:spacing w:after="0" w:line="240" w:lineRule="auto"/>
              <w:jc w:val="center"/>
              <w:rPr>
                <w:rFonts w:eastAsia="Times New Roman" w:cs="Calibri"/>
                <w:noProof/>
              </w:rPr>
            </w:pPr>
            <w:r>
              <w:rPr>
                <w:noProof/>
              </w:rPr>
              <w:t>1.7</w:t>
            </w:r>
          </w:p>
        </w:tc>
        <w:tc>
          <w:tcPr>
            <w:tcW w:w="1276" w:type="dxa"/>
            <w:shd w:val="clear" w:color="auto" w:fill="C4EFCE"/>
            <w:noWrap/>
            <w:vAlign w:val="center"/>
            <w:hideMark/>
          </w:tcPr>
          <w:p w14:paraId="503F6CAA"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C388B1A"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03D3A04" w14:textId="77777777" w:rsidR="00F24946" w:rsidRDefault="00613B06">
            <w:pPr>
              <w:pStyle w:val="P68B1DB1-Normal8"/>
              <w:spacing w:after="0" w:line="240" w:lineRule="auto"/>
              <w:jc w:val="center"/>
              <w:rPr>
                <w:rFonts w:eastAsia="Times New Roman" w:cs="Calibri"/>
                <w:noProof/>
              </w:rPr>
            </w:pPr>
            <w:r>
              <w:rPr>
                <w:noProof/>
              </w:rPr>
              <w:t>Začetek veljavnosti novega načrta upravljanja nacionalne zdravstvene službe</w:t>
            </w:r>
          </w:p>
        </w:tc>
        <w:tc>
          <w:tcPr>
            <w:tcW w:w="1418" w:type="dxa"/>
            <w:shd w:val="clear" w:color="auto" w:fill="C4EFCE"/>
            <w:noWrap/>
            <w:vAlign w:val="center"/>
            <w:hideMark/>
          </w:tcPr>
          <w:p w14:paraId="17E76F91" w14:textId="77777777" w:rsidR="00F24946" w:rsidRDefault="00613B06">
            <w:pPr>
              <w:pStyle w:val="P68B1DB1-Normal8"/>
              <w:spacing w:after="0" w:line="240" w:lineRule="auto"/>
              <w:jc w:val="center"/>
              <w:rPr>
                <w:rFonts w:eastAsia="Times New Roman" w:cs="Calibri"/>
                <w:noProof/>
              </w:rPr>
            </w:pPr>
            <w:r>
              <w:rPr>
                <w:noProof/>
              </w:rPr>
              <w:t>Začetek veljavnosti novega načrta za vodenje računov</w:t>
            </w:r>
          </w:p>
        </w:tc>
        <w:tc>
          <w:tcPr>
            <w:tcW w:w="1164" w:type="dxa"/>
            <w:shd w:val="clear" w:color="auto" w:fill="C4EFCE"/>
            <w:noWrap/>
            <w:vAlign w:val="center"/>
            <w:hideMark/>
          </w:tcPr>
          <w:p w14:paraId="24AFC56D"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06359F79"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2339343"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FA554EC"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24B7A493" w14:textId="77777777"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4314FC7" w14:textId="77777777" w:rsidR="00F24946" w:rsidRDefault="00613B06">
            <w:pPr>
              <w:pStyle w:val="P68B1DB1-Normal8"/>
              <w:spacing w:after="0" w:line="240" w:lineRule="auto"/>
              <w:jc w:val="both"/>
              <w:rPr>
                <w:rFonts w:eastAsia="Times New Roman" w:cs="Calibri"/>
                <w:noProof/>
              </w:rPr>
            </w:pPr>
            <w:r>
              <w:rPr>
                <w:noProof/>
              </w:rPr>
              <w:t>Priprava načrta vodenja računov za nacionalno zdravstveno službo, da bi se na nacionalni ravni zbrale informacije o stroških, prihodkih in rezultatih bolnišničnih storitev, s čimer bi se izboljšalo dodeljevanje sredstev v nacionalni zdravstveni službi, primerjalna analiza in opredelitev področij za izboljšanje operativne učinkovitosti zdravstvenih ustanov. Osrednji upravni organ zdravstvenega sistema z normativno okrožnico razširja novi načrt vodenja računovodenja.</w:t>
            </w:r>
          </w:p>
        </w:tc>
      </w:tr>
      <w:tr w:rsidR="00F24946" w14:paraId="32CD0FC0" w14:textId="77777777">
        <w:trPr>
          <w:trHeight w:val="509"/>
        </w:trPr>
        <w:tc>
          <w:tcPr>
            <w:tcW w:w="1135" w:type="dxa"/>
            <w:shd w:val="clear" w:color="auto" w:fill="C4EFCE"/>
            <w:noWrap/>
            <w:vAlign w:val="center"/>
            <w:hideMark/>
          </w:tcPr>
          <w:p w14:paraId="21F38F39" w14:textId="77777777" w:rsidR="00F24946" w:rsidRDefault="00613B06">
            <w:pPr>
              <w:pStyle w:val="P68B1DB1-Normal7"/>
              <w:spacing w:after="0" w:line="240" w:lineRule="auto"/>
              <w:jc w:val="center"/>
              <w:rPr>
                <w:rFonts w:eastAsia="Times New Roman" w:cs="Calibri"/>
                <w:noProof/>
              </w:rPr>
            </w:pPr>
            <w:r>
              <w:rPr>
                <w:noProof/>
              </w:rPr>
              <w:t>1.8</w:t>
            </w:r>
          </w:p>
        </w:tc>
        <w:tc>
          <w:tcPr>
            <w:tcW w:w="1276" w:type="dxa"/>
            <w:shd w:val="clear" w:color="auto" w:fill="C4EFCE"/>
            <w:noWrap/>
            <w:vAlign w:val="center"/>
            <w:hideMark/>
          </w:tcPr>
          <w:p w14:paraId="17CA506E"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77C53D1"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7A85A30" w14:textId="77777777" w:rsidR="00F24946" w:rsidRDefault="00613B06">
            <w:pPr>
              <w:pStyle w:val="P68B1DB1-Normal8"/>
              <w:spacing w:after="0" w:line="240" w:lineRule="auto"/>
              <w:jc w:val="center"/>
              <w:rPr>
                <w:rFonts w:eastAsia="Times New Roman" w:cs="Calibri"/>
                <w:noProof/>
              </w:rPr>
            </w:pPr>
            <w:r>
              <w:rPr>
                <w:noProof/>
              </w:rPr>
              <w:t>Ustanovitev novih centrov integrirane odgovornosti v bolnišnicah nacionalne zdravstvene službe</w:t>
            </w:r>
          </w:p>
        </w:tc>
        <w:tc>
          <w:tcPr>
            <w:tcW w:w="1418" w:type="dxa"/>
            <w:shd w:val="clear" w:color="auto" w:fill="C4EFCE"/>
            <w:noWrap/>
            <w:vAlign w:val="center"/>
            <w:hideMark/>
          </w:tcPr>
          <w:p w14:paraId="60988E12"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8F2FF0"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2B2EFD81"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4C0063E" w14:textId="77777777" w:rsidR="00F24946" w:rsidRDefault="00613B06">
            <w:pPr>
              <w:pStyle w:val="P68B1DB1-Normal8"/>
              <w:spacing w:after="0" w:line="240" w:lineRule="auto"/>
              <w:jc w:val="center"/>
              <w:rPr>
                <w:rFonts w:eastAsia="Times New Roman" w:cs="Calibri"/>
                <w:noProof/>
              </w:rPr>
            </w:pPr>
            <w:r>
              <w:rPr>
                <w:noProof/>
              </w:rPr>
              <w:t>10</w:t>
            </w:r>
          </w:p>
        </w:tc>
        <w:tc>
          <w:tcPr>
            <w:tcW w:w="833" w:type="dxa"/>
            <w:gridSpan w:val="2"/>
            <w:shd w:val="clear" w:color="auto" w:fill="C4EFCE"/>
            <w:noWrap/>
            <w:vAlign w:val="center"/>
            <w:hideMark/>
          </w:tcPr>
          <w:p w14:paraId="15BC6433"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75CACAD"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95952DF" w14:textId="77777777" w:rsidR="00F24946" w:rsidRDefault="00613B06">
            <w:pPr>
              <w:pStyle w:val="P68B1DB1-Normal8"/>
              <w:spacing w:after="0" w:line="240" w:lineRule="auto"/>
              <w:jc w:val="both"/>
              <w:rPr>
                <w:rFonts w:eastAsia="Times New Roman" w:cs="Calibri"/>
                <w:noProof/>
              </w:rPr>
            </w:pPr>
            <w:r>
              <w:rPr>
                <w:noProof/>
              </w:rPr>
              <w:t>Vzpostavitev novih centrov integrirane odgovornosti v bolnišnicah nacionalne zdravstvene službe, da bi: I) izboljšanje dostopa do zdravstvenih storitev ter njihove kakovosti in učinkovitosti; (II) krepitev kliničnega upravljanja, avtonomije in odgovornosti zdravstvenih storitev; spodbujati zdravstvene delavce, naj še naprej delajo v javnih bolnišnicah; (IV) delitev tveganj in koristi med zdravstvenimi službami in bolnišnicami; v) vrednoti poslanstvo vsake zdravstvene službe in bolnišnice v regionalnem in nacionalnem okviru nacionalne zdravstvene službe.</w:t>
            </w:r>
          </w:p>
        </w:tc>
      </w:tr>
      <w:tr w:rsidR="00F24946" w14:paraId="1939BFC6" w14:textId="77777777">
        <w:trPr>
          <w:trHeight w:val="1270"/>
        </w:trPr>
        <w:tc>
          <w:tcPr>
            <w:tcW w:w="1135" w:type="dxa"/>
            <w:shd w:val="clear" w:color="auto" w:fill="C4EFCE"/>
            <w:noWrap/>
            <w:vAlign w:val="center"/>
            <w:hideMark/>
          </w:tcPr>
          <w:p w14:paraId="3C32EC3C" w14:textId="77777777" w:rsidR="00F24946" w:rsidRDefault="00613B06">
            <w:pPr>
              <w:pStyle w:val="P68B1DB1-Normal7"/>
              <w:spacing w:after="0" w:line="240" w:lineRule="auto"/>
              <w:jc w:val="center"/>
              <w:rPr>
                <w:rFonts w:eastAsia="Times New Roman" w:cs="Calibri"/>
                <w:noProof/>
              </w:rPr>
            </w:pPr>
            <w:r>
              <w:rPr>
                <w:noProof/>
              </w:rPr>
              <w:t>1.9</w:t>
            </w:r>
          </w:p>
        </w:tc>
        <w:tc>
          <w:tcPr>
            <w:tcW w:w="1276" w:type="dxa"/>
            <w:shd w:val="clear" w:color="auto" w:fill="C4EFCE"/>
            <w:noWrap/>
            <w:vAlign w:val="center"/>
            <w:hideMark/>
          </w:tcPr>
          <w:p w14:paraId="089D7CDD"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CCBCD34"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18C1018" w14:textId="77777777" w:rsidR="00F24946" w:rsidRDefault="00613B06">
            <w:pPr>
              <w:pStyle w:val="P68B1DB1-Normal8"/>
              <w:spacing w:after="0" w:line="240" w:lineRule="auto"/>
              <w:jc w:val="center"/>
              <w:rPr>
                <w:rFonts w:eastAsia="Times New Roman" w:cs="Calibri"/>
                <w:noProof/>
              </w:rPr>
            </w:pPr>
            <w:r>
              <w:rPr>
                <w:noProof/>
              </w:rPr>
              <w:t>Ustanovitev novih centrov integrirane odgovornosti v bolnišnicah nacionalne zdravstvene službe</w:t>
            </w:r>
          </w:p>
        </w:tc>
        <w:tc>
          <w:tcPr>
            <w:tcW w:w="1418" w:type="dxa"/>
            <w:shd w:val="clear" w:color="auto" w:fill="C4EFCE"/>
            <w:noWrap/>
            <w:vAlign w:val="center"/>
            <w:hideMark/>
          </w:tcPr>
          <w:p w14:paraId="05523826"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E40AB99"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5203E359" w14:textId="77777777" w:rsidR="00F24946" w:rsidRDefault="00613B06">
            <w:pPr>
              <w:pStyle w:val="P68B1DB1-Normal8"/>
              <w:spacing w:after="0" w:line="240" w:lineRule="auto"/>
              <w:jc w:val="center"/>
              <w:rPr>
                <w:rFonts w:eastAsia="Times New Roman" w:cs="Calibri"/>
                <w:noProof/>
              </w:rPr>
            </w:pPr>
            <w:r>
              <w:rPr>
                <w:noProof/>
              </w:rPr>
              <w:t>10</w:t>
            </w:r>
          </w:p>
        </w:tc>
        <w:tc>
          <w:tcPr>
            <w:tcW w:w="805" w:type="dxa"/>
            <w:shd w:val="clear" w:color="auto" w:fill="C4EFCE"/>
            <w:noWrap/>
            <w:vAlign w:val="center"/>
            <w:hideMark/>
          </w:tcPr>
          <w:p w14:paraId="7A35B435" w14:textId="77777777" w:rsidR="00F24946" w:rsidRDefault="00613B06">
            <w:pPr>
              <w:pStyle w:val="P68B1DB1-Normal8"/>
              <w:spacing w:after="0" w:line="240" w:lineRule="auto"/>
              <w:jc w:val="center"/>
              <w:rPr>
                <w:rFonts w:eastAsia="Times New Roman" w:cs="Calibri"/>
                <w:noProof/>
              </w:rPr>
            </w:pPr>
            <w:r>
              <w:rPr>
                <w:noProof/>
              </w:rPr>
              <w:t>25</w:t>
            </w:r>
          </w:p>
        </w:tc>
        <w:tc>
          <w:tcPr>
            <w:tcW w:w="833" w:type="dxa"/>
            <w:gridSpan w:val="2"/>
            <w:shd w:val="clear" w:color="auto" w:fill="C4EFCE"/>
            <w:noWrap/>
            <w:vAlign w:val="center"/>
            <w:hideMark/>
          </w:tcPr>
          <w:p w14:paraId="794F3E26"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0104365"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AF662D1" w14:textId="77777777" w:rsidR="00F24946" w:rsidRDefault="00613B06">
            <w:pPr>
              <w:pStyle w:val="P68B1DB1-Normal8"/>
              <w:spacing w:after="0" w:line="240" w:lineRule="auto"/>
              <w:jc w:val="both"/>
              <w:rPr>
                <w:rFonts w:eastAsia="Times New Roman" w:cs="Calibri"/>
                <w:noProof/>
              </w:rPr>
            </w:pPr>
            <w:r>
              <w:rPr>
                <w:noProof/>
              </w:rPr>
              <w:t>Vzpostavitev novih centrov integrirane odgovornosti v bolnišnicah nacionalne zdravstvene službe, da bi: I) izboljšanje dostopa do zdravstvenih storitev ter njihove kakovosti in učinkovitosti; (II) krepitev kliničnega upravljanja, avtonomije in odgovornosti zdravstvenih storitev; spodbujati zdravstvene delavce, naj še naprej delajo v javnih bolnišnicah; (IV) delitev tveganj in koristi med zdravstvenimi službami in bolnišnicami; v) vrednoti poslanstvo vsake zdravstvene službe in bolnišnice v regionalnem in nacionalnem okviru nacionalne zdravstvene službe.</w:t>
            </w:r>
          </w:p>
        </w:tc>
      </w:tr>
      <w:tr w:rsidR="00F24946" w14:paraId="42C580F2" w14:textId="77777777">
        <w:trPr>
          <w:trHeight w:val="1270"/>
        </w:trPr>
        <w:tc>
          <w:tcPr>
            <w:tcW w:w="1135" w:type="dxa"/>
            <w:shd w:val="clear" w:color="auto" w:fill="C4EFCE"/>
            <w:noWrap/>
            <w:vAlign w:val="center"/>
            <w:hideMark/>
          </w:tcPr>
          <w:p w14:paraId="577ECC38" w14:textId="77777777" w:rsidR="00F24946" w:rsidRDefault="00613B06">
            <w:pPr>
              <w:pStyle w:val="P68B1DB1-Normal7"/>
              <w:spacing w:after="0" w:line="240" w:lineRule="auto"/>
              <w:jc w:val="center"/>
              <w:rPr>
                <w:rFonts w:eastAsia="Times New Roman" w:cs="Calibri"/>
                <w:noProof/>
              </w:rPr>
            </w:pPr>
            <w:r>
              <w:rPr>
                <w:noProof/>
              </w:rPr>
              <w:t>1.10</w:t>
            </w:r>
          </w:p>
        </w:tc>
        <w:tc>
          <w:tcPr>
            <w:tcW w:w="1276" w:type="dxa"/>
            <w:shd w:val="clear" w:color="auto" w:fill="C4EFCE"/>
            <w:noWrap/>
            <w:vAlign w:val="center"/>
            <w:hideMark/>
          </w:tcPr>
          <w:p w14:paraId="366D7083"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F822836"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4D5231" w14:textId="77777777" w:rsidR="00F24946" w:rsidRDefault="00613B06">
            <w:pPr>
              <w:pStyle w:val="P68B1DB1-Normal8"/>
              <w:spacing w:after="0" w:line="240" w:lineRule="auto"/>
              <w:jc w:val="center"/>
              <w:rPr>
                <w:rFonts w:eastAsia="Times New Roman" w:cs="Calibri"/>
                <w:noProof/>
              </w:rPr>
            </w:pPr>
            <w:r>
              <w:rPr>
                <w:noProof/>
              </w:rPr>
              <w:t>Krepitev odzivov na hospitalizacijo na domu v bolnišnicah nacionalne zdravstvene službe</w:t>
            </w:r>
          </w:p>
        </w:tc>
        <w:tc>
          <w:tcPr>
            <w:tcW w:w="1418" w:type="dxa"/>
            <w:shd w:val="clear" w:color="auto" w:fill="C4EFCE"/>
            <w:noWrap/>
            <w:vAlign w:val="center"/>
            <w:hideMark/>
          </w:tcPr>
          <w:p w14:paraId="345712F2"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B7E8C08"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10CED8A4"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A59B4DD" w14:textId="77777777" w:rsidR="00F24946" w:rsidRDefault="00613B06">
            <w:pPr>
              <w:pStyle w:val="P68B1DB1-Normal8"/>
              <w:spacing w:after="0" w:line="240" w:lineRule="auto"/>
              <w:jc w:val="center"/>
              <w:rPr>
                <w:rFonts w:eastAsia="Times New Roman" w:cs="Calibri"/>
                <w:noProof/>
              </w:rPr>
            </w:pPr>
            <w:r>
              <w:rPr>
                <w:noProof/>
              </w:rPr>
              <w:t>5 000</w:t>
            </w:r>
          </w:p>
        </w:tc>
        <w:tc>
          <w:tcPr>
            <w:tcW w:w="833" w:type="dxa"/>
            <w:gridSpan w:val="2"/>
            <w:shd w:val="clear" w:color="auto" w:fill="C4EFCE"/>
            <w:noWrap/>
            <w:vAlign w:val="center"/>
            <w:hideMark/>
          </w:tcPr>
          <w:p w14:paraId="0E7C5F59"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5462A3BC" w14:textId="77777777"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7304B4C" w14:textId="77777777" w:rsidR="00F24946" w:rsidRDefault="00613B06">
            <w:pPr>
              <w:pStyle w:val="P68B1DB1-Normal8"/>
              <w:spacing w:after="0" w:line="240" w:lineRule="auto"/>
              <w:jc w:val="both"/>
              <w:rPr>
                <w:rFonts w:eastAsia="Times New Roman" w:cs="Calibri"/>
                <w:noProof/>
              </w:rPr>
            </w:pPr>
            <w:r>
              <w:rPr>
                <w:noProof/>
              </w:rPr>
              <w:t>Povečanje odzivne zmogljivosti pri hospitalizaciji na domu z omogočanjem zagotavljanja zdravstvenih storitev na domu z diferenciacijo, kompleksnostjo in intenzivnostjo na ravni bolnišnic za omejeno obdobje, v tesni povezavi s primarnimi zdravstvenimi storitvami, nacionalno mrežo integrirane neprekinjene oskrbe, socialnim sektorjem in širšo skupnostjo, merjeno s številom novih epizod hospitalizacije na domu (opredeljenih kot niz oskrbe, ki se zagotavlja v obdobju, ko je pacient v pristojnosti enote za hospitalizacijo na domu, ki poteka neprekinjeno od datuma sprejema do datuma odpusta, razen dneva odpusta).</w:t>
            </w:r>
          </w:p>
        </w:tc>
      </w:tr>
      <w:tr w:rsidR="00F24946" w14:paraId="1699988C" w14:textId="77777777">
        <w:trPr>
          <w:trHeight w:val="548"/>
        </w:trPr>
        <w:tc>
          <w:tcPr>
            <w:tcW w:w="1135" w:type="dxa"/>
            <w:shd w:val="clear" w:color="auto" w:fill="C4EFCE"/>
            <w:noWrap/>
            <w:vAlign w:val="center"/>
            <w:hideMark/>
          </w:tcPr>
          <w:p w14:paraId="2DF091B1" w14:textId="77777777" w:rsidR="00F24946" w:rsidRDefault="00613B06">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0111FB9C"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9EE4E04"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633A7BA" w14:textId="77777777" w:rsidR="00F24946" w:rsidRDefault="00613B06">
            <w:pPr>
              <w:pStyle w:val="P68B1DB1-Normal8"/>
              <w:spacing w:after="0" w:line="240" w:lineRule="auto"/>
              <w:jc w:val="center"/>
              <w:rPr>
                <w:rFonts w:eastAsia="Times New Roman" w:cs="Calibri"/>
                <w:noProof/>
              </w:rPr>
            </w:pPr>
            <w:r>
              <w:rPr>
                <w:noProof/>
              </w:rPr>
              <w:t>Začetek veljavnosti akcijskega načrta za okrepitev centraliziranih nabavnih mehanizmov za zdravila</w:t>
            </w:r>
          </w:p>
        </w:tc>
        <w:tc>
          <w:tcPr>
            <w:tcW w:w="1418" w:type="dxa"/>
            <w:shd w:val="clear" w:color="auto" w:fill="C4EFCE"/>
            <w:noWrap/>
            <w:vAlign w:val="center"/>
            <w:hideMark/>
          </w:tcPr>
          <w:p w14:paraId="76B6595B" w14:textId="77777777" w:rsidR="00F24946" w:rsidRDefault="00613B06">
            <w:pPr>
              <w:pStyle w:val="P68B1DB1-Normal8"/>
              <w:spacing w:after="0" w:line="240" w:lineRule="auto"/>
              <w:jc w:val="center"/>
              <w:rPr>
                <w:rFonts w:eastAsia="Times New Roman" w:cs="Calibri"/>
                <w:noProof/>
              </w:rPr>
            </w:pPr>
            <w:r>
              <w:rPr>
                <w:noProof/>
              </w:rPr>
              <w:t>Začetek veljavnosti akcijskega načrta za okrepitev centraliziranih nabavnih mehanizmov za zdravila</w:t>
            </w:r>
          </w:p>
        </w:tc>
        <w:tc>
          <w:tcPr>
            <w:tcW w:w="1164" w:type="dxa"/>
            <w:shd w:val="clear" w:color="auto" w:fill="C4EFCE"/>
            <w:noWrap/>
            <w:vAlign w:val="center"/>
            <w:hideMark/>
          </w:tcPr>
          <w:p w14:paraId="4C8EE4DB"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0EE7582"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71ECECB"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3F04864"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64160DE6" w14:textId="77777777"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D202E36" w14:textId="77777777" w:rsidR="00F24946" w:rsidRDefault="00613B06">
            <w:pPr>
              <w:pStyle w:val="P68B1DB1-Normal8"/>
              <w:spacing w:after="0" w:line="240" w:lineRule="auto"/>
              <w:jc w:val="both"/>
              <w:rPr>
                <w:rFonts w:eastAsia="Times New Roman" w:cs="Calibri"/>
                <w:noProof/>
              </w:rPr>
            </w:pPr>
            <w:r>
              <w:rPr>
                <w:noProof/>
              </w:rPr>
              <w:t>Začetek veljavnosti akcijskega načrta za okrepitev centraliziranih nabavnih mehanizmov za zdravila, izvajanje priporočil neodvisne ocene centraliziranega javnega naročanja zdravil na Portugalskem, ki jo je izvedel avstrijski nacionalni inštitut za javno zdravje v okviru programa za podporo strukturnim reformam.</w:t>
            </w:r>
          </w:p>
        </w:tc>
      </w:tr>
      <w:tr w:rsidR="00F24946" w14:paraId="240E4FD9" w14:textId="77777777">
        <w:trPr>
          <w:trHeight w:val="430"/>
        </w:trPr>
        <w:tc>
          <w:tcPr>
            <w:tcW w:w="1135" w:type="dxa"/>
            <w:shd w:val="clear" w:color="auto" w:fill="C4EFCE"/>
            <w:noWrap/>
            <w:vAlign w:val="center"/>
            <w:hideMark/>
          </w:tcPr>
          <w:p w14:paraId="1D7DFEEA" w14:textId="77777777" w:rsidR="00F24946" w:rsidRDefault="00613B06">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05A91880" w14:textId="77777777" w:rsidR="00F24946" w:rsidRDefault="00613B06">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31D9089"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3EADC9" w14:textId="5ED57581" w:rsidR="00F24946" w:rsidRDefault="00613B06">
            <w:pPr>
              <w:pStyle w:val="P68B1DB1-Normal8"/>
              <w:spacing w:after="0" w:line="240" w:lineRule="auto"/>
              <w:jc w:val="center"/>
              <w:rPr>
                <w:rFonts w:eastAsia="Times New Roman" w:cs="Calibri"/>
                <w:noProof/>
              </w:rPr>
            </w:pPr>
            <w:r>
              <w:rPr>
                <w:noProof/>
              </w:rPr>
              <w:t>Začetek veljavnosti nove popolne predanosti v nacionalni zdravstveni službi</w:t>
            </w:r>
          </w:p>
        </w:tc>
        <w:tc>
          <w:tcPr>
            <w:tcW w:w="1418" w:type="dxa"/>
            <w:shd w:val="clear" w:color="auto" w:fill="C4EFCE"/>
            <w:noWrap/>
            <w:vAlign w:val="center"/>
            <w:hideMark/>
          </w:tcPr>
          <w:p w14:paraId="5F9DE5F0" w14:textId="3E09C163" w:rsidR="00F24946" w:rsidRDefault="00613B06">
            <w:pPr>
              <w:pStyle w:val="P68B1DB1-Normal8"/>
              <w:spacing w:after="0" w:line="240" w:lineRule="auto"/>
              <w:jc w:val="center"/>
              <w:rPr>
                <w:rFonts w:eastAsia="Times New Roman" w:cs="Calibri"/>
                <w:noProof/>
              </w:rPr>
            </w:pPr>
            <w:r>
              <w:rPr>
                <w:noProof/>
              </w:rPr>
              <w:t>Začetek veljavnosti novega režima popolne predanosti</w:t>
            </w:r>
          </w:p>
        </w:tc>
        <w:tc>
          <w:tcPr>
            <w:tcW w:w="1164" w:type="dxa"/>
            <w:shd w:val="clear" w:color="auto" w:fill="C4EFCE"/>
            <w:noWrap/>
            <w:vAlign w:val="center"/>
            <w:hideMark/>
          </w:tcPr>
          <w:p w14:paraId="478B13EF"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D88994E"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3C6E2B3D"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697D9E3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132AD89B" w14:textId="77777777" w:rsidR="00F24946" w:rsidRDefault="00613B06">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6DC4701F" w14:textId="174CBF8B" w:rsidR="00F24946" w:rsidRDefault="00613B06">
            <w:pPr>
              <w:pStyle w:val="P68B1DB1-Normal8"/>
              <w:spacing w:after="0" w:line="240" w:lineRule="auto"/>
              <w:jc w:val="both"/>
              <w:rPr>
                <w:rFonts w:eastAsia="Times New Roman" w:cs="Calibri"/>
                <w:noProof/>
              </w:rPr>
            </w:pPr>
            <w:r>
              <w:rPr>
                <w:noProof/>
              </w:rPr>
              <w:t>Nov sistem polnega dela za zdravstvene delavce v nacionalni zdravstveni službi, ki vključuje ustrezne mehanizme za organizacijo delovnega časa in plačnih tabel.</w:t>
            </w:r>
          </w:p>
        </w:tc>
      </w:tr>
      <w:tr w:rsidR="00F24946" w14:paraId="00BADC6F" w14:textId="77777777">
        <w:trPr>
          <w:trHeight w:val="640"/>
        </w:trPr>
        <w:tc>
          <w:tcPr>
            <w:tcW w:w="1135" w:type="dxa"/>
            <w:shd w:val="clear" w:color="auto" w:fill="C4EFCE"/>
            <w:noWrap/>
            <w:vAlign w:val="center"/>
            <w:hideMark/>
          </w:tcPr>
          <w:p w14:paraId="5419F19A" w14:textId="77777777" w:rsidR="00F24946" w:rsidRDefault="00613B06">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02567C83"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AF35FB7"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5ABDD2D" w14:textId="77777777" w:rsidR="00F24946" w:rsidRDefault="00613B06">
            <w:pPr>
              <w:pStyle w:val="P68B1DB1-Normal8"/>
              <w:spacing w:after="0" w:line="240" w:lineRule="auto"/>
              <w:jc w:val="center"/>
              <w:rPr>
                <w:rFonts w:eastAsia="Times New Roman" w:cs="Calibri"/>
                <w:noProof/>
              </w:rPr>
            </w:pPr>
            <w:r>
              <w:rPr>
                <w:noProof/>
              </w:rPr>
              <w:t>Začetek veljavnosti pogojev za sklicevanje na nujne primere v belih, modrih ali zelenih bolnišničnih službah za nujne primere za druge vrste zdravstvenih storitev, vključno s storitvami primarnega zdravstvenega varstva</w:t>
            </w:r>
          </w:p>
        </w:tc>
        <w:tc>
          <w:tcPr>
            <w:tcW w:w="1418" w:type="dxa"/>
            <w:shd w:val="clear" w:color="auto" w:fill="C4EFCE"/>
            <w:noWrap/>
            <w:vAlign w:val="center"/>
            <w:hideMark/>
          </w:tcPr>
          <w:p w14:paraId="5D50F531" w14:textId="77777777" w:rsidR="00F24946" w:rsidRDefault="00613B06">
            <w:pPr>
              <w:pStyle w:val="P68B1DB1-Normal8"/>
              <w:spacing w:after="0" w:line="240" w:lineRule="auto"/>
              <w:jc w:val="center"/>
              <w:rPr>
                <w:rFonts w:eastAsia="Times New Roman" w:cs="Calibri"/>
                <w:noProof/>
              </w:rPr>
            </w:pPr>
            <w:r>
              <w:rPr>
                <w:noProof/>
              </w:rPr>
              <w:t xml:space="preserve">Začetek veljavnosti pogojev za sklicevanje na nujne primere </w:t>
            </w:r>
          </w:p>
        </w:tc>
        <w:tc>
          <w:tcPr>
            <w:tcW w:w="1164" w:type="dxa"/>
            <w:shd w:val="clear" w:color="auto" w:fill="C4EFCE"/>
            <w:noWrap/>
            <w:vAlign w:val="center"/>
            <w:hideMark/>
          </w:tcPr>
          <w:p w14:paraId="05DB3DBC"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6DBFC1C"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0639B76"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84FB6D1"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75252533"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D11035D" w14:textId="77777777" w:rsidR="00F24946" w:rsidRDefault="00613B06">
            <w:pPr>
              <w:pStyle w:val="P68B1DB1-Normal8"/>
              <w:spacing w:after="0" w:line="240" w:lineRule="auto"/>
              <w:jc w:val="both"/>
              <w:rPr>
                <w:rFonts w:eastAsia="Times New Roman" w:cs="Calibri"/>
                <w:noProof/>
              </w:rPr>
            </w:pPr>
            <w:r>
              <w:rPr>
                <w:noProof/>
              </w:rPr>
              <w:t>Začetek veljavnosti postopkov in upravnih pravil postopka napotitve za uporabnike z nujnimi epizodami, presejanimi v belo, modro ali zeleno, v bolnišničnih službah za nujne primere za druge vrste zdravstvenega varstva, tj. za storitve primarnega zdravstvenega varstva, z neposrednim časovnim razporedom terminov.</w:t>
            </w:r>
          </w:p>
        </w:tc>
      </w:tr>
      <w:tr w:rsidR="00F24946" w14:paraId="38EF775A" w14:textId="77777777">
        <w:trPr>
          <w:trHeight w:val="850"/>
        </w:trPr>
        <w:tc>
          <w:tcPr>
            <w:tcW w:w="1135" w:type="dxa"/>
            <w:shd w:val="clear" w:color="auto" w:fill="C4EFCE"/>
            <w:noWrap/>
            <w:vAlign w:val="center"/>
            <w:hideMark/>
          </w:tcPr>
          <w:p w14:paraId="1BA7330B" w14:textId="77777777" w:rsidR="00F24946" w:rsidRDefault="00613B06">
            <w:pPr>
              <w:pStyle w:val="P68B1DB1-Normal7"/>
              <w:spacing w:after="0" w:line="240" w:lineRule="auto"/>
              <w:jc w:val="center"/>
              <w:rPr>
                <w:rFonts w:eastAsia="Times New Roman" w:cs="Calibri"/>
                <w:noProof/>
              </w:rPr>
            </w:pPr>
            <w:r>
              <w:rPr>
                <w:noProof/>
              </w:rPr>
              <w:t>1.14</w:t>
            </w:r>
          </w:p>
        </w:tc>
        <w:tc>
          <w:tcPr>
            <w:tcW w:w="1276" w:type="dxa"/>
            <w:shd w:val="clear" w:color="auto" w:fill="C4EFCE"/>
            <w:noWrap/>
            <w:vAlign w:val="center"/>
            <w:hideMark/>
          </w:tcPr>
          <w:p w14:paraId="785DE09F"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47F1EDF"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BD030D8" w14:textId="77777777" w:rsidR="00F24946" w:rsidRDefault="00613B06">
            <w:pPr>
              <w:pStyle w:val="P68B1DB1-Normal8"/>
              <w:spacing w:after="0" w:line="240" w:lineRule="auto"/>
              <w:jc w:val="center"/>
              <w:rPr>
                <w:rFonts w:eastAsia="Times New Roman" w:cs="Calibri"/>
                <w:noProof/>
              </w:rPr>
            </w:pPr>
            <w:r>
              <w:rPr>
                <w:noProof/>
              </w:rPr>
              <w:t>Gradnja novih zdravstvenih enot</w:t>
            </w:r>
          </w:p>
        </w:tc>
        <w:tc>
          <w:tcPr>
            <w:tcW w:w="1418" w:type="dxa"/>
            <w:shd w:val="clear" w:color="auto" w:fill="C4EFCE"/>
            <w:noWrap/>
            <w:vAlign w:val="center"/>
            <w:hideMark/>
          </w:tcPr>
          <w:p w14:paraId="5CEEB485"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C903B4A"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543F7214"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21084E32" w14:textId="77777777" w:rsidR="00F24946" w:rsidRDefault="00613B06">
            <w:pPr>
              <w:pStyle w:val="P68B1DB1-Normal8"/>
              <w:spacing w:after="0" w:line="240" w:lineRule="auto"/>
              <w:jc w:val="center"/>
              <w:rPr>
                <w:rFonts w:eastAsia="Times New Roman" w:cs="Calibri"/>
                <w:noProof/>
              </w:rPr>
            </w:pPr>
            <w:r>
              <w:rPr>
                <w:noProof/>
              </w:rPr>
              <w:t>20</w:t>
            </w:r>
          </w:p>
        </w:tc>
        <w:tc>
          <w:tcPr>
            <w:tcW w:w="833" w:type="dxa"/>
            <w:gridSpan w:val="2"/>
            <w:shd w:val="clear" w:color="auto" w:fill="C4EFCE"/>
            <w:noWrap/>
            <w:vAlign w:val="center"/>
            <w:hideMark/>
          </w:tcPr>
          <w:p w14:paraId="56ACA157"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37B663E4" w14:textId="765D0365"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B230122" w14:textId="695839F7" w:rsidR="00F24946" w:rsidRDefault="00613B06">
            <w:pPr>
              <w:pStyle w:val="P68B1DB1-Normal8"/>
              <w:spacing w:after="0" w:line="240" w:lineRule="auto"/>
              <w:jc w:val="both"/>
              <w:rPr>
                <w:rFonts w:eastAsia="Times New Roman" w:cs="Calibri"/>
                <w:noProof/>
              </w:rPr>
            </w:pPr>
            <w:r>
              <w:rPr>
                <w:noProof/>
              </w:rPr>
              <w:t>Število zgrajenih novih zdravstvenih enot, ki uporabnikom in zdravstvenim delavcem zagotavljajo dostopnost, kakovost, udobje in varnost ter jih prilagajajo novim modelom zdravstvenega varstva. Nove enote se zgradijo tako, da nadomestijo neprimerne stavbe, potrebe po primarni energiji pa morajo biti vsaj za 20 % nižje od potreb stavb s skoraj nično porabo energije.</w:t>
            </w:r>
          </w:p>
        </w:tc>
      </w:tr>
      <w:tr w:rsidR="00F24946" w14:paraId="73A0E506" w14:textId="77777777">
        <w:trPr>
          <w:trHeight w:val="850"/>
        </w:trPr>
        <w:tc>
          <w:tcPr>
            <w:tcW w:w="1135" w:type="dxa"/>
            <w:shd w:val="clear" w:color="auto" w:fill="C4EFCE"/>
            <w:noWrap/>
            <w:vAlign w:val="center"/>
            <w:hideMark/>
          </w:tcPr>
          <w:p w14:paraId="55C2973A" w14:textId="77777777" w:rsidR="00F24946" w:rsidRDefault="00613B06">
            <w:pPr>
              <w:pStyle w:val="P68B1DB1-Normal7"/>
              <w:spacing w:after="0" w:line="240" w:lineRule="auto"/>
              <w:jc w:val="center"/>
              <w:rPr>
                <w:rFonts w:eastAsia="Times New Roman" w:cs="Calibri"/>
                <w:noProof/>
              </w:rPr>
            </w:pPr>
            <w:r>
              <w:rPr>
                <w:noProof/>
              </w:rPr>
              <w:t>1.15</w:t>
            </w:r>
          </w:p>
        </w:tc>
        <w:tc>
          <w:tcPr>
            <w:tcW w:w="1276" w:type="dxa"/>
            <w:shd w:val="clear" w:color="auto" w:fill="C4EFCE"/>
            <w:noWrap/>
            <w:vAlign w:val="center"/>
            <w:hideMark/>
          </w:tcPr>
          <w:p w14:paraId="25307C9D"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0296621"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3FEAAF" w14:textId="77777777" w:rsidR="00F24946" w:rsidRDefault="00613B06">
            <w:pPr>
              <w:pStyle w:val="P68B1DB1-Normal8"/>
              <w:spacing w:after="0" w:line="240" w:lineRule="auto"/>
              <w:jc w:val="center"/>
              <w:rPr>
                <w:rFonts w:eastAsia="Times New Roman" w:cs="Calibri"/>
                <w:noProof/>
              </w:rPr>
            </w:pPr>
            <w:r>
              <w:rPr>
                <w:noProof/>
              </w:rPr>
              <w:t>Gradnja novih zdravstvenih enot</w:t>
            </w:r>
          </w:p>
        </w:tc>
        <w:tc>
          <w:tcPr>
            <w:tcW w:w="1418" w:type="dxa"/>
            <w:shd w:val="clear" w:color="auto" w:fill="C4EFCE"/>
            <w:noWrap/>
            <w:vAlign w:val="center"/>
            <w:hideMark/>
          </w:tcPr>
          <w:p w14:paraId="321B2E97"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D729BA"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74689A5C" w14:textId="77777777" w:rsidR="00F24946" w:rsidRDefault="00613B06">
            <w:pPr>
              <w:pStyle w:val="P68B1DB1-Normal8"/>
              <w:spacing w:after="0" w:line="240" w:lineRule="auto"/>
              <w:jc w:val="center"/>
              <w:rPr>
                <w:rFonts w:eastAsia="Times New Roman" w:cs="Calibri"/>
                <w:noProof/>
              </w:rPr>
            </w:pPr>
            <w:r>
              <w:rPr>
                <w:noProof/>
              </w:rPr>
              <w:t>20</w:t>
            </w:r>
          </w:p>
        </w:tc>
        <w:tc>
          <w:tcPr>
            <w:tcW w:w="805" w:type="dxa"/>
            <w:shd w:val="clear" w:color="auto" w:fill="C4EFCE"/>
            <w:noWrap/>
            <w:vAlign w:val="center"/>
            <w:hideMark/>
          </w:tcPr>
          <w:p w14:paraId="6BF6BACC" w14:textId="78B4B7BB" w:rsidR="00F24946" w:rsidRDefault="00613B06">
            <w:pPr>
              <w:pStyle w:val="P68B1DB1-Normal8"/>
              <w:spacing w:after="0" w:line="240" w:lineRule="auto"/>
              <w:jc w:val="center"/>
              <w:rPr>
                <w:rFonts w:eastAsia="Times New Roman" w:cs="Calibri"/>
                <w:noProof/>
              </w:rPr>
            </w:pPr>
            <w:r>
              <w:rPr>
                <w:noProof/>
              </w:rPr>
              <w:t>124</w:t>
            </w:r>
          </w:p>
        </w:tc>
        <w:tc>
          <w:tcPr>
            <w:tcW w:w="833" w:type="dxa"/>
            <w:gridSpan w:val="2"/>
            <w:shd w:val="clear" w:color="auto" w:fill="C4EFCE"/>
            <w:noWrap/>
            <w:vAlign w:val="center"/>
            <w:hideMark/>
          </w:tcPr>
          <w:p w14:paraId="73691C37"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226C70C7"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52F5371" w14:textId="47F97C91" w:rsidR="00F24946" w:rsidRDefault="00613B06">
            <w:pPr>
              <w:pStyle w:val="P68B1DB1-Normal8"/>
              <w:spacing w:after="0" w:line="240" w:lineRule="auto"/>
              <w:jc w:val="both"/>
              <w:rPr>
                <w:rFonts w:eastAsia="Times New Roman" w:cs="Calibri"/>
                <w:noProof/>
              </w:rPr>
            </w:pPr>
            <w:r>
              <w:rPr>
                <w:noProof/>
              </w:rPr>
              <w:t>Število zgrajenih novih zdravstvenih enot, ki uporabnikom in zdravstvenim delavcem zagotavljajo dostopnost, kakovost, udobje in varnost ter jih prilagajajo novim modelom zdravstvenega varstva. Nove enote se zgradijo tako, da nadomestijo neprimerne stavbe, potrebe po primarni energiji pa morajo biti vsaj za 20 % nižje od potreb stavb s skoraj nično porabo energije.</w:t>
            </w:r>
          </w:p>
        </w:tc>
      </w:tr>
      <w:tr w:rsidR="00F24946" w14:paraId="230D0958" w14:textId="77777777">
        <w:trPr>
          <w:trHeight w:val="1060"/>
        </w:trPr>
        <w:tc>
          <w:tcPr>
            <w:tcW w:w="1135" w:type="dxa"/>
            <w:shd w:val="clear" w:color="auto" w:fill="C4EFCE"/>
            <w:noWrap/>
            <w:vAlign w:val="center"/>
            <w:hideMark/>
          </w:tcPr>
          <w:p w14:paraId="7E7F0240" w14:textId="77777777" w:rsidR="00F24946" w:rsidRDefault="00613B06">
            <w:pPr>
              <w:pStyle w:val="P68B1DB1-Normal7"/>
              <w:spacing w:after="0" w:line="240" w:lineRule="auto"/>
              <w:jc w:val="center"/>
              <w:rPr>
                <w:rFonts w:eastAsia="Times New Roman" w:cs="Calibri"/>
                <w:noProof/>
              </w:rPr>
            </w:pPr>
            <w:r>
              <w:rPr>
                <w:noProof/>
              </w:rPr>
              <w:t>1.16</w:t>
            </w:r>
          </w:p>
        </w:tc>
        <w:tc>
          <w:tcPr>
            <w:tcW w:w="1276" w:type="dxa"/>
            <w:shd w:val="clear" w:color="auto" w:fill="C4EFCE"/>
            <w:noWrap/>
            <w:vAlign w:val="center"/>
            <w:hideMark/>
          </w:tcPr>
          <w:p w14:paraId="698640D1"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E717D99"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2EC3118" w14:textId="77777777" w:rsidR="00F24946" w:rsidRDefault="00613B06">
            <w:pPr>
              <w:pStyle w:val="P68B1DB1-Normal8"/>
              <w:spacing w:after="0" w:line="240" w:lineRule="auto"/>
              <w:jc w:val="center"/>
              <w:rPr>
                <w:rFonts w:eastAsia="Times New Roman" w:cs="Calibri"/>
                <w:noProof/>
              </w:rPr>
            </w:pPr>
            <w:r>
              <w:rPr>
                <w:noProof/>
              </w:rPr>
              <w:t>Dokončati nacionalno pokritost presejalnih programov in programov zgodnjega diagnosticiranja v osnovnem zdravstvenem varstvu</w:t>
            </w:r>
          </w:p>
        </w:tc>
        <w:tc>
          <w:tcPr>
            <w:tcW w:w="1418" w:type="dxa"/>
            <w:shd w:val="clear" w:color="auto" w:fill="C4EFCE"/>
            <w:noWrap/>
            <w:vAlign w:val="center"/>
            <w:hideMark/>
          </w:tcPr>
          <w:p w14:paraId="7A244FBD" w14:textId="77777777" w:rsidR="00F24946" w:rsidRDefault="00613B06">
            <w:pPr>
              <w:pStyle w:val="P68B1DB1-Normal8"/>
              <w:spacing w:after="0" w:line="240" w:lineRule="auto"/>
              <w:jc w:val="center"/>
              <w:rPr>
                <w:rFonts w:eastAsia="Times New Roman" w:cs="Calibri"/>
                <w:noProof/>
              </w:rPr>
            </w:pPr>
            <w:r>
              <w:rPr>
                <w:noProof/>
              </w:rPr>
              <w:t>Poročilo o zaključku programov presejanja in zgodnjega diagnosticiranja v osnovnem zdravstvenem varstvu</w:t>
            </w:r>
          </w:p>
        </w:tc>
        <w:tc>
          <w:tcPr>
            <w:tcW w:w="1164" w:type="dxa"/>
            <w:shd w:val="clear" w:color="auto" w:fill="C4EFCE"/>
            <w:noWrap/>
            <w:vAlign w:val="center"/>
            <w:hideMark/>
          </w:tcPr>
          <w:p w14:paraId="5E1406AF" w14:textId="77777777" w:rsidR="00F24946" w:rsidRDefault="00613B06">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41515FAF" w14:textId="77777777" w:rsidR="00F24946" w:rsidRDefault="00613B06">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69D09CEE" w14:textId="77777777" w:rsidR="00F24946" w:rsidRDefault="00613B06">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032146EF"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2EAAE497"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103D50" w14:textId="77777777" w:rsidR="00F24946" w:rsidRDefault="00613B06">
            <w:pPr>
              <w:pStyle w:val="P68B1DB1-Normal8"/>
              <w:spacing w:after="0" w:line="240" w:lineRule="auto"/>
              <w:jc w:val="both"/>
              <w:rPr>
                <w:rFonts w:eastAsia="Times New Roman" w:cs="Calibri"/>
                <w:noProof/>
              </w:rPr>
            </w:pPr>
            <w:r>
              <w:rPr>
                <w:noProof/>
              </w:rPr>
              <w:t>Uresničitev tega mejnika vključuje: uvedbo presejalnih pregledov materničnega vratu v zdravstvenih domovih; (II) uvedba presejanja kolona in danke v zdravstvenih domovih; III) uvedba presejanja za diabetično retinopatijo v 300 zdravstvenih domovih; IV) uvedba bolterskih pregledov in ambulatornega spremljanja krvnega tlaka v funkcionalnih enotah; v) uvedba orodij za diagnosticiranje in zdravljenje astme, kronične obstruktivne pljučne bolezni in kajenja (spirometri) v zdravstvenih domovih; in vi) vnos C-reaktivnih beljakovin v zdravstvenih domovih.</w:t>
            </w:r>
          </w:p>
        </w:tc>
      </w:tr>
      <w:tr w:rsidR="00F24946" w14:paraId="4D2FC373" w14:textId="77777777">
        <w:trPr>
          <w:trHeight w:val="1270"/>
        </w:trPr>
        <w:tc>
          <w:tcPr>
            <w:tcW w:w="1135" w:type="dxa"/>
            <w:shd w:val="clear" w:color="auto" w:fill="C4EFCE"/>
            <w:noWrap/>
            <w:vAlign w:val="center"/>
            <w:hideMark/>
          </w:tcPr>
          <w:p w14:paraId="462C425F" w14:textId="77777777" w:rsidR="00F24946" w:rsidRDefault="00613B06">
            <w:pPr>
              <w:pStyle w:val="P68B1DB1-Normal7"/>
              <w:spacing w:after="0" w:line="240" w:lineRule="auto"/>
              <w:jc w:val="center"/>
              <w:rPr>
                <w:rFonts w:eastAsia="Times New Roman" w:cs="Calibri"/>
                <w:noProof/>
              </w:rPr>
            </w:pPr>
            <w:r>
              <w:rPr>
                <w:noProof/>
              </w:rPr>
              <w:t>1.17</w:t>
            </w:r>
          </w:p>
        </w:tc>
        <w:tc>
          <w:tcPr>
            <w:tcW w:w="1276" w:type="dxa"/>
            <w:shd w:val="clear" w:color="auto" w:fill="C4EFCE"/>
            <w:noWrap/>
            <w:vAlign w:val="center"/>
            <w:hideMark/>
          </w:tcPr>
          <w:p w14:paraId="2AFB0257"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7A95968C"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7BD7BFC" w14:textId="77777777" w:rsidR="00F24946" w:rsidRDefault="00613B06">
            <w:pPr>
              <w:pStyle w:val="P68B1DB1-Normal8"/>
              <w:spacing w:after="0" w:line="240" w:lineRule="auto"/>
              <w:jc w:val="center"/>
              <w:rPr>
                <w:rFonts w:eastAsia="Times New Roman" w:cs="Calibri"/>
                <w:noProof/>
              </w:rPr>
            </w:pPr>
            <w:r>
              <w:rPr>
                <w:noProof/>
              </w:rPr>
              <w:t>Povečanje odzivne zmogljivosti primarnih zdravstvenih centrov in razširitev njihovih področij ukrepanja</w:t>
            </w:r>
          </w:p>
        </w:tc>
        <w:tc>
          <w:tcPr>
            <w:tcW w:w="1418" w:type="dxa"/>
            <w:shd w:val="clear" w:color="auto" w:fill="C4EFCE"/>
            <w:noWrap/>
            <w:vAlign w:val="center"/>
            <w:hideMark/>
          </w:tcPr>
          <w:p w14:paraId="1B4A4798" w14:textId="77777777" w:rsidR="00F24946" w:rsidRDefault="00613B06">
            <w:pPr>
              <w:pStyle w:val="P68B1DB1-Normal8"/>
              <w:spacing w:after="0" w:line="240" w:lineRule="auto"/>
              <w:jc w:val="center"/>
              <w:rPr>
                <w:rFonts w:eastAsia="Times New Roman" w:cs="Calibri"/>
                <w:noProof/>
              </w:rPr>
            </w:pPr>
            <w:r>
              <w:rPr>
                <w:noProof/>
              </w:rPr>
              <w:t>Poročilo o povečanju zmogljivosti za odzivanje primarnih zdravstvenih centrov in razširitvi njihovih področij ukrepanja</w:t>
            </w:r>
          </w:p>
        </w:tc>
        <w:tc>
          <w:tcPr>
            <w:tcW w:w="1164" w:type="dxa"/>
            <w:shd w:val="clear" w:color="auto" w:fill="C4EFCE"/>
            <w:noWrap/>
            <w:vAlign w:val="center"/>
            <w:hideMark/>
          </w:tcPr>
          <w:p w14:paraId="0BA94BEB" w14:textId="77777777" w:rsidR="00F24946" w:rsidRDefault="00613B06">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78D22499" w14:textId="77777777" w:rsidR="00F24946" w:rsidRDefault="00613B06">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30D3048F" w14:textId="77777777" w:rsidR="00F24946" w:rsidRDefault="00613B06">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2A62A8E8"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25F6A6A6" w14:textId="77777777" w:rsidR="00F24946" w:rsidRDefault="00613B06">
            <w:pPr>
              <w:pStyle w:val="P68B1DB1-Normal8"/>
              <w:spacing w:after="0" w:line="240" w:lineRule="auto"/>
              <w:jc w:val="both"/>
              <w:rPr>
                <w:rFonts w:eastAsia="Times New Roman" w:cs="Calibri"/>
                <w:noProof/>
              </w:rPr>
            </w:pPr>
            <w:r>
              <w:rPr>
                <w:noProof/>
              </w:rPr>
              <w:t>2026</w:t>
            </w:r>
          </w:p>
        </w:tc>
        <w:tc>
          <w:tcPr>
            <w:tcW w:w="3981" w:type="dxa"/>
            <w:shd w:val="clear" w:color="auto" w:fill="C4EFCE"/>
            <w:noWrap/>
            <w:vAlign w:val="center"/>
            <w:hideMark/>
          </w:tcPr>
          <w:p w14:paraId="0263E408" w14:textId="14BC938F" w:rsidR="00F24946" w:rsidRDefault="00613B06">
            <w:pPr>
              <w:pStyle w:val="P68B1DB1-Normal8"/>
              <w:spacing w:after="0" w:line="240" w:lineRule="auto"/>
              <w:jc w:val="both"/>
              <w:rPr>
                <w:rFonts w:eastAsia="Times New Roman" w:cs="Calibri"/>
                <w:noProof/>
              </w:rPr>
            </w:pPr>
            <w:r>
              <w:rPr>
                <w:noProof/>
              </w:rPr>
              <w:t>Uresničitev tega mejnika vključuje: I) razširitev posvetovanja z diabetično pešco na skupine zdravstvenih centrov; II) ustanavljanje zobozdravstvenih uradov v zdravstvenih domovih; III) vzpostavitev integriranih diagnostičnih centrov (z dopolnilnimi sredstvi za diagnostiko in terapijo, rentgenskimi žarki in kliničnimi analizami z nizkokompleksnostjo) v skupinah zdravstvenih centrov; IV) ustanavljanje uradov za gibanje in rehabilitacijo v skupinah zdravstvenih centrov; v) zagotavljanje opreme (strežnih vrečk, defibrilatorja in ključnih znakov) za ustrezno odzivanje v izrednih razmerah (osnovna življenjska podpora) zdravstvenim centrom; (VI) protokoli napotitve na najbolj iskanih področjih oskrbe, in sicer na oftalmologiji, oorhinolaryngologiji, ortopediki in urologiji.</w:t>
            </w:r>
          </w:p>
        </w:tc>
      </w:tr>
      <w:tr w:rsidR="00F24946" w14:paraId="38332BEC" w14:textId="77777777">
        <w:trPr>
          <w:trHeight w:val="1256"/>
        </w:trPr>
        <w:tc>
          <w:tcPr>
            <w:tcW w:w="1135" w:type="dxa"/>
            <w:shd w:val="clear" w:color="auto" w:fill="C4EFCE"/>
            <w:noWrap/>
            <w:vAlign w:val="center"/>
            <w:hideMark/>
          </w:tcPr>
          <w:p w14:paraId="3C69E3A1" w14:textId="77777777" w:rsidR="00F24946" w:rsidRDefault="00613B06">
            <w:pPr>
              <w:pStyle w:val="P68B1DB1-Normal7"/>
              <w:spacing w:after="0" w:line="240" w:lineRule="auto"/>
              <w:jc w:val="center"/>
              <w:rPr>
                <w:rFonts w:eastAsia="Times New Roman" w:cs="Calibri"/>
                <w:noProof/>
              </w:rPr>
            </w:pPr>
            <w:r>
              <w:rPr>
                <w:noProof/>
              </w:rPr>
              <w:t>1.18</w:t>
            </w:r>
          </w:p>
        </w:tc>
        <w:tc>
          <w:tcPr>
            <w:tcW w:w="1276" w:type="dxa"/>
            <w:shd w:val="clear" w:color="auto" w:fill="C4EFCE"/>
            <w:noWrap/>
            <w:vAlign w:val="center"/>
            <w:hideMark/>
          </w:tcPr>
          <w:p w14:paraId="454E6198"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B02D058"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5FFAEC9" w14:textId="77777777" w:rsidR="00F24946" w:rsidRDefault="00613B06">
            <w:pPr>
              <w:pStyle w:val="P68B1DB1-Normal8"/>
              <w:spacing w:after="0" w:line="240" w:lineRule="auto"/>
              <w:jc w:val="center"/>
              <w:rPr>
                <w:rFonts w:eastAsia="Times New Roman" w:cs="Calibri"/>
                <w:noProof/>
              </w:rPr>
            </w:pPr>
            <w:r>
              <w:rPr>
                <w:noProof/>
              </w:rPr>
              <w:t>Obnova zdravstvenih objektov in opreme za zagotovitev dostopnosti, kakovosti in varnostnih pogojev v primarnih zdravstvenih domovih</w:t>
            </w:r>
          </w:p>
        </w:tc>
        <w:tc>
          <w:tcPr>
            <w:tcW w:w="1418" w:type="dxa"/>
            <w:shd w:val="clear" w:color="auto" w:fill="C4EFCE"/>
            <w:noWrap/>
            <w:vAlign w:val="center"/>
            <w:hideMark/>
          </w:tcPr>
          <w:p w14:paraId="1CE147BD" w14:textId="77777777" w:rsidR="00F24946" w:rsidRDefault="00613B06">
            <w:pPr>
              <w:pStyle w:val="P68B1DB1-Normal8"/>
              <w:spacing w:after="0" w:line="240" w:lineRule="auto"/>
              <w:jc w:val="center"/>
              <w:rPr>
                <w:rFonts w:eastAsia="Times New Roman" w:cs="Calibri"/>
                <w:noProof/>
              </w:rPr>
            </w:pPr>
            <w:r>
              <w:rPr>
                <w:noProof/>
              </w:rPr>
              <w:t>Poročilo o prenovi zdravstvenih objektov in opreme</w:t>
            </w:r>
          </w:p>
        </w:tc>
        <w:tc>
          <w:tcPr>
            <w:tcW w:w="1164" w:type="dxa"/>
            <w:shd w:val="clear" w:color="auto" w:fill="C4EFCE"/>
            <w:noWrap/>
            <w:vAlign w:val="center"/>
            <w:hideMark/>
          </w:tcPr>
          <w:p w14:paraId="0989D4A9" w14:textId="77777777" w:rsidR="00F24946" w:rsidRDefault="00613B06">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07B01750" w14:textId="77777777" w:rsidR="00F24946" w:rsidRDefault="00613B06">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097B0938" w14:textId="77777777" w:rsidR="00F24946" w:rsidRDefault="00613B06">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01D62D0"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1264AB9E"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B188F03" w14:textId="514EFA7B" w:rsidR="00F24946" w:rsidRDefault="00613B06">
            <w:pPr>
              <w:pStyle w:val="P68B1DB1-Normal8"/>
              <w:spacing w:after="0" w:line="240" w:lineRule="auto"/>
              <w:jc w:val="both"/>
              <w:rPr>
                <w:rFonts w:eastAsia="Times New Roman" w:cs="Calibri"/>
                <w:noProof/>
              </w:rPr>
            </w:pPr>
            <w:r>
              <w:rPr>
                <w:noProof/>
              </w:rPr>
              <w:t>Uresničitev tega mejnika vključuje: (I) obnovo ali prilagoditev 347 zdravstvenih objektov za povečanje energijske učinkovitosti, skladnost z načrti ukrepov ob nepredvidljivih dogodkih in/ali zagotovitev dostopnosti, varnosti in udobja za uporabnike in zdravstvene delavce, pri čemer se podpora v obliki nepovratnih sredstev v višini vsaj 170 838 136 EUR nanaša na prenovo za energijsko učinkovitost, podpora v obliki nepovratnih sredstev v višini vsaj 13 046 589 EUR pa se nanaša na prenovo energijske učinkovitosti, da se v povprečju doseže vsaj srednje poglobljena prenova, kot je opredeljena v Priporočilu Komisije o prenovi stavb (EU) 2019/786 (zahteve za izboljšanje energijske učinkovitosti stavb se vključijo v postopke javnega naročanja in se zagotovijo v razpisnih zahtevah); ter ii) posodobitev opreme (vključno z osnovno klinično opremo, opremo za informacijsko in komunikacijsko tehnologijo, opremo za energetsko učinkovitost in varnostno opremo).</w:t>
            </w:r>
          </w:p>
        </w:tc>
      </w:tr>
      <w:tr w:rsidR="00F24946" w14:paraId="454852B5" w14:textId="77777777">
        <w:trPr>
          <w:trHeight w:val="640"/>
        </w:trPr>
        <w:tc>
          <w:tcPr>
            <w:tcW w:w="1135" w:type="dxa"/>
            <w:shd w:val="clear" w:color="auto" w:fill="C4EFCE"/>
            <w:noWrap/>
            <w:vAlign w:val="center"/>
            <w:hideMark/>
          </w:tcPr>
          <w:p w14:paraId="1E28E1AA" w14:textId="77777777" w:rsidR="00F24946" w:rsidRDefault="00613B06">
            <w:pPr>
              <w:pStyle w:val="P68B1DB1-Normal7"/>
              <w:spacing w:after="0" w:line="240" w:lineRule="auto"/>
              <w:jc w:val="center"/>
              <w:rPr>
                <w:rFonts w:eastAsia="Times New Roman" w:cs="Calibri"/>
                <w:noProof/>
              </w:rPr>
            </w:pPr>
            <w:r>
              <w:rPr>
                <w:noProof/>
              </w:rPr>
              <w:t>1.19</w:t>
            </w:r>
          </w:p>
        </w:tc>
        <w:tc>
          <w:tcPr>
            <w:tcW w:w="1276" w:type="dxa"/>
            <w:shd w:val="clear" w:color="auto" w:fill="C4EFCE"/>
            <w:noWrap/>
            <w:vAlign w:val="center"/>
            <w:hideMark/>
          </w:tcPr>
          <w:p w14:paraId="216603F0" w14:textId="77777777" w:rsidR="00F24946" w:rsidRDefault="00613B06">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1B1C51C"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BE3A27A" w14:textId="77777777" w:rsidR="00F24946" w:rsidRDefault="00613B06">
            <w:pPr>
              <w:pStyle w:val="P68B1DB1-Normal8"/>
              <w:spacing w:after="0" w:line="240" w:lineRule="auto"/>
              <w:jc w:val="center"/>
              <w:rPr>
                <w:rFonts w:eastAsia="Times New Roman" w:cs="Calibri"/>
                <w:noProof/>
              </w:rPr>
            </w:pPr>
            <w:r>
              <w:rPr>
                <w:noProof/>
              </w:rPr>
              <w:t>Krepitev skupnostne oskrbe, posredovanja na domu in skupnosti</w:t>
            </w:r>
          </w:p>
        </w:tc>
        <w:tc>
          <w:tcPr>
            <w:tcW w:w="1418" w:type="dxa"/>
            <w:shd w:val="clear" w:color="auto" w:fill="C4EFCE"/>
            <w:noWrap/>
            <w:vAlign w:val="center"/>
            <w:hideMark/>
          </w:tcPr>
          <w:p w14:paraId="66DD2452" w14:textId="77777777" w:rsidR="00F24946" w:rsidRDefault="00613B06">
            <w:pPr>
              <w:pStyle w:val="P68B1DB1-Normal8"/>
              <w:spacing w:after="0" w:line="240" w:lineRule="auto"/>
              <w:jc w:val="center"/>
              <w:rPr>
                <w:rFonts w:eastAsia="Times New Roman" w:cs="Calibri"/>
                <w:noProof/>
              </w:rPr>
            </w:pPr>
            <w:r>
              <w:rPr>
                <w:noProof/>
              </w:rPr>
              <w:t>Poročilo o krepitvi oskrbe v skupnosti, ukrepov na domu in skupnosti</w:t>
            </w:r>
          </w:p>
        </w:tc>
        <w:tc>
          <w:tcPr>
            <w:tcW w:w="1164" w:type="dxa"/>
            <w:shd w:val="clear" w:color="auto" w:fill="C4EFCE"/>
            <w:noWrap/>
            <w:vAlign w:val="center"/>
            <w:hideMark/>
          </w:tcPr>
          <w:p w14:paraId="4CC73D52" w14:textId="77777777" w:rsidR="00F24946" w:rsidRDefault="00613B06">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12886356" w14:textId="77777777" w:rsidR="00F24946" w:rsidRDefault="00613B06">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155786FA" w14:textId="77777777" w:rsidR="00F24946" w:rsidRDefault="00613B06">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9E1E927"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4ABA702F"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6E8DF1" w14:textId="77777777" w:rsidR="00F24946" w:rsidRDefault="00613B06">
            <w:pPr>
              <w:pStyle w:val="P68B1DB1-Normal8"/>
              <w:spacing w:after="0" w:line="240" w:lineRule="auto"/>
              <w:jc w:val="both"/>
              <w:rPr>
                <w:rFonts w:eastAsia="Times New Roman" w:cs="Calibri"/>
                <w:noProof/>
              </w:rPr>
            </w:pPr>
            <w:r>
              <w:rPr>
                <w:noProof/>
              </w:rPr>
              <w:t>Uresničitev tega mejnika vključuje: zagotavljanje vsaj 770 električnih vozil za podporo zdravstvenih domov pri zagotavljanju oskrbe na domu; in ii) povečanje števila novih mobilnih enot za vsaj dodatnih 34, da se zajamejo regije z nizko gostoto.</w:t>
            </w:r>
          </w:p>
        </w:tc>
      </w:tr>
      <w:tr w:rsidR="00F24946" w14:paraId="1E7E7401" w14:textId="77777777">
        <w:trPr>
          <w:trHeight w:val="430"/>
        </w:trPr>
        <w:tc>
          <w:tcPr>
            <w:tcW w:w="1135" w:type="dxa"/>
            <w:shd w:val="clear" w:color="auto" w:fill="C4EFCE"/>
            <w:noWrap/>
            <w:vAlign w:val="center"/>
            <w:hideMark/>
          </w:tcPr>
          <w:p w14:paraId="0299C2D9" w14:textId="77777777" w:rsidR="00F24946" w:rsidRDefault="00613B06">
            <w:pPr>
              <w:pStyle w:val="P68B1DB1-Normal7"/>
              <w:spacing w:after="0" w:line="240" w:lineRule="auto"/>
              <w:jc w:val="center"/>
              <w:rPr>
                <w:rFonts w:eastAsia="Times New Roman" w:cs="Calibri"/>
                <w:noProof/>
              </w:rPr>
            </w:pPr>
            <w:r>
              <w:rPr>
                <w:noProof/>
              </w:rPr>
              <w:t>1.20</w:t>
            </w:r>
          </w:p>
        </w:tc>
        <w:tc>
          <w:tcPr>
            <w:tcW w:w="1276" w:type="dxa"/>
            <w:shd w:val="clear" w:color="auto" w:fill="C4EFCE"/>
            <w:noWrap/>
            <w:vAlign w:val="center"/>
            <w:hideMark/>
          </w:tcPr>
          <w:p w14:paraId="5FD4B12F" w14:textId="77777777" w:rsidR="00F24946" w:rsidRDefault="00613B06">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7D9E344F"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949C28C" w14:textId="77777777" w:rsidR="00F24946" w:rsidRDefault="00613B06">
            <w:pPr>
              <w:pStyle w:val="P68B1DB1-Normal8"/>
              <w:spacing w:after="0" w:line="240" w:lineRule="auto"/>
              <w:jc w:val="center"/>
              <w:rPr>
                <w:rFonts w:eastAsia="Times New Roman" w:cs="Calibri"/>
                <w:noProof/>
              </w:rPr>
            </w:pPr>
            <w:r>
              <w:rPr>
                <w:noProof/>
              </w:rPr>
              <w:t>Začetek veljavnosti uredbe o dodelitvi finančne podpore regionalnih zdravstvenih organov</w:t>
            </w:r>
          </w:p>
        </w:tc>
        <w:tc>
          <w:tcPr>
            <w:tcW w:w="1418" w:type="dxa"/>
            <w:shd w:val="clear" w:color="auto" w:fill="C4EFCE"/>
            <w:noWrap/>
            <w:vAlign w:val="center"/>
            <w:hideMark/>
          </w:tcPr>
          <w:p w14:paraId="5DB93479" w14:textId="77777777" w:rsidR="00F24946" w:rsidRDefault="00613B06">
            <w:pPr>
              <w:pStyle w:val="P68B1DB1-Normal8"/>
              <w:spacing w:after="0" w:line="240" w:lineRule="auto"/>
              <w:jc w:val="center"/>
              <w:rPr>
                <w:rFonts w:eastAsia="Times New Roman" w:cs="Calibri"/>
                <w:noProof/>
              </w:rPr>
            </w:pPr>
            <w:r>
              <w:rPr>
                <w:noProof/>
              </w:rPr>
              <w:t>Začetek veljavnosti uredbe o dodelitvi finančne podpore</w:t>
            </w:r>
          </w:p>
        </w:tc>
        <w:tc>
          <w:tcPr>
            <w:tcW w:w="1164" w:type="dxa"/>
            <w:shd w:val="clear" w:color="auto" w:fill="C4EFCE"/>
            <w:noWrap/>
            <w:vAlign w:val="center"/>
            <w:hideMark/>
          </w:tcPr>
          <w:p w14:paraId="251EE7F7"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DB5B8B0"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F7AF621"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B4120B0" w14:textId="77777777" w:rsidR="00F24946" w:rsidRDefault="00613B06">
            <w:pPr>
              <w:pStyle w:val="P68B1DB1-Normal8"/>
              <w:spacing w:after="0" w:line="240" w:lineRule="auto"/>
              <w:jc w:val="center"/>
              <w:rPr>
                <w:rFonts w:eastAsia="Times New Roman" w:cs="Calibri"/>
                <w:noProof/>
              </w:rPr>
            </w:pPr>
            <w:r>
              <w:rPr>
                <w:noProof/>
              </w:rPr>
              <w:t>ČETRTLETJE 1</w:t>
            </w:r>
          </w:p>
        </w:tc>
        <w:tc>
          <w:tcPr>
            <w:tcW w:w="901" w:type="dxa"/>
            <w:shd w:val="clear" w:color="auto" w:fill="C4EFCE"/>
            <w:noWrap/>
            <w:vAlign w:val="center"/>
            <w:hideMark/>
          </w:tcPr>
          <w:p w14:paraId="2C8FCB77"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37D71AB" w14:textId="77777777" w:rsidR="00F24946" w:rsidRDefault="00613B06">
            <w:pPr>
              <w:pStyle w:val="P68B1DB1-Normal8"/>
              <w:spacing w:after="0" w:line="240" w:lineRule="auto"/>
              <w:jc w:val="both"/>
              <w:rPr>
                <w:rFonts w:eastAsia="Times New Roman" w:cs="Calibri"/>
                <w:noProof/>
              </w:rPr>
            </w:pPr>
            <w:r>
              <w:rPr>
                <w:noProof/>
              </w:rPr>
              <w:t>Začetek veljavnosti uredbe o dodelitvi finančne podpore regionalnih zdravstvenih organov, ki opredeljuje model upravljanja programa in ustrezne zahteve prosilcev.</w:t>
            </w:r>
          </w:p>
        </w:tc>
      </w:tr>
      <w:tr w:rsidR="00F24946" w14:paraId="7F7C84BA" w14:textId="77777777">
        <w:trPr>
          <w:trHeight w:val="1690"/>
        </w:trPr>
        <w:tc>
          <w:tcPr>
            <w:tcW w:w="1135" w:type="dxa"/>
            <w:shd w:val="clear" w:color="auto" w:fill="C4EFCE"/>
            <w:noWrap/>
            <w:vAlign w:val="center"/>
            <w:hideMark/>
          </w:tcPr>
          <w:p w14:paraId="74351DC1" w14:textId="77777777" w:rsidR="00F24946" w:rsidRDefault="00613B06">
            <w:pPr>
              <w:pStyle w:val="P68B1DB1-Normal7"/>
              <w:spacing w:after="0" w:line="240" w:lineRule="auto"/>
              <w:jc w:val="center"/>
              <w:rPr>
                <w:rFonts w:eastAsia="Times New Roman" w:cs="Calibri"/>
                <w:noProof/>
              </w:rPr>
            </w:pPr>
            <w:r>
              <w:rPr>
                <w:noProof/>
              </w:rPr>
              <w:t>1.21</w:t>
            </w:r>
          </w:p>
        </w:tc>
        <w:tc>
          <w:tcPr>
            <w:tcW w:w="1276" w:type="dxa"/>
            <w:shd w:val="clear" w:color="auto" w:fill="C4EFCE"/>
            <w:noWrap/>
            <w:vAlign w:val="center"/>
            <w:hideMark/>
          </w:tcPr>
          <w:p w14:paraId="34C37BAF" w14:textId="77777777" w:rsidR="00F24946" w:rsidRDefault="00613B06">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4A6CCB1B"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AB89F2D" w14:textId="77777777" w:rsidR="00F24946" w:rsidRDefault="00613B06">
            <w:pPr>
              <w:pStyle w:val="P68B1DB1-Normal8"/>
              <w:spacing w:after="0" w:line="240" w:lineRule="auto"/>
              <w:jc w:val="center"/>
              <w:rPr>
                <w:rFonts w:eastAsia="Times New Roman" w:cs="Calibri"/>
                <w:noProof/>
              </w:rPr>
            </w:pPr>
            <w:r>
              <w:rPr>
                <w:noProof/>
              </w:rPr>
              <w:t>Krepitev zmogljivosti odzivanja nacionalnih mrež integriranih storitev stalne oskrbe in paliativne oskrbe v bolnišnični in ambulantni oskrbi</w:t>
            </w:r>
          </w:p>
        </w:tc>
        <w:tc>
          <w:tcPr>
            <w:tcW w:w="1418" w:type="dxa"/>
            <w:shd w:val="clear" w:color="auto" w:fill="C4EFCE"/>
            <w:noWrap/>
            <w:vAlign w:val="center"/>
            <w:hideMark/>
          </w:tcPr>
          <w:p w14:paraId="27BF6F6B"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6222F30"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1879440B" w14:textId="77777777" w:rsidR="00F24946" w:rsidRDefault="00613B06">
            <w:pPr>
              <w:pStyle w:val="P68B1DB1-Normal8"/>
              <w:spacing w:after="0" w:line="240" w:lineRule="auto"/>
              <w:jc w:val="center"/>
              <w:rPr>
                <w:rFonts w:eastAsia="Times New Roman" w:cs="Calibri"/>
                <w:noProof/>
              </w:rPr>
            </w:pPr>
            <w:r>
              <w:rPr>
                <w:noProof/>
              </w:rPr>
              <w:t> 0</w:t>
            </w:r>
          </w:p>
        </w:tc>
        <w:tc>
          <w:tcPr>
            <w:tcW w:w="805" w:type="dxa"/>
            <w:shd w:val="clear" w:color="auto" w:fill="C4EFCE"/>
            <w:noWrap/>
            <w:vAlign w:val="center"/>
            <w:hideMark/>
          </w:tcPr>
          <w:p w14:paraId="7F341A5B" w14:textId="77777777" w:rsidR="00F24946" w:rsidRDefault="00613B06">
            <w:pPr>
              <w:pStyle w:val="P68B1DB1-Normal8"/>
              <w:spacing w:after="0" w:line="240" w:lineRule="auto"/>
              <w:jc w:val="center"/>
              <w:rPr>
                <w:rFonts w:eastAsia="Times New Roman" w:cs="Calibri"/>
                <w:noProof/>
              </w:rPr>
            </w:pPr>
            <w:r>
              <w:rPr>
                <w:noProof/>
              </w:rPr>
              <w:t>7 400</w:t>
            </w:r>
          </w:p>
        </w:tc>
        <w:tc>
          <w:tcPr>
            <w:tcW w:w="833" w:type="dxa"/>
            <w:gridSpan w:val="2"/>
            <w:shd w:val="clear" w:color="auto" w:fill="C4EFCE"/>
            <w:noWrap/>
            <w:vAlign w:val="center"/>
            <w:hideMark/>
          </w:tcPr>
          <w:p w14:paraId="0CE41663"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253B9B39"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7ABEA994" w14:textId="5DEC19EC" w:rsidR="00F24946" w:rsidRDefault="00613B06">
            <w:pPr>
              <w:pStyle w:val="P68B1DB1-Normal8"/>
              <w:spacing w:after="0" w:line="240" w:lineRule="auto"/>
              <w:jc w:val="both"/>
              <w:rPr>
                <w:rFonts w:eastAsia="Times New Roman" w:cs="Calibri"/>
                <w:noProof/>
              </w:rPr>
            </w:pPr>
            <w:r>
              <w:rPr>
                <w:noProof/>
              </w:rPr>
              <w:t>Krepitev odzivne zmogljivosti nacionalnih mrež integriranih storitev stalne oskrbe in paliativne oskrbe v bolnišnični in ambulantni oskrbi z vzpostavitvijo naslednjih novih mest: I) novih 5500 bolnišničnih postelj v nacionalni mreži integriranih storitev stalne oskrbe v okviru splošne mreže; (II) novih 500 mest v enotah za dan samostojne promocije v okviru nacionalne mreže integriranih storitev stalne oskrbe; III) 1000 novih mest v integriranih storitvah stalne oskrbe na področju duševnega zdravja; in iv) novih 400 bolnišničnih postelj z nizkokompleksnostjo v nacionalni mreži storitev paliativne oskrbe. Vključuje uporabo nepovratnih sredstev v višini vsaj 226 730 193 EUR za izgradnjo nove zdravstvene infrastrukture. Potrebe po primarni energiji za te nove stavbe so za vsaj 20 % nižje od potreb stavb s skoraj nično porabo energije.</w:t>
            </w:r>
          </w:p>
        </w:tc>
      </w:tr>
      <w:tr w:rsidR="00F24946" w14:paraId="5AE6F182" w14:textId="77777777">
        <w:trPr>
          <w:trHeight w:val="1060"/>
        </w:trPr>
        <w:tc>
          <w:tcPr>
            <w:tcW w:w="1135" w:type="dxa"/>
            <w:shd w:val="clear" w:color="auto" w:fill="C4EFCE"/>
            <w:noWrap/>
            <w:vAlign w:val="center"/>
            <w:hideMark/>
          </w:tcPr>
          <w:p w14:paraId="66FCDE69" w14:textId="77777777" w:rsidR="00F24946" w:rsidRDefault="00613B06">
            <w:pPr>
              <w:pStyle w:val="P68B1DB1-Normal7"/>
              <w:spacing w:after="0" w:line="240" w:lineRule="auto"/>
              <w:jc w:val="center"/>
              <w:rPr>
                <w:rFonts w:eastAsia="Times New Roman" w:cs="Calibri"/>
                <w:noProof/>
              </w:rPr>
            </w:pPr>
            <w:r>
              <w:rPr>
                <w:noProof/>
              </w:rPr>
              <w:t>1.22</w:t>
            </w:r>
          </w:p>
        </w:tc>
        <w:tc>
          <w:tcPr>
            <w:tcW w:w="1276" w:type="dxa"/>
            <w:shd w:val="clear" w:color="auto" w:fill="C4EFCE"/>
            <w:noWrap/>
            <w:vAlign w:val="center"/>
            <w:hideMark/>
          </w:tcPr>
          <w:p w14:paraId="0DED5251" w14:textId="77777777" w:rsidR="00F24946" w:rsidRDefault="00613B06">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647B9DAD"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55CF526" w14:textId="77777777" w:rsidR="00F24946" w:rsidRDefault="00613B06">
            <w:pPr>
              <w:pStyle w:val="P68B1DB1-Normal8"/>
              <w:spacing w:after="0" w:line="240" w:lineRule="auto"/>
              <w:jc w:val="center"/>
              <w:rPr>
                <w:rFonts w:eastAsia="Times New Roman" w:cs="Calibri"/>
                <w:noProof/>
              </w:rPr>
            </w:pPr>
            <w:r>
              <w:rPr>
                <w:noProof/>
              </w:rPr>
              <w:t>Krepitev odzivne zmogljivosti nacionalnih mrež integrirane neprekinjene oskrbe in paliativne oskrbe na področju oskrbe na domu</w:t>
            </w:r>
          </w:p>
        </w:tc>
        <w:tc>
          <w:tcPr>
            <w:tcW w:w="1418" w:type="dxa"/>
            <w:shd w:val="clear" w:color="auto" w:fill="C4EFCE"/>
            <w:noWrap/>
            <w:vAlign w:val="center"/>
            <w:hideMark/>
          </w:tcPr>
          <w:p w14:paraId="0A35A3F3"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6DF5F8B"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02612F2B"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55B25AA" w14:textId="77777777" w:rsidR="00F24946" w:rsidRDefault="00613B06">
            <w:pPr>
              <w:pStyle w:val="P68B1DB1-Normal8"/>
              <w:spacing w:after="0" w:line="240" w:lineRule="auto"/>
              <w:jc w:val="center"/>
              <w:rPr>
                <w:rFonts w:eastAsia="Times New Roman" w:cs="Calibri"/>
                <w:noProof/>
              </w:rPr>
            </w:pPr>
            <w:r>
              <w:rPr>
                <w:noProof/>
              </w:rPr>
              <w:t>1 200</w:t>
            </w:r>
          </w:p>
        </w:tc>
        <w:tc>
          <w:tcPr>
            <w:tcW w:w="833" w:type="dxa"/>
            <w:gridSpan w:val="2"/>
            <w:shd w:val="clear" w:color="auto" w:fill="C4EFCE"/>
            <w:noWrap/>
            <w:vAlign w:val="center"/>
            <w:hideMark/>
          </w:tcPr>
          <w:p w14:paraId="74C0C891" w14:textId="45AB5963" w:rsidR="00F24946" w:rsidRDefault="00613B06">
            <w:pPr>
              <w:pStyle w:val="P68B1DB1-Normal10"/>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22DB6368" w14:textId="5990FEF5" w:rsidR="00F24946" w:rsidRDefault="00613B06">
            <w:pPr>
              <w:pStyle w:val="P68B1DB1-Normal10"/>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558142A7" w14:textId="77777777" w:rsidR="00F24946" w:rsidRDefault="00613B06">
            <w:pPr>
              <w:pStyle w:val="P68B1DB1-Normal8"/>
              <w:spacing w:after="0" w:line="240" w:lineRule="auto"/>
              <w:jc w:val="both"/>
              <w:rPr>
                <w:rFonts w:eastAsia="Times New Roman" w:cs="Calibri"/>
                <w:noProof/>
              </w:rPr>
            </w:pPr>
            <w:r>
              <w:rPr>
                <w:noProof/>
              </w:rPr>
              <w:t>Krepitev odzivne zmogljivosti nacionalnih mrež integriranih storitev stalne oskrbe in paliativne oskrbe na domu z vzpostavitvijo naslednjih novih mest: (I) 1000 novih mest v integriranih ekipah za stalno oskrbo na domu; (II) 100 novih mest v podpornih ekipah za duševno zdravje v okviru nacionalne mreže integriranih storitev stalne oskrbe; in iii) 100 novih mest v paliativnih podpornih skupinah za oskrbo v skupnosti.</w:t>
            </w:r>
          </w:p>
        </w:tc>
      </w:tr>
      <w:tr w:rsidR="00F24946" w14:paraId="59032C88" w14:textId="77777777">
        <w:trPr>
          <w:trHeight w:val="1060"/>
        </w:trPr>
        <w:tc>
          <w:tcPr>
            <w:tcW w:w="1135" w:type="dxa"/>
            <w:shd w:val="clear" w:color="auto" w:fill="C4EFCE"/>
            <w:noWrap/>
            <w:vAlign w:val="center"/>
            <w:hideMark/>
          </w:tcPr>
          <w:p w14:paraId="68CBF731" w14:textId="77777777" w:rsidR="00F24946" w:rsidRDefault="00613B06">
            <w:pPr>
              <w:pStyle w:val="P68B1DB1-Normal7"/>
              <w:spacing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3D71360" w14:textId="77777777" w:rsidR="00F24946" w:rsidRDefault="00613B06">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1D0F3E64"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CD9472F" w14:textId="77777777" w:rsidR="00F24946" w:rsidRDefault="00613B06">
            <w:pPr>
              <w:pStyle w:val="P68B1DB1-Normal8"/>
              <w:spacing w:after="0" w:line="240" w:lineRule="auto"/>
              <w:jc w:val="center"/>
              <w:rPr>
                <w:rFonts w:eastAsia="Times New Roman" w:cs="Calibri"/>
                <w:noProof/>
              </w:rPr>
            </w:pPr>
            <w:r>
              <w:rPr>
                <w:noProof/>
              </w:rPr>
              <w:t>Obnova forenzičnih enot in opreme za psihiatrijo</w:t>
            </w:r>
          </w:p>
        </w:tc>
        <w:tc>
          <w:tcPr>
            <w:tcW w:w="1418" w:type="dxa"/>
            <w:shd w:val="clear" w:color="auto" w:fill="C4EFCE"/>
            <w:noWrap/>
            <w:vAlign w:val="center"/>
            <w:hideMark/>
          </w:tcPr>
          <w:p w14:paraId="668CD381"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39AD866"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266CA769"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15F1F44" w14:textId="77777777" w:rsidR="00F24946" w:rsidRDefault="00613B06">
            <w:pPr>
              <w:pStyle w:val="P68B1DB1-Normal8"/>
              <w:spacing w:after="0" w:line="240" w:lineRule="auto"/>
              <w:jc w:val="center"/>
              <w:rPr>
                <w:rFonts w:eastAsia="Times New Roman" w:cs="Calibri"/>
                <w:noProof/>
              </w:rPr>
            </w:pPr>
            <w:r>
              <w:rPr>
                <w:noProof/>
              </w:rPr>
              <w:t>3</w:t>
            </w:r>
          </w:p>
        </w:tc>
        <w:tc>
          <w:tcPr>
            <w:tcW w:w="833" w:type="dxa"/>
            <w:gridSpan w:val="2"/>
            <w:shd w:val="clear" w:color="auto" w:fill="C4EFCE"/>
            <w:noWrap/>
            <w:vAlign w:val="center"/>
            <w:hideMark/>
          </w:tcPr>
          <w:p w14:paraId="293F4F6B"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CD67BEE"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4B5D6547" w14:textId="77777777" w:rsidR="00F24946" w:rsidRDefault="00613B06">
            <w:pPr>
              <w:pStyle w:val="P68B1DB1-Normal8"/>
              <w:spacing w:after="0" w:line="240" w:lineRule="auto"/>
              <w:jc w:val="both"/>
              <w:rPr>
                <w:rFonts w:eastAsia="Times New Roman" w:cs="Calibri"/>
                <w:noProof/>
              </w:rPr>
            </w:pPr>
            <w:r>
              <w:rPr>
                <w:noProof/>
              </w:rPr>
              <w:t xml:space="preserve">Izgradnja nove forenzične psihiatrične enote (Sobral Cid) in obnova dveh drugih enot (lizbonskega psihiatričnega bolnišničnega centra in bolnišnice Magalhães Lemos), da se zagotovijo pogoji, ki so združljivi s spoštovanjem človekovih pravic, zlasti zasebnosti, udobja in humanizacije prostorov, ne da bi pri tem zanemarili varnostne pogoje, ki so neločljivo povezani z izpolnjevanjem sodnih odredb, in preprečili nadaljnje obsodbe v Portugalski republiki s strani mednarodnih organizacij (Evropski odbor za preprečevanje mučenja). </w:t>
            </w:r>
          </w:p>
        </w:tc>
      </w:tr>
      <w:tr w:rsidR="00F24946" w14:paraId="79BD555A" w14:textId="77777777">
        <w:trPr>
          <w:trHeight w:val="640"/>
        </w:trPr>
        <w:tc>
          <w:tcPr>
            <w:tcW w:w="1135" w:type="dxa"/>
            <w:shd w:val="clear" w:color="auto" w:fill="C4EFCE"/>
            <w:noWrap/>
            <w:vAlign w:val="center"/>
            <w:hideMark/>
          </w:tcPr>
          <w:p w14:paraId="69D05224" w14:textId="77777777" w:rsidR="00F24946" w:rsidRDefault="00613B06">
            <w:pPr>
              <w:pStyle w:val="P68B1DB1-Normal7"/>
              <w:spacing w:after="0" w:line="240" w:lineRule="auto"/>
              <w:jc w:val="center"/>
              <w:rPr>
                <w:rFonts w:eastAsia="Times New Roman" w:cs="Calibri"/>
                <w:noProof/>
              </w:rPr>
            </w:pPr>
            <w:r>
              <w:rPr>
                <w:noProof/>
              </w:rPr>
              <w:t>1.24</w:t>
            </w:r>
          </w:p>
        </w:tc>
        <w:tc>
          <w:tcPr>
            <w:tcW w:w="1276" w:type="dxa"/>
            <w:shd w:val="clear" w:color="auto" w:fill="C4EFCE"/>
            <w:noWrap/>
            <w:vAlign w:val="center"/>
            <w:hideMark/>
          </w:tcPr>
          <w:p w14:paraId="77EC2F21" w14:textId="77777777" w:rsidR="00F24946" w:rsidRDefault="00613B06">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3AD8EF16"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2F5900A0" w14:textId="77777777" w:rsidR="00F24946" w:rsidRDefault="00613B06">
            <w:pPr>
              <w:pStyle w:val="P68B1DB1-Normal8"/>
              <w:spacing w:after="0" w:line="240" w:lineRule="auto"/>
              <w:jc w:val="center"/>
              <w:rPr>
                <w:rFonts w:eastAsia="Times New Roman" w:cs="Calibri"/>
                <w:noProof/>
              </w:rPr>
            </w:pPr>
            <w:r>
              <w:rPr>
                <w:noProof/>
              </w:rPr>
              <w:t>Razvoj ukrepov ozaveščanja in usposabljanja za „oblikovanje poti pacientov“ v okviru demence</w:t>
            </w:r>
          </w:p>
        </w:tc>
        <w:tc>
          <w:tcPr>
            <w:tcW w:w="1418" w:type="dxa"/>
            <w:shd w:val="clear" w:color="auto" w:fill="C4EFCE"/>
            <w:noWrap/>
            <w:vAlign w:val="center"/>
            <w:hideMark/>
          </w:tcPr>
          <w:p w14:paraId="0479C79B" w14:textId="77777777" w:rsidR="00F24946" w:rsidRDefault="00613B06">
            <w:pPr>
              <w:pStyle w:val="P68B1DB1-Normal8"/>
              <w:spacing w:after="0" w:line="240" w:lineRule="auto"/>
              <w:jc w:val="center"/>
              <w:rPr>
                <w:rFonts w:eastAsia="Times New Roman" w:cs="Calibri"/>
                <w:noProof/>
              </w:rPr>
            </w:pPr>
            <w:r>
              <w:rPr>
                <w:noProof/>
              </w:rPr>
              <w:t>Poročilo o uvedbi novih ukrepov ozaveščanja in usposabljanja ter njihovem razvoju</w:t>
            </w:r>
          </w:p>
        </w:tc>
        <w:tc>
          <w:tcPr>
            <w:tcW w:w="1164" w:type="dxa"/>
            <w:shd w:val="clear" w:color="auto" w:fill="C4EFCE"/>
            <w:noWrap/>
            <w:vAlign w:val="center"/>
            <w:hideMark/>
          </w:tcPr>
          <w:p w14:paraId="4EEB31BE"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FE014D9"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428CA5F8"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8C7EC78"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18C7751D"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6E491E2" w14:textId="77777777" w:rsidR="00F24946" w:rsidRDefault="00613B06">
            <w:pPr>
              <w:pStyle w:val="P68B1DB1-Normal8"/>
              <w:spacing w:after="0" w:line="240" w:lineRule="auto"/>
              <w:jc w:val="both"/>
              <w:rPr>
                <w:rFonts w:eastAsia="Times New Roman" w:cs="Calibri"/>
                <w:noProof/>
              </w:rPr>
            </w:pPr>
            <w:r>
              <w:rPr>
                <w:noProof/>
              </w:rPr>
              <w:t>Ukrepi za ozaveščanje in usposabljanje o demencah, da bi podprli reforme na področju socialnih storitev in storitev zdravstvenega varstva, namenjene osebju socialnih in zdravstvenih storitev ali drugim subjektom, ki sodelujejo s širšo javnostjo na področju socialne politike in politike zdravstvenega varstva, ter uporabnikom storitev socialnega in zdravstvenega varstva.</w:t>
            </w:r>
          </w:p>
        </w:tc>
      </w:tr>
      <w:tr w:rsidR="00F24946" w14:paraId="31A97B40" w14:textId="77777777">
        <w:trPr>
          <w:trHeight w:val="684"/>
        </w:trPr>
        <w:tc>
          <w:tcPr>
            <w:tcW w:w="1135" w:type="dxa"/>
            <w:shd w:val="clear" w:color="auto" w:fill="C4EFCE"/>
            <w:noWrap/>
            <w:vAlign w:val="center"/>
            <w:hideMark/>
          </w:tcPr>
          <w:p w14:paraId="6F805E1F" w14:textId="77777777" w:rsidR="00F24946" w:rsidRDefault="00613B06">
            <w:pPr>
              <w:pStyle w:val="P68B1DB1-Normal7"/>
              <w:spacing w:after="0" w:line="240" w:lineRule="auto"/>
              <w:jc w:val="center"/>
              <w:rPr>
                <w:rFonts w:eastAsia="Times New Roman" w:cs="Calibri"/>
                <w:noProof/>
              </w:rPr>
            </w:pPr>
            <w:r>
              <w:rPr>
                <w:noProof/>
              </w:rPr>
              <w:t>1.25</w:t>
            </w:r>
          </w:p>
        </w:tc>
        <w:tc>
          <w:tcPr>
            <w:tcW w:w="1276" w:type="dxa"/>
            <w:shd w:val="clear" w:color="auto" w:fill="C4EFCE"/>
            <w:noWrap/>
            <w:vAlign w:val="center"/>
            <w:hideMark/>
          </w:tcPr>
          <w:p w14:paraId="2AA7B1FD" w14:textId="77777777" w:rsidR="00F24946" w:rsidRDefault="00613B06">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7E6411F2"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11655A" w14:textId="77777777" w:rsidR="00F24946" w:rsidRDefault="00613B06">
            <w:pPr>
              <w:pStyle w:val="P68B1DB1-Normal8"/>
              <w:spacing w:after="0" w:line="240" w:lineRule="auto"/>
              <w:jc w:val="center"/>
              <w:rPr>
                <w:rFonts w:eastAsia="Times New Roman" w:cs="Calibri"/>
                <w:noProof/>
              </w:rPr>
            </w:pPr>
            <w:r>
              <w:rPr>
                <w:noProof/>
              </w:rPr>
              <w:t>Dokončanje krepitve mreže za varstvo duševnega zdravja</w:t>
            </w:r>
          </w:p>
        </w:tc>
        <w:tc>
          <w:tcPr>
            <w:tcW w:w="1418" w:type="dxa"/>
            <w:shd w:val="clear" w:color="auto" w:fill="C4EFCE"/>
            <w:noWrap/>
            <w:vAlign w:val="center"/>
            <w:hideMark/>
          </w:tcPr>
          <w:p w14:paraId="166A1207" w14:textId="77777777" w:rsidR="00F24946" w:rsidRDefault="00613B06">
            <w:pPr>
              <w:pStyle w:val="P68B1DB1-Normal8"/>
              <w:spacing w:after="0" w:line="240" w:lineRule="auto"/>
              <w:jc w:val="center"/>
              <w:rPr>
                <w:rFonts w:eastAsia="Times New Roman" w:cs="Calibri"/>
                <w:noProof/>
              </w:rPr>
            </w:pPr>
            <w:r>
              <w:rPr>
                <w:noProof/>
              </w:rPr>
              <w:t>Poročilo o dokončanju vseh opisanih pobud za okrepitev mreže za varstvo duševnega zdravja</w:t>
            </w:r>
          </w:p>
        </w:tc>
        <w:tc>
          <w:tcPr>
            <w:tcW w:w="1164" w:type="dxa"/>
            <w:shd w:val="clear" w:color="auto" w:fill="C4EFCE"/>
            <w:noWrap/>
            <w:vAlign w:val="center"/>
            <w:hideMark/>
          </w:tcPr>
          <w:p w14:paraId="7E425255"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515D8522"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BC945BE"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43853C13"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695E8BA0"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6B1F7A73" w14:textId="77777777" w:rsidR="00F24946" w:rsidRDefault="00613B06">
            <w:pPr>
              <w:pStyle w:val="P68B1DB1-Normal8"/>
              <w:spacing w:after="0" w:line="240" w:lineRule="auto"/>
              <w:jc w:val="both"/>
              <w:rPr>
                <w:rFonts w:eastAsia="Times New Roman" w:cs="Calibri"/>
                <w:noProof/>
              </w:rPr>
            </w:pPr>
            <w:r>
              <w:rPr>
                <w:noProof/>
              </w:rPr>
              <w:t>Dokončanje vseh ukrepov, opredeljenih za okrepitev mreže za varstvo duševnega zdravja, vključno z: I) ustanovitev štirih novih enot za hospitalizacijo v splošnih bolnišnicah; II) ustanovitev 15 centrov integrirane odgovornosti na področju storitev na področju duševnega zdravja; III) obnova 20 obstoječih lokalnih služb za duševno zdravje; (IV) oblikovanje 500 odzivov na potrebe institucionaliziranih oseb s kroničnimi duševnimi boleznimi; v) nadgradnja treh forenzičnih objektov in opreme za psihiatrijo; izgradnja treh forenzičnih stanovanjskih prehodnih enot; in (vii) razvoj ukrepov usposabljanja za „oblikovanje poti pacientov“ v okviru demence. Vključuje uporabo nepovratnih sredstev v višini 58 507 675 EUR za prenovo energijske učinkovitosti, da bi se v povprečju dosegla vsaj srednje poglobljena prenova, kot je opredeljena v Priporočilu Komisije o prenovi stavb (EU) 2019/786. Zahteve za izboljšanje energijske učinkovitosti stavb se vključijo v postopke javnega naročanja in se zagotovijo v razpisnih zahtevah.</w:t>
            </w:r>
          </w:p>
        </w:tc>
      </w:tr>
      <w:tr w:rsidR="00F24946" w14:paraId="7D601BE3" w14:textId="77777777">
        <w:trPr>
          <w:trHeight w:val="850"/>
        </w:trPr>
        <w:tc>
          <w:tcPr>
            <w:tcW w:w="1135" w:type="dxa"/>
            <w:shd w:val="clear" w:color="auto" w:fill="C4EFCE"/>
            <w:noWrap/>
            <w:vAlign w:val="center"/>
          </w:tcPr>
          <w:p w14:paraId="38167FC7" w14:textId="782B9BD8" w:rsidR="00F24946" w:rsidRDefault="00613B06">
            <w:pPr>
              <w:pStyle w:val="P68B1DB1-Normal7"/>
              <w:spacing w:after="0" w:line="240" w:lineRule="auto"/>
              <w:jc w:val="center"/>
              <w:rPr>
                <w:rFonts w:eastAsia="Times New Roman" w:cs="Calibri"/>
                <w:noProof/>
              </w:rPr>
            </w:pPr>
            <w:r>
              <w:rPr>
                <w:noProof/>
              </w:rPr>
              <w:t>1.40</w:t>
            </w:r>
          </w:p>
        </w:tc>
        <w:tc>
          <w:tcPr>
            <w:tcW w:w="1276" w:type="dxa"/>
            <w:shd w:val="clear" w:color="auto" w:fill="C4EFCE"/>
            <w:noWrap/>
            <w:vAlign w:val="center"/>
          </w:tcPr>
          <w:p w14:paraId="5230C444" w14:textId="3C06B8C3" w:rsidR="00F24946" w:rsidRDefault="00613B06">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tcPr>
          <w:p w14:paraId="33E64FC7" w14:textId="68EADE1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tcPr>
          <w:p w14:paraId="258F4E6D" w14:textId="3B7B2525" w:rsidR="00F24946" w:rsidRDefault="00613B06">
            <w:pPr>
              <w:pStyle w:val="P68B1DB1-Normal8"/>
              <w:spacing w:after="0" w:line="240" w:lineRule="auto"/>
              <w:jc w:val="center"/>
              <w:rPr>
                <w:rFonts w:eastAsia="Times New Roman" w:cs="Calibri"/>
                <w:noProof/>
              </w:rPr>
            </w:pPr>
            <w:r>
              <w:rPr>
                <w:noProof/>
              </w:rPr>
              <w:t xml:space="preserve">Podpis pogodbe o upravljanju za gradnjo bolnišnice Vzhodna lizbona </w:t>
            </w:r>
          </w:p>
        </w:tc>
        <w:tc>
          <w:tcPr>
            <w:tcW w:w="1418" w:type="dxa"/>
            <w:shd w:val="clear" w:color="auto" w:fill="C4EFCE"/>
            <w:noWrap/>
            <w:vAlign w:val="center"/>
          </w:tcPr>
          <w:p w14:paraId="05C069DE" w14:textId="7E4CD3CE" w:rsidR="00F24946" w:rsidRDefault="00613B06">
            <w:pPr>
              <w:pStyle w:val="P68B1DB1-Normal8"/>
              <w:spacing w:after="0" w:line="240" w:lineRule="auto"/>
              <w:jc w:val="center"/>
              <w:rPr>
                <w:rFonts w:eastAsia="Times New Roman" w:cs="Calibri"/>
                <w:noProof/>
              </w:rPr>
            </w:pPr>
            <w:r>
              <w:rPr>
                <w:noProof/>
              </w:rPr>
              <w:t>Podpis pogodbe o upravljanju za gradnjo bolnišnice v Vzhodni Lizboni, ki so jo podpisali javni organi in subjekt s posebnim namenom</w:t>
            </w:r>
          </w:p>
        </w:tc>
        <w:tc>
          <w:tcPr>
            <w:tcW w:w="1164" w:type="dxa"/>
            <w:shd w:val="clear" w:color="auto" w:fill="C4EFCE"/>
            <w:noWrap/>
            <w:vAlign w:val="center"/>
          </w:tcPr>
          <w:p w14:paraId="41AA1AF4" w14:textId="77777777" w:rsidR="00F24946" w:rsidRDefault="00F24946">
            <w:pPr>
              <w:spacing w:after="0" w:line="240" w:lineRule="auto"/>
              <w:jc w:val="center"/>
              <w:rPr>
                <w:rFonts w:ascii="Calibri" w:eastAsia="Times New Roman" w:hAnsi="Calibri" w:cs="Calibri"/>
                <w:noProof/>
                <w:sz w:val="16"/>
              </w:rPr>
            </w:pPr>
          </w:p>
        </w:tc>
        <w:tc>
          <w:tcPr>
            <w:tcW w:w="962" w:type="dxa"/>
            <w:shd w:val="clear" w:color="auto" w:fill="C4EFCE"/>
            <w:noWrap/>
            <w:vAlign w:val="center"/>
          </w:tcPr>
          <w:p w14:paraId="35D8CA0C" w14:textId="77777777" w:rsidR="00F24946" w:rsidRDefault="00F24946">
            <w:pPr>
              <w:spacing w:after="0" w:line="240" w:lineRule="auto"/>
              <w:jc w:val="center"/>
              <w:rPr>
                <w:rFonts w:ascii="Calibri" w:eastAsia="Times New Roman" w:hAnsi="Calibri" w:cs="Calibri"/>
                <w:noProof/>
                <w:sz w:val="16"/>
              </w:rPr>
            </w:pPr>
          </w:p>
        </w:tc>
        <w:tc>
          <w:tcPr>
            <w:tcW w:w="805" w:type="dxa"/>
            <w:shd w:val="clear" w:color="auto" w:fill="C4EFCE"/>
            <w:noWrap/>
            <w:vAlign w:val="center"/>
          </w:tcPr>
          <w:p w14:paraId="58CC0C2B" w14:textId="77777777" w:rsidR="00F24946" w:rsidRDefault="00F24946">
            <w:pPr>
              <w:spacing w:after="0" w:line="240" w:lineRule="auto"/>
              <w:jc w:val="center"/>
              <w:rPr>
                <w:rFonts w:ascii="Calibri" w:eastAsia="Times New Roman" w:hAnsi="Calibri" w:cs="Calibri"/>
                <w:noProof/>
                <w:sz w:val="16"/>
              </w:rPr>
            </w:pPr>
          </w:p>
        </w:tc>
        <w:tc>
          <w:tcPr>
            <w:tcW w:w="833" w:type="dxa"/>
            <w:gridSpan w:val="2"/>
            <w:shd w:val="clear" w:color="auto" w:fill="C4EFCE"/>
            <w:noWrap/>
            <w:vAlign w:val="center"/>
          </w:tcPr>
          <w:p w14:paraId="26FBB759" w14:textId="55711EEF" w:rsidR="00F24946" w:rsidRDefault="00613B06">
            <w:pPr>
              <w:pStyle w:val="P68B1DB1-Normal8"/>
              <w:spacing w:after="0" w:line="240" w:lineRule="auto"/>
              <w:jc w:val="center"/>
              <w:rPr>
                <w:rFonts w:eastAsia="Times New Roman" w:cs="Calibri"/>
                <w:noProof/>
              </w:rPr>
            </w:pPr>
            <w:r>
              <w:rPr>
                <w:noProof/>
              </w:rPr>
              <w:t>Q3</w:t>
            </w:r>
          </w:p>
        </w:tc>
        <w:tc>
          <w:tcPr>
            <w:tcW w:w="901" w:type="dxa"/>
            <w:shd w:val="clear" w:color="auto" w:fill="C4EFCE"/>
            <w:noWrap/>
            <w:vAlign w:val="center"/>
          </w:tcPr>
          <w:p w14:paraId="21B59020" w14:textId="6FBC92C2" w:rsidR="00F24946" w:rsidRDefault="00613B06">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tcPr>
          <w:p w14:paraId="18393971" w14:textId="67D0DE31" w:rsidR="00F24946" w:rsidRDefault="00613B06">
            <w:pPr>
              <w:pStyle w:val="P68B1DB1-Normal8"/>
              <w:spacing w:after="0" w:line="240" w:lineRule="auto"/>
              <w:jc w:val="both"/>
              <w:rPr>
                <w:rFonts w:eastAsia="Times New Roman" w:cs="Calibri"/>
                <w:noProof/>
              </w:rPr>
            </w:pPr>
            <w:r>
              <w:rPr>
                <w:noProof/>
              </w:rPr>
              <w:t xml:space="preserve">Podpis pogodbe o upravljanju s strani ACSS in subjekta za posebne namene (SPV) za gradnjo bolnišnice v vzhodni Lizboni. Pogodba odraža pogoje, ki se nanašajo na obseg storitev (projektiranje, gradnja, financiranje, vzdrževanje infrastrukture, dobava in vzdrževanje stavbne splošne opreme) in trajanje. </w:t>
            </w:r>
          </w:p>
          <w:p w14:paraId="4D66D758" w14:textId="665D6456" w:rsidR="00F24946" w:rsidRDefault="00613B06">
            <w:pPr>
              <w:pStyle w:val="P68B1DB1-Normal8"/>
              <w:spacing w:after="0" w:line="240" w:lineRule="auto"/>
              <w:jc w:val="both"/>
              <w:rPr>
                <w:rFonts w:eastAsia="Times New Roman" w:cs="Calibri"/>
                <w:noProof/>
              </w:rPr>
            </w:pPr>
            <w:r>
              <w:rPr>
                <w:noProof/>
              </w:rPr>
              <w:t>Pogodba vključuje tudi klavzulo, ki določa, da mora biti potreba po primarni energiji za nove stavbe za vsaj 20 % nižja od potreb stavb s skoraj ničelno porabo energije.</w:t>
            </w:r>
          </w:p>
        </w:tc>
      </w:tr>
      <w:tr w:rsidR="00F24946" w14:paraId="0DBBA2AD" w14:textId="77777777">
        <w:trPr>
          <w:trHeight w:val="850"/>
        </w:trPr>
        <w:tc>
          <w:tcPr>
            <w:tcW w:w="1135" w:type="dxa"/>
            <w:shd w:val="clear" w:color="auto" w:fill="C4EFCE"/>
            <w:noWrap/>
            <w:vAlign w:val="center"/>
            <w:hideMark/>
          </w:tcPr>
          <w:p w14:paraId="4DEA0843" w14:textId="77777777" w:rsidR="00F24946" w:rsidRDefault="00613B06">
            <w:pPr>
              <w:pStyle w:val="P68B1DB1-Normal7"/>
              <w:spacing w:after="0" w:line="240" w:lineRule="auto"/>
              <w:jc w:val="center"/>
              <w:rPr>
                <w:rFonts w:eastAsia="Times New Roman" w:cs="Calibri"/>
                <w:noProof/>
              </w:rPr>
            </w:pPr>
            <w:r>
              <w:rPr>
                <w:noProof/>
              </w:rPr>
              <w:t>1.26</w:t>
            </w:r>
          </w:p>
        </w:tc>
        <w:tc>
          <w:tcPr>
            <w:tcW w:w="1276" w:type="dxa"/>
            <w:shd w:val="clear" w:color="auto" w:fill="C4EFCE"/>
            <w:noWrap/>
            <w:vAlign w:val="center"/>
            <w:hideMark/>
          </w:tcPr>
          <w:p w14:paraId="264BCD28" w14:textId="77777777" w:rsidR="00F24946" w:rsidRDefault="00613B06">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hideMark/>
          </w:tcPr>
          <w:p w14:paraId="450A30B4"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2FB3392" w14:textId="3F4D6888" w:rsidR="00F24946" w:rsidRDefault="00613B06">
            <w:pPr>
              <w:pStyle w:val="P68B1DB1-Normal8"/>
              <w:spacing w:after="0" w:line="240" w:lineRule="auto"/>
              <w:jc w:val="center"/>
              <w:rPr>
                <w:rFonts w:eastAsia="Times New Roman" w:cs="Calibri"/>
                <w:noProof/>
              </w:rPr>
            </w:pPr>
            <w:r>
              <w:rPr>
                <w:noProof/>
              </w:rPr>
              <w:t>Gradnja bolnišnice v vzhodni Lizboni in nakup opreme za bolnišnice v Lizboni in Vale do Tejo</w:t>
            </w:r>
          </w:p>
        </w:tc>
        <w:tc>
          <w:tcPr>
            <w:tcW w:w="1418" w:type="dxa"/>
            <w:shd w:val="clear" w:color="auto" w:fill="C4EFCE"/>
            <w:noWrap/>
            <w:vAlign w:val="center"/>
            <w:hideMark/>
          </w:tcPr>
          <w:p w14:paraId="69F63B22" w14:textId="17B00712" w:rsidR="00F24946" w:rsidRDefault="00613B06">
            <w:pPr>
              <w:pStyle w:val="P68B1DB1-Normal8"/>
              <w:spacing w:after="0" w:line="240" w:lineRule="auto"/>
              <w:jc w:val="center"/>
              <w:rPr>
                <w:rFonts w:eastAsia="Times New Roman" w:cs="Calibri"/>
                <w:noProof/>
              </w:rPr>
            </w:pPr>
            <w:r>
              <w:rPr>
                <w:noProof/>
              </w:rPr>
              <w:t>Gradnja bolnišnice v vzhodni Lizboni in nakup opreme za bolnišnice v Lizboni in Vale do Tejo</w:t>
            </w:r>
          </w:p>
        </w:tc>
        <w:tc>
          <w:tcPr>
            <w:tcW w:w="1164" w:type="dxa"/>
            <w:shd w:val="clear" w:color="auto" w:fill="C4EFCE"/>
            <w:noWrap/>
            <w:vAlign w:val="center"/>
            <w:hideMark/>
          </w:tcPr>
          <w:p w14:paraId="2647720D" w14:textId="77777777" w:rsidR="00F24946" w:rsidRDefault="00613B06">
            <w:pPr>
              <w:pStyle w:val="P68B1DB1-Normal10"/>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DEF2960" w14:textId="77777777" w:rsidR="00F24946" w:rsidRDefault="00613B06">
            <w:pPr>
              <w:pStyle w:val="P68B1DB1-Normal10"/>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B131ABE" w14:textId="77777777" w:rsidR="00F24946" w:rsidRDefault="00613B06">
            <w:pPr>
              <w:pStyle w:val="P68B1DB1-Normal10"/>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6F5E72E"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42B2A8CD"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5B029930" w14:textId="792EA1C2" w:rsidR="00F24946" w:rsidRDefault="00613B06">
            <w:pPr>
              <w:spacing w:after="0" w:line="240" w:lineRule="auto"/>
              <w:jc w:val="both"/>
              <w:rPr>
                <w:noProof/>
              </w:rPr>
            </w:pPr>
            <w:r>
              <w:rPr>
                <w:rFonts w:ascii="Calibri" w:hAnsi="Calibri"/>
                <w:noProof/>
                <w:sz w:val="16"/>
              </w:rPr>
              <w:t>Nakup opreme, ki bo nameščena v bolnišnicah v Lizboni in Vale do Tejo in ki bo vključevala skupno 78 740 000 EUR nepovratnih sredstev, in sicer klinično/medicinsko in visokotehnološko opremo; splošno opremo, ki vključuje pohištvo, prilagojeno nalogam, ki jih je treba opraviti v različnih prostorih, ter je enostavno za čiščenje in ergonomsko zasnovano; in računalniška oprema.</w:t>
            </w:r>
            <w:r>
              <w:rPr>
                <w:rFonts w:ascii="Calibri" w:hAnsi="Calibri"/>
                <w:noProof/>
                <w:sz w:val="16"/>
                <w:shd w:val="clear" w:color="auto" w:fill="E6E6E6"/>
              </w:rPr>
              <w:t xml:space="preserve"> </w:t>
            </w:r>
            <w:r>
              <w:rPr>
                <w:rFonts w:ascii="Calibri" w:hAnsi="Calibri"/>
                <w:noProof/>
                <w:sz w:val="16"/>
              </w:rPr>
              <w:t>Gradnja bolnišnice Vzhodna Lizbona, in sicer (i) Poente Tower, (ii) zgradbe na zemljišču B in (iii) zgradbe na zemljišču C, za katero je skupaj namenjenih 100 000 000 EUR nepovratnih sredstev. Potrebe po primarni energiji za te nove stavbe so za vsaj 20 % nižje od potreb stavb s skoraj nično porabo energije</w:t>
            </w:r>
            <w:r>
              <w:rPr>
                <w:noProof/>
              </w:rPr>
              <w:t>.</w:t>
            </w:r>
          </w:p>
        </w:tc>
      </w:tr>
      <w:tr w:rsidR="00F24946" w14:paraId="38A34B61" w14:textId="77777777">
        <w:trPr>
          <w:trHeight w:val="850"/>
        </w:trPr>
        <w:tc>
          <w:tcPr>
            <w:tcW w:w="1135" w:type="dxa"/>
            <w:shd w:val="clear" w:color="auto" w:fill="C4EFCE"/>
            <w:noWrap/>
            <w:vAlign w:val="center"/>
            <w:hideMark/>
          </w:tcPr>
          <w:p w14:paraId="725C9153" w14:textId="77777777" w:rsidR="00F24946" w:rsidRDefault="00613B06">
            <w:pPr>
              <w:pStyle w:val="P68B1DB1-Normal7"/>
              <w:spacing w:after="0" w:line="240" w:lineRule="auto"/>
              <w:jc w:val="center"/>
              <w:rPr>
                <w:rFonts w:eastAsia="Times New Roman" w:cs="Calibri"/>
                <w:noProof/>
              </w:rPr>
            </w:pPr>
            <w:r>
              <w:rPr>
                <w:noProof/>
              </w:rPr>
              <w:t>1.27</w:t>
            </w:r>
          </w:p>
        </w:tc>
        <w:tc>
          <w:tcPr>
            <w:tcW w:w="1276" w:type="dxa"/>
            <w:shd w:val="clear" w:color="auto" w:fill="C4EFCE"/>
            <w:noWrap/>
            <w:vAlign w:val="center"/>
            <w:hideMark/>
          </w:tcPr>
          <w:p w14:paraId="64400C1F" w14:textId="77777777" w:rsidR="00F24946" w:rsidRDefault="00613B06">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81DDB8E"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C7C8556" w14:textId="77777777" w:rsidR="00F24946" w:rsidRDefault="00613B06">
            <w:pPr>
              <w:pStyle w:val="P68B1DB1-Normal8"/>
              <w:spacing w:after="0" w:line="240" w:lineRule="auto"/>
              <w:jc w:val="center"/>
              <w:rPr>
                <w:rFonts w:eastAsia="Times New Roman" w:cs="Calibri"/>
                <w:noProof/>
              </w:rPr>
            </w:pPr>
            <w:r>
              <w:rPr>
                <w:noProof/>
              </w:rPr>
              <w:t>Povečanje števila razpoložljivih mest v sistemu hospitalizacije na domu regionalne zdravstvene službe Madeire</w:t>
            </w:r>
          </w:p>
        </w:tc>
        <w:tc>
          <w:tcPr>
            <w:tcW w:w="1418" w:type="dxa"/>
            <w:shd w:val="clear" w:color="auto" w:fill="C4EFCE"/>
            <w:noWrap/>
            <w:vAlign w:val="center"/>
            <w:hideMark/>
          </w:tcPr>
          <w:p w14:paraId="501441A2"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426B467"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4BE39102"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743EDF67" w14:textId="77777777" w:rsidR="00F24946" w:rsidRDefault="00613B06">
            <w:pPr>
              <w:pStyle w:val="P68B1DB1-Normal8"/>
              <w:spacing w:after="0" w:line="240" w:lineRule="auto"/>
              <w:jc w:val="center"/>
              <w:rPr>
                <w:rFonts w:eastAsia="Times New Roman" w:cs="Calibri"/>
                <w:noProof/>
              </w:rPr>
            </w:pPr>
            <w:r>
              <w:rPr>
                <w:noProof/>
              </w:rPr>
              <w:t>1 500</w:t>
            </w:r>
          </w:p>
        </w:tc>
        <w:tc>
          <w:tcPr>
            <w:tcW w:w="833" w:type="dxa"/>
            <w:gridSpan w:val="2"/>
            <w:shd w:val="clear" w:color="auto" w:fill="C4EFCE"/>
            <w:noWrap/>
            <w:vAlign w:val="center"/>
            <w:hideMark/>
          </w:tcPr>
          <w:p w14:paraId="2B0D5EEA"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3AFF1172"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64D2578" w14:textId="0D007B14" w:rsidR="00F24946" w:rsidRDefault="00613B06">
            <w:pPr>
              <w:pStyle w:val="P68B1DB1-Normal8"/>
              <w:spacing w:after="0" w:line="240" w:lineRule="auto"/>
              <w:jc w:val="both"/>
              <w:rPr>
                <w:rFonts w:eastAsia="Times New Roman" w:cs="Calibri"/>
                <w:noProof/>
              </w:rPr>
            </w:pPr>
            <w:r>
              <w:rPr>
                <w:noProof/>
              </w:rPr>
              <w:t>Krepitev odzivne zmogljivosti regionalnih zdravstvenih služb Madeire s povečanjem števila razpoložljivih mest v sistemu hospitalizacije na domu, s čimer se omogoči zagotavljanje zdravstvenih storitev na domu z razlikovanjem, kompleksnostjo in intenzivnostjo na ravni bolnišnic, v tesnem sodelovanju z osnovnim zdravstvenim varstvom in drugimi storitvami.</w:t>
            </w:r>
          </w:p>
        </w:tc>
      </w:tr>
      <w:tr w:rsidR="00F24946" w14:paraId="68BBE707" w14:textId="77777777">
        <w:trPr>
          <w:trHeight w:val="430"/>
        </w:trPr>
        <w:tc>
          <w:tcPr>
            <w:tcW w:w="1135" w:type="dxa"/>
            <w:shd w:val="clear" w:color="auto" w:fill="C4EFCE"/>
            <w:noWrap/>
            <w:vAlign w:val="center"/>
            <w:hideMark/>
          </w:tcPr>
          <w:p w14:paraId="6B8F9975" w14:textId="77777777" w:rsidR="00F24946" w:rsidRDefault="00613B06">
            <w:pPr>
              <w:pStyle w:val="P68B1DB1-Normal7"/>
              <w:spacing w:after="0" w:line="240" w:lineRule="auto"/>
              <w:jc w:val="center"/>
              <w:rPr>
                <w:rFonts w:eastAsia="Times New Roman" w:cs="Calibri"/>
                <w:noProof/>
              </w:rPr>
            </w:pPr>
            <w:r>
              <w:rPr>
                <w:noProof/>
              </w:rPr>
              <w:t>1.28</w:t>
            </w:r>
          </w:p>
        </w:tc>
        <w:tc>
          <w:tcPr>
            <w:tcW w:w="1276" w:type="dxa"/>
            <w:shd w:val="clear" w:color="auto" w:fill="C4EFCE"/>
            <w:noWrap/>
            <w:vAlign w:val="center"/>
            <w:hideMark/>
          </w:tcPr>
          <w:p w14:paraId="7EFF19CE" w14:textId="77777777" w:rsidR="00F24946" w:rsidRDefault="00613B06">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1B8E013A"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1D1DE9F" w14:textId="77777777" w:rsidR="00F24946" w:rsidRDefault="00613B06">
            <w:pPr>
              <w:pStyle w:val="P68B1DB1-Normal8"/>
              <w:spacing w:after="0" w:line="240" w:lineRule="auto"/>
              <w:jc w:val="center"/>
              <w:rPr>
                <w:rFonts w:eastAsia="Times New Roman" w:cs="Calibri"/>
                <w:noProof/>
              </w:rPr>
            </w:pPr>
            <w:r>
              <w:rPr>
                <w:noProof/>
              </w:rPr>
              <w:t>Ustanovitev skupin skupnosti za duševno zdravje v regionalni zdravstveni službi Madeire</w:t>
            </w:r>
          </w:p>
        </w:tc>
        <w:tc>
          <w:tcPr>
            <w:tcW w:w="1418" w:type="dxa"/>
            <w:shd w:val="clear" w:color="auto" w:fill="C4EFCE"/>
            <w:noWrap/>
            <w:vAlign w:val="center"/>
            <w:hideMark/>
          </w:tcPr>
          <w:p w14:paraId="5B56375A"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5965D60"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4488F202"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54B9112A" w14:textId="77777777" w:rsidR="00F24946" w:rsidRDefault="00613B06">
            <w:pPr>
              <w:pStyle w:val="P68B1DB1-Normal8"/>
              <w:spacing w:after="0" w:line="240" w:lineRule="auto"/>
              <w:jc w:val="center"/>
              <w:rPr>
                <w:rFonts w:eastAsia="Times New Roman" w:cs="Calibri"/>
                <w:noProof/>
              </w:rPr>
            </w:pPr>
            <w:r>
              <w:rPr>
                <w:noProof/>
              </w:rPr>
              <w:t>11</w:t>
            </w:r>
          </w:p>
        </w:tc>
        <w:tc>
          <w:tcPr>
            <w:tcW w:w="833" w:type="dxa"/>
            <w:gridSpan w:val="2"/>
            <w:shd w:val="clear" w:color="auto" w:fill="C4EFCE"/>
            <w:noWrap/>
            <w:vAlign w:val="center"/>
            <w:hideMark/>
          </w:tcPr>
          <w:p w14:paraId="5AD45B50"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1FBFEAD9"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0A1580E" w14:textId="77777777" w:rsidR="00F24946" w:rsidRDefault="00613B06">
            <w:pPr>
              <w:pStyle w:val="P68B1DB1-Normal8"/>
              <w:spacing w:after="0" w:line="240" w:lineRule="auto"/>
              <w:jc w:val="both"/>
              <w:rPr>
                <w:rFonts w:eastAsia="Times New Roman" w:cs="Calibri"/>
                <w:noProof/>
              </w:rPr>
            </w:pPr>
            <w:r>
              <w:rPr>
                <w:noProof/>
              </w:rPr>
              <w:t>Krepitev odzivne zmogljivosti regionalne zdravstvene službe Madeire na področju duševnega zdravja in demence, povezanih s staranjem, z oblikovanjem skupin za duševno zdravje v skupnosti.</w:t>
            </w:r>
          </w:p>
        </w:tc>
      </w:tr>
      <w:tr w:rsidR="00F24946" w14:paraId="601A2D9F" w14:textId="77777777">
        <w:trPr>
          <w:trHeight w:val="640"/>
        </w:trPr>
        <w:tc>
          <w:tcPr>
            <w:tcW w:w="1135" w:type="dxa"/>
            <w:shd w:val="clear" w:color="auto" w:fill="C4EFCE"/>
            <w:noWrap/>
            <w:vAlign w:val="center"/>
            <w:hideMark/>
          </w:tcPr>
          <w:p w14:paraId="0B9ADE7F" w14:textId="77777777" w:rsidR="00F24946" w:rsidRDefault="00613B06">
            <w:pPr>
              <w:pStyle w:val="P68B1DB1-Normal7"/>
              <w:spacing w:after="0" w:line="240" w:lineRule="auto"/>
              <w:jc w:val="center"/>
              <w:rPr>
                <w:rFonts w:eastAsia="Times New Roman" w:cs="Calibri"/>
                <w:noProof/>
              </w:rPr>
            </w:pPr>
            <w:r>
              <w:rPr>
                <w:noProof/>
              </w:rPr>
              <w:t>1.29</w:t>
            </w:r>
          </w:p>
        </w:tc>
        <w:tc>
          <w:tcPr>
            <w:tcW w:w="1276" w:type="dxa"/>
            <w:shd w:val="clear" w:color="auto" w:fill="C4EFCE"/>
            <w:noWrap/>
            <w:vAlign w:val="center"/>
            <w:hideMark/>
          </w:tcPr>
          <w:p w14:paraId="4F5677A4" w14:textId="77777777" w:rsidR="00F24946" w:rsidRDefault="00613B06">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4338AFAF"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0B8B5FF" w14:textId="77777777" w:rsidR="00F24946" w:rsidRDefault="00613B06">
            <w:pPr>
              <w:pStyle w:val="P68B1DB1-Normal8"/>
              <w:spacing w:after="0" w:line="240" w:lineRule="auto"/>
              <w:jc w:val="center"/>
              <w:rPr>
                <w:rFonts w:eastAsia="Times New Roman" w:cs="Calibri"/>
                <w:noProof/>
              </w:rPr>
            </w:pPr>
            <w:r>
              <w:rPr>
                <w:noProof/>
              </w:rPr>
              <w:t>Uvedba klasifikacijskega sistema, funkcionalnega profila in sistema za napotitev uporabnikov za regionalni model integriranih storitev stalne oskrbe na Madeiri</w:t>
            </w:r>
          </w:p>
        </w:tc>
        <w:tc>
          <w:tcPr>
            <w:tcW w:w="1418" w:type="dxa"/>
            <w:shd w:val="clear" w:color="auto" w:fill="C4EFCE"/>
            <w:noWrap/>
            <w:vAlign w:val="center"/>
            <w:hideMark/>
          </w:tcPr>
          <w:p w14:paraId="792AE747" w14:textId="77777777" w:rsidR="00F24946" w:rsidRDefault="00613B06">
            <w:pPr>
              <w:pStyle w:val="P68B1DB1-Normal8"/>
              <w:spacing w:after="0" w:line="240" w:lineRule="auto"/>
              <w:jc w:val="center"/>
              <w:rPr>
                <w:rFonts w:eastAsia="Times New Roman" w:cs="Calibri"/>
                <w:noProof/>
              </w:rPr>
            </w:pPr>
            <w:r>
              <w:rPr>
                <w:noProof/>
              </w:rPr>
              <w:t>Poročilo o uvedbi klasifikacijskega sistema, funkcionalnega profila in sistema za napotitve uporabnikov</w:t>
            </w:r>
          </w:p>
        </w:tc>
        <w:tc>
          <w:tcPr>
            <w:tcW w:w="1164" w:type="dxa"/>
            <w:shd w:val="clear" w:color="auto" w:fill="C4EFCE"/>
            <w:noWrap/>
            <w:vAlign w:val="center"/>
            <w:hideMark/>
          </w:tcPr>
          <w:p w14:paraId="7DF78181"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B3035AA"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8781B8"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08823D9"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21D3F18F" w14:textId="77777777" w:rsidR="00F24946" w:rsidRDefault="00613B06">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5AE6B77D" w14:textId="77777777" w:rsidR="00F24946" w:rsidRDefault="00613B06">
            <w:pPr>
              <w:pStyle w:val="P68B1DB1-Normal8"/>
              <w:spacing w:after="0" w:line="240" w:lineRule="auto"/>
              <w:jc w:val="both"/>
              <w:rPr>
                <w:rFonts w:eastAsia="Times New Roman" w:cs="Calibri"/>
                <w:noProof/>
              </w:rPr>
            </w:pPr>
            <w:r>
              <w:rPr>
                <w:noProof/>
              </w:rPr>
              <w:t>Uvedba klasifikacijskega sistema, funkcionalnega profila in sistema za napotitve uporabnikov, da bi okrepili regionalni model integriranih storitev stalne oskrbe na Madeiri ter njegovo usklajevanje in tehnično upravljanje.</w:t>
            </w:r>
          </w:p>
        </w:tc>
      </w:tr>
      <w:tr w:rsidR="00F24946" w14:paraId="1098BF06" w14:textId="77777777">
        <w:trPr>
          <w:trHeight w:val="1060"/>
        </w:trPr>
        <w:tc>
          <w:tcPr>
            <w:tcW w:w="1135" w:type="dxa"/>
            <w:shd w:val="clear" w:color="auto" w:fill="C4EFCE"/>
            <w:noWrap/>
            <w:vAlign w:val="center"/>
            <w:hideMark/>
          </w:tcPr>
          <w:p w14:paraId="67550639" w14:textId="77777777" w:rsidR="00F24946" w:rsidRDefault="00613B06">
            <w:pPr>
              <w:pStyle w:val="P68B1DB1-Normal7"/>
              <w:spacing w:after="0" w:line="240" w:lineRule="auto"/>
              <w:jc w:val="center"/>
              <w:rPr>
                <w:rFonts w:eastAsia="Times New Roman" w:cs="Calibri"/>
                <w:noProof/>
              </w:rPr>
            </w:pPr>
            <w:r>
              <w:rPr>
                <w:noProof/>
              </w:rPr>
              <w:t>1.30</w:t>
            </w:r>
          </w:p>
        </w:tc>
        <w:tc>
          <w:tcPr>
            <w:tcW w:w="1276" w:type="dxa"/>
            <w:shd w:val="clear" w:color="auto" w:fill="C4EFCE"/>
            <w:noWrap/>
            <w:vAlign w:val="center"/>
            <w:hideMark/>
          </w:tcPr>
          <w:p w14:paraId="43DCB444" w14:textId="77777777" w:rsidR="00F24946" w:rsidRDefault="00613B06">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4FC5C57"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06F1B98" w14:textId="77777777" w:rsidR="00F24946" w:rsidRDefault="00613B06">
            <w:pPr>
              <w:pStyle w:val="P68B1DB1-Normal8"/>
              <w:spacing w:after="0" w:line="240" w:lineRule="auto"/>
              <w:jc w:val="center"/>
              <w:rPr>
                <w:rFonts w:eastAsia="Times New Roman" w:cs="Calibri"/>
                <w:noProof/>
              </w:rPr>
            </w:pPr>
            <w:r>
              <w:rPr>
                <w:noProof/>
              </w:rPr>
              <w:t>Povečanje števila mest za integrirane storitve stalne oskrbe v regionalni zdravstveni službi Madeire</w:t>
            </w:r>
          </w:p>
        </w:tc>
        <w:tc>
          <w:tcPr>
            <w:tcW w:w="1418" w:type="dxa"/>
            <w:shd w:val="clear" w:color="auto" w:fill="C4EFCE"/>
            <w:noWrap/>
            <w:vAlign w:val="center"/>
            <w:hideMark/>
          </w:tcPr>
          <w:p w14:paraId="21827395"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2498DB0B"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17180C84"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0A4DD6D" w14:textId="77777777" w:rsidR="00F24946" w:rsidRDefault="00613B06">
            <w:pPr>
              <w:pStyle w:val="P68B1DB1-Normal8"/>
              <w:spacing w:after="0" w:line="240" w:lineRule="auto"/>
              <w:jc w:val="center"/>
              <w:rPr>
                <w:rFonts w:eastAsia="Times New Roman" w:cs="Calibri"/>
                <w:noProof/>
              </w:rPr>
            </w:pPr>
            <w:r>
              <w:rPr>
                <w:noProof/>
              </w:rPr>
              <w:t>1 080</w:t>
            </w:r>
          </w:p>
        </w:tc>
        <w:tc>
          <w:tcPr>
            <w:tcW w:w="833" w:type="dxa"/>
            <w:gridSpan w:val="2"/>
            <w:shd w:val="clear" w:color="auto" w:fill="C4EFCE"/>
            <w:noWrap/>
            <w:vAlign w:val="center"/>
            <w:hideMark/>
          </w:tcPr>
          <w:p w14:paraId="1FCF5E4A"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160FF7E"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13670F9" w14:textId="2575518F" w:rsidR="00F24946" w:rsidRDefault="00613B06">
            <w:pPr>
              <w:pStyle w:val="P68B1DB1-Normal8"/>
              <w:spacing w:after="0" w:line="240" w:lineRule="auto"/>
              <w:jc w:val="both"/>
              <w:rPr>
                <w:rFonts w:eastAsia="Times New Roman" w:cs="Calibri"/>
                <w:noProof/>
              </w:rPr>
            </w:pPr>
            <w:r>
              <w:rPr>
                <w:noProof/>
              </w:rPr>
              <w:t>Število novih in obnovljenih mest, ustvarjenih v integriranih storitvah stalne oskrbe v regionalni zdravstveni službi Madeire, merjeno v smislu novih in obnovljenih postelj, na splošno (vključno z enoto za okrevanje, srednjeročno in rehabilitacijo ter enoto za dolgoročno in vzdrževanje), duševno zdravje in pediatrične storitve. Vključuje uporabo nepovratnih sredstev i) za izgradnjo nove zdravstvene infrastrukture, katere potreba po primarni energiji bo vsaj 20 % nižja od potreb stavb s skoraj nično porabo energije; in ii) izvedbo prenove za energijsko učinkovitost.</w:t>
            </w:r>
          </w:p>
        </w:tc>
      </w:tr>
      <w:tr w:rsidR="00F24946" w14:paraId="228353BC" w14:textId="77777777">
        <w:trPr>
          <w:trHeight w:val="300"/>
        </w:trPr>
        <w:tc>
          <w:tcPr>
            <w:tcW w:w="1135" w:type="dxa"/>
            <w:shd w:val="clear" w:color="auto" w:fill="C4EFCE"/>
            <w:noWrap/>
            <w:vAlign w:val="center"/>
            <w:hideMark/>
          </w:tcPr>
          <w:p w14:paraId="4EE5165B" w14:textId="77777777" w:rsidR="00F24946" w:rsidRDefault="00613B06">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45977E58" w14:textId="77777777" w:rsidR="00F24946" w:rsidRDefault="00613B06">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5FD6D547"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FC0E06E" w14:textId="77777777" w:rsidR="00F24946" w:rsidRDefault="00613B06">
            <w:pPr>
              <w:pStyle w:val="P68B1DB1-Normal8"/>
              <w:spacing w:after="0" w:line="240" w:lineRule="auto"/>
              <w:jc w:val="center"/>
              <w:rPr>
                <w:rFonts w:eastAsia="Times New Roman" w:cs="Calibri"/>
                <w:noProof/>
              </w:rPr>
            </w:pPr>
            <w:r>
              <w:rPr>
                <w:noProof/>
              </w:rPr>
              <w:t>Obnova storitev primarnega zdravstvenega varstva na Madeiri</w:t>
            </w:r>
          </w:p>
        </w:tc>
        <w:tc>
          <w:tcPr>
            <w:tcW w:w="1418" w:type="dxa"/>
            <w:shd w:val="clear" w:color="auto" w:fill="C4EFCE"/>
            <w:noWrap/>
            <w:vAlign w:val="center"/>
            <w:hideMark/>
          </w:tcPr>
          <w:p w14:paraId="356EBB6C"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7418E171"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798DA9A1"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AB16FD0" w14:textId="77777777" w:rsidR="00F24946" w:rsidRDefault="00613B06">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141B4ED0" w14:textId="77777777"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76AB49A4" w14:textId="77777777" w:rsidR="00F24946" w:rsidRDefault="00613B06">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4350EBE" w14:textId="77777777" w:rsidR="00F24946" w:rsidRDefault="00613B06">
            <w:pPr>
              <w:pStyle w:val="P68B1DB1-Normal8"/>
              <w:spacing w:after="0" w:line="240" w:lineRule="auto"/>
              <w:jc w:val="both"/>
              <w:rPr>
                <w:rFonts w:eastAsia="Times New Roman" w:cs="Calibri"/>
                <w:noProof/>
              </w:rPr>
            </w:pPr>
            <w:r>
              <w:rPr>
                <w:noProof/>
              </w:rPr>
              <w:t>Število obnovljenih ustanov primarnega zdravstvenega varstva v regionalni zdravstveni službi Madeire.</w:t>
            </w:r>
          </w:p>
        </w:tc>
      </w:tr>
      <w:tr w:rsidR="00F24946" w14:paraId="5DB36F90" w14:textId="77777777">
        <w:trPr>
          <w:trHeight w:val="640"/>
        </w:trPr>
        <w:tc>
          <w:tcPr>
            <w:tcW w:w="1135" w:type="dxa"/>
            <w:shd w:val="clear" w:color="auto" w:fill="C4EFCE"/>
            <w:noWrap/>
            <w:vAlign w:val="center"/>
            <w:hideMark/>
          </w:tcPr>
          <w:p w14:paraId="23301C6E" w14:textId="77777777" w:rsidR="00F24946" w:rsidRDefault="00613B06">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07BF663B" w14:textId="77777777" w:rsidR="00F24946" w:rsidRDefault="00613B06">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54C196BC"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1C09812" w14:textId="77777777" w:rsidR="00F24946" w:rsidRDefault="00613B06">
            <w:pPr>
              <w:pStyle w:val="P68B1DB1-Normal8"/>
              <w:spacing w:after="0" w:line="240" w:lineRule="auto"/>
              <w:jc w:val="center"/>
              <w:rPr>
                <w:rFonts w:eastAsia="Times New Roman" w:cs="Calibri"/>
                <w:noProof/>
              </w:rPr>
            </w:pPr>
            <w:r>
              <w:rPr>
                <w:noProof/>
              </w:rPr>
              <w:t>Nadgradnja lokalnih omrežij informacijske tehnologije</w:t>
            </w:r>
          </w:p>
        </w:tc>
        <w:tc>
          <w:tcPr>
            <w:tcW w:w="1418" w:type="dxa"/>
            <w:shd w:val="clear" w:color="auto" w:fill="C4EFCE"/>
            <w:noWrap/>
            <w:vAlign w:val="center"/>
            <w:hideMark/>
          </w:tcPr>
          <w:p w14:paraId="7496A1FC"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1D12A45" w14:textId="77777777" w:rsidR="00F24946" w:rsidRDefault="00613B06">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604F7E4B"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4ACEC4B" w14:textId="77777777" w:rsidR="00F24946" w:rsidRDefault="00613B06">
            <w:pPr>
              <w:pStyle w:val="P68B1DB1-Normal8"/>
              <w:spacing w:after="0" w:line="240" w:lineRule="auto"/>
              <w:jc w:val="center"/>
              <w:rPr>
                <w:rFonts w:eastAsia="Times New Roman" w:cs="Calibri"/>
                <w:noProof/>
              </w:rPr>
            </w:pPr>
            <w:r>
              <w:rPr>
                <w:noProof/>
              </w:rPr>
              <w:t>90</w:t>
            </w:r>
          </w:p>
        </w:tc>
        <w:tc>
          <w:tcPr>
            <w:tcW w:w="833" w:type="dxa"/>
            <w:gridSpan w:val="2"/>
            <w:shd w:val="clear" w:color="auto" w:fill="C4EFCE"/>
            <w:noWrap/>
            <w:vAlign w:val="center"/>
            <w:hideMark/>
          </w:tcPr>
          <w:p w14:paraId="58F1EC69"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540758F3"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8EC5631" w14:textId="77777777" w:rsidR="00F24946" w:rsidRDefault="00613B06">
            <w:pPr>
              <w:pStyle w:val="P68B1DB1-Normal8"/>
              <w:spacing w:after="0" w:line="240" w:lineRule="auto"/>
              <w:jc w:val="both"/>
              <w:rPr>
                <w:rFonts w:eastAsia="Times New Roman" w:cs="Calibri"/>
                <w:noProof/>
              </w:rPr>
            </w:pPr>
            <w:r>
              <w:rPr>
                <w:noProof/>
              </w:rPr>
              <w:t>Odstotek nadgrajenih lokalnih omrežij informacijske tehnologije v nacionalni zdravstveni službi, ki jih organizira in izvaja enota za skupne službe Ministrstva za zdravje, ki bo tako lahko delovala v novem modelu enotnih komunikacij (govor prek internetnega protokola).</w:t>
            </w:r>
          </w:p>
        </w:tc>
      </w:tr>
      <w:tr w:rsidR="00F24946" w14:paraId="1D239173" w14:textId="77777777">
        <w:trPr>
          <w:trHeight w:val="640"/>
        </w:trPr>
        <w:tc>
          <w:tcPr>
            <w:tcW w:w="1135" w:type="dxa"/>
            <w:shd w:val="clear" w:color="auto" w:fill="C4EFCE"/>
            <w:noWrap/>
            <w:vAlign w:val="center"/>
            <w:hideMark/>
          </w:tcPr>
          <w:p w14:paraId="47CBD861" w14:textId="77777777" w:rsidR="00F24946" w:rsidRDefault="00613B06">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238DEBF" w14:textId="77777777" w:rsidR="00F24946" w:rsidRDefault="00613B06">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AC6399B"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19C984B" w14:textId="77777777" w:rsidR="00F24946" w:rsidRDefault="00613B06">
            <w:pPr>
              <w:pStyle w:val="P68B1DB1-Normal8"/>
              <w:spacing w:after="0" w:line="240" w:lineRule="auto"/>
              <w:jc w:val="center"/>
              <w:rPr>
                <w:rFonts w:eastAsia="Times New Roman" w:cs="Calibri"/>
                <w:noProof/>
              </w:rPr>
            </w:pPr>
            <w:r>
              <w:rPr>
                <w:noProof/>
              </w:rPr>
              <w:t>Izvajanje funkcij za telezdravje in spremljanje na daljavo</w:t>
            </w:r>
          </w:p>
        </w:tc>
        <w:tc>
          <w:tcPr>
            <w:tcW w:w="1418" w:type="dxa"/>
            <w:shd w:val="clear" w:color="auto" w:fill="C4EFCE"/>
            <w:noWrap/>
            <w:vAlign w:val="center"/>
            <w:hideMark/>
          </w:tcPr>
          <w:p w14:paraId="1F8B5CCD"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073D926" w14:textId="77777777" w:rsidR="00F24946" w:rsidRDefault="00613B06">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375E54E1"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8EB1FEB" w14:textId="77777777" w:rsidR="00F24946" w:rsidRDefault="00613B06">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2F344E98"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04B7D6FE" w14:textId="77777777" w:rsidR="00F24946" w:rsidRDefault="00613B06">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BBF837A" w14:textId="77777777" w:rsidR="00F24946" w:rsidRDefault="00613B06">
            <w:pPr>
              <w:pStyle w:val="P68B1DB1-Normal8"/>
              <w:spacing w:after="0" w:line="240" w:lineRule="auto"/>
              <w:jc w:val="both"/>
              <w:rPr>
                <w:rFonts w:eastAsia="Times New Roman" w:cs="Calibri"/>
                <w:noProof/>
              </w:rPr>
            </w:pPr>
            <w:r>
              <w:rPr>
                <w:noProof/>
              </w:rPr>
              <w:t>Odstotek uporabnikov z dostopom do novih funkcij telezdravja in spremljanja na daljavo, ki omogočajo zagotavljanje storitev zdravstvenega varstva na daljavo, s čimer se povečujeta raven dostopa do zdravstvenega varstva in udeležba državljanov v procesu zbiranja in zdravljenja na daljavo.</w:t>
            </w:r>
          </w:p>
        </w:tc>
      </w:tr>
      <w:tr w:rsidR="00F24946" w14:paraId="6B7A654B" w14:textId="77777777">
        <w:trPr>
          <w:trHeight w:val="414"/>
        </w:trPr>
        <w:tc>
          <w:tcPr>
            <w:tcW w:w="1135" w:type="dxa"/>
            <w:shd w:val="clear" w:color="auto" w:fill="C4EFCE"/>
            <w:noWrap/>
            <w:vAlign w:val="center"/>
            <w:hideMark/>
          </w:tcPr>
          <w:p w14:paraId="788FB01B" w14:textId="77777777" w:rsidR="00F24946" w:rsidRDefault="00613B06">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3B63F904" w14:textId="77777777" w:rsidR="00F24946" w:rsidRDefault="00613B06">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554D603"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2A2F67A" w14:textId="77777777" w:rsidR="00F24946" w:rsidRDefault="00613B06">
            <w:pPr>
              <w:pStyle w:val="P68B1DB1-Normal8"/>
              <w:spacing w:after="0" w:line="240" w:lineRule="auto"/>
              <w:jc w:val="center"/>
              <w:rPr>
                <w:rFonts w:eastAsia="Times New Roman" w:cs="Calibri"/>
                <w:noProof/>
              </w:rPr>
            </w:pPr>
            <w:r>
              <w:rPr>
                <w:noProof/>
              </w:rPr>
              <w:t>Izvajanje upravnih modulov informacijske tehnologije, osnovnih kliničnih modulov in kliničnih modulov za nujne primere</w:t>
            </w:r>
          </w:p>
        </w:tc>
        <w:tc>
          <w:tcPr>
            <w:tcW w:w="1418" w:type="dxa"/>
            <w:shd w:val="clear" w:color="auto" w:fill="C4EFCE"/>
            <w:noWrap/>
            <w:vAlign w:val="center"/>
            <w:hideMark/>
          </w:tcPr>
          <w:p w14:paraId="60D66170"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B64EB98" w14:textId="77777777" w:rsidR="00F24946" w:rsidRDefault="00613B06">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09AEDAE6"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4105145" w14:textId="77777777" w:rsidR="00F24946" w:rsidRDefault="00613B06">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510A81E2" w14:textId="20C69EC3" w:rsidR="00F24946" w:rsidRDefault="00613B06">
            <w:pPr>
              <w:pStyle w:val="P68B1DB1-Normal8"/>
              <w:spacing w:after="0" w:line="240" w:lineRule="auto"/>
              <w:jc w:val="center"/>
              <w:rPr>
                <w:rFonts w:eastAsia="Times New Roman" w:cs="Calibri"/>
                <w:noProof/>
              </w:rPr>
            </w:pPr>
            <w:r>
              <w:rPr>
                <w:noProof/>
              </w:rPr>
              <w:t>Q2</w:t>
            </w:r>
          </w:p>
        </w:tc>
        <w:tc>
          <w:tcPr>
            <w:tcW w:w="901" w:type="dxa"/>
            <w:shd w:val="clear" w:color="auto" w:fill="C4EFCE"/>
            <w:noWrap/>
            <w:vAlign w:val="center"/>
            <w:hideMark/>
          </w:tcPr>
          <w:p w14:paraId="1B258F53" w14:textId="7EC56113"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0AF81CED" w14:textId="77777777" w:rsidR="00F24946" w:rsidRDefault="00613B06">
            <w:pPr>
              <w:pStyle w:val="P68B1DB1-Normal8"/>
              <w:spacing w:after="0" w:line="240" w:lineRule="auto"/>
              <w:jc w:val="both"/>
              <w:rPr>
                <w:rFonts w:eastAsia="Times New Roman" w:cs="Calibri"/>
                <w:noProof/>
              </w:rPr>
            </w:pPr>
            <w:r>
              <w:rPr>
                <w:noProof/>
              </w:rPr>
              <w:t>Odstotek zdravstvenih delavcev z dostopom do integriranih modulov informacijske tehnologije, osnovnih kliničnih modulov in kliničnih modulov za nujne primere za: evidentiranje in pregledovanje kliničnih informacij v okviru primarnega, bolnišničnega in stalnega zdravstvenega varstva, da se zagotovita razpoložljivost in vključevanje zdravstvenih informacij ter večja varnost uporabnikov in zdravstvenih delavcev; ter ii) register zdravstvenih storitev v nujnih primerih, register zdravstvene nege in spremljanje zdravstvenih storitev na daljavo.</w:t>
            </w:r>
          </w:p>
        </w:tc>
      </w:tr>
      <w:tr w:rsidR="00F24946" w14:paraId="2D39C445" w14:textId="77777777">
        <w:trPr>
          <w:trHeight w:val="640"/>
        </w:trPr>
        <w:tc>
          <w:tcPr>
            <w:tcW w:w="1135" w:type="dxa"/>
            <w:shd w:val="clear" w:color="auto" w:fill="C4EFCE"/>
            <w:noWrap/>
            <w:vAlign w:val="center"/>
            <w:hideMark/>
          </w:tcPr>
          <w:p w14:paraId="518CED19" w14:textId="77777777" w:rsidR="00F24946" w:rsidRDefault="00613B06">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2670C5DB" w14:textId="77777777" w:rsidR="00F24946" w:rsidRDefault="00613B06">
            <w:pPr>
              <w:pStyle w:val="P68B1DB1-Normal8"/>
              <w:spacing w:after="0" w:line="240" w:lineRule="auto"/>
              <w:jc w:val="center"/>
              <w:rPr>
                <w:rFonts w:eastAsia="Times New Roman" w:cs="Calibri"/>
                <w:noProof/>
              </w:rPr>
            </w:pPr>
            <w:r>
              <w:rPr>
                <w:noProof/>
              </w:rPr>
              <w:t>Re-C01-i07-RAM</w:t>
            </w:r>
          </w:p>
        </w:tc>
        <w:tc>
          <w:tcPr>
            <w:tcW w:w="992" w:type="dxa"/>
            <w:shd w:val="clear" w:color="auto" w:fill="C4EFCE"/>
            <w:noWrap/>
            <w:vAlign w:val="center"/>
            <w:hideMark/>
          </w:tcPr>
          <w:p w14:paraId="4F631A01"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7E98217" w14:textId="77777777" w:rsidR="00F24946" w:rsidRDefault="00613B06">
            <w:pPr>
              <w:pStyle w:val="P68B1DB1-Normal8"/>
              <w:spacing w:after="0" w:line="240" w:lineRule="auto"/>
              <w:jc w:val="center"/>
              <w:rPr>
                <w:rFonts w:eastAsia="Times New Roman" w:cs="Calibri"/>
                <w:noProof/>
              </w:rPr>
            </w:pPr>
            <w:r>
              <w:rPr>
                <w:noProof/>
              </w:rPr>
              <w:t>Nova računalniška oprema za regionalno zdravstveno službo Madeire</w:t>
            </w:r>
          </w:p>
        </w:tc>
        <w:tc>
          <w:tcPr>
            <w:tcW w:w="1418" w:type="dxa"/>
            <w:shd w:val="clear" w:color="auto" w:fill="C4EFCE"/>
            <w:noWrap/>
            <w:vAlign w:val="center"/>
            <w:hideMark/>
          </w:tcPr>
          <w:p w14:paraId="44306B25"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08B4C87"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4B03819A"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08FD160" w14:textId="77777777" w:rsidR="00F24946" w:rsidRDefault="00613B06">
            <w:pPr>
              <w:pStyle w:val="P68B1DB1-Normal8"/>
              <w:spacing w:after="0" w:line="240" w:lineRule="auto"/>
              <w:jc w:val="center"/>
              <w:rPr>
                <w:rFonts w:eastAsia="Times New Roman" w:cs="Calibri"/>
                <w:noProof/>
              </w:rPr>
            </w:pPr>
            <w:r>
              <w:rPr>
                <w:noProof/>
              </w:rPr>
              <w:t>3 600</w:t>
            </w:r>
          </w:p>
        </w:tc>
        <w:tc>
          <w:tcPr>
            <w:tcW w:w="833" w:type="dxa"/>
            <w:gridSpan w:val="2"/>
            <w:shd w:val="clear" w:color="auto" w:fill="C4EFCE"/>
            <w:noWrap/>
            <w:vAlign w:val="center"/>
            <w:hideMark/>
          </w:tcPr>
          <w:p w14:paraId="08604750" w14:textId="77777777" w:rsidR="00F24946" w:rsidRDefault="00613B06">
            <w:pPr>
              <w:pStyle w:val="P68B1DB1-Normal8"/>
              <w:spacing w:after="0" w:line="240" w:lineRule="auto"/>
              <w:jc w:val="center"/>
              <w:rPr>
                <w:rFonts w:eastAsia="Times New Roman" w:cs="Calibri"/>
                <w:noProof/>
              </w:rPr>
            </w:pPr>
            <w:r>
              <w:rPr>
                <w:noProof/>
              </w:rPr>
              <w:t>Q4</w:t>
            </w:r>
          </w:p>
        </w:tc>
        <w:tc>
          <w:tcPr>
            <w:tcW w:w="901" w:type="dxa"/>
            <w:shd w:val="clear" w:color="auto" w:fill="C4EFCE"/>
            <w:noWrap/>
            <w:vAlign w:val="center"/>
            <w:hideMark/>
          </w:tcPr>
          <w:p w14:paraId="709C9011" w14:textId="77777777"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414FCB5F" w14:textId="77777777" w:rsidR="00F24946" w:rsidRDefault="00613B06">
            <w:pPr>
              <w:pStyle w:val="P68B1DB1-Normal8"/>
              <w:spacing w:after="0" w:line="240" w:lineRule="auto"/>
              <w:jc w:val="both"/>
              <w:rPr>
                <w:rFonts w:eastAsia="Times New Roman" w:cs="Calibri"/>
                <w:noProof/>
              </w:rPr>
            </w:pPr>
            <w:r>
              <w:rPr>
                <w:noProof/>
              </w:rPr>
              <w:t>Število nove računalniške opreme za regionalno zdravstveno službo Madeire za spremljanje in zagotavljanje večje bližine uporabnikom regionalne zdravstvene službe Madeire, spodbujanje zmanjšanja tveganja napak ter spodbujanje učinkovitosti in hitrega dostopa do podatkov o uporabnikih.</w:t>
            </w:r>
          </w:p>
        </w:tc>
      </w:tr>
      <w:tr w:rsidR="00F24946" w14:paraId="3B6BEA0A" w14:textId="77777777">
        <w:trPr>
          <w:trHeight w:val="430"/>
        </w:trPr>
        <w:tc>
          <w:tcPr>
            <w:tcW w:w="1135" w:type="dxa"/>
            <w:shd w:val="clear" w:color="auto" w:fill="C4EFCE"/>
            <w:noWrap/>
            <w:vAlign w:val="center"/>
            <w:hideMark/>
          </w:tcPr>
          <w:p w14:paraId="1C2B4CDB" w14:textId="77777777" w:rsidR="00F24946" w:rsidRDefault="00613B06">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44303377" w14:textId="77777777" w:rsidR="00F24946" w:rsidRDefault="00613B06">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08334822"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62E30B" w14:textId="77777777" w:rsidR="00F24946" w:rsidRDefault="00613B06">
            <w:pPr>
              <w:pStyle w:val="P68B1DB1-Normal8"/>
              <w:spacing w:after="0" w:line="240" w:lineRule="auto"/>
              <w:jc w:val="center"/>
              <w:rPr>
                <w:rFonts w:eastAsia="Times New Roman" w:cs="Calibri"/>
                <w:noProof/>
              </w:rPr>
            </w:pPr>
            <w:r>
              <w:rPr>
                <w:noProof/>
              </w:rPr>
              <w:t>Večji dostop do uporabniškega portala regionalne zdravstvene službe Azorov</w:t>
            </w:r>
          </w:p>
        </w:tc>
        <w:tc>
          <w:tcPr>
            <w:tcW w:w="1418" w:type="dxa"/>
            <w:shd w:val="clear" w:color="auto" w:fill="C4EFCE"/>
            <w:noWrap/>
            <w:vAlign w:val="center"/>
            <w:hideMark/>
          </w:tcPr>
          <w:p w14:paraId="16ACFAA9"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518DAD3"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258F7153"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FB3820" w14:textId="77777777" w:rsidR="00F24946" w:rsidRDefault="00613B06">
            <w:pPr>
              <w:pStyle w:val="P68B1DB1-Normal8"/>
              <w:spacing w:after="0" w:line="240" w:lineRule="auto"/>
              <w:jc w:val="center"/>
              <w:rPr>
                <w:rFonts w:eastAsia="Times New Roman" w:cs="Calibri"/>
                <w:noProof/>
              </w:rPr>
            </w:pPr>
            <w:r>
              <w:rPr>
                <w:noProof/>
              </w:rPr>
              <w:t>25 000</w:t>
            </w:r>
          </w:p>
        </w:tc>
        <w:tc>
          <w:tcPr>
            <w:tcW w:w="833" w:type="dxa"/>
            <w:gridSpan w:val="2"/>
            <w:shd w:val="clear" w:color="auto" w:fill="C4EFCE"/>
            <w:noWrap/>
            <w:vAlign w:val="center"/>
            <w:hideMark/>
          </w:tcPr>
          <w:p w14:paraId="62A4D53A" w14:textId="77777777" w:rsidR="00F24946" w:rsidRDefault="00613B06">
            <w:pPr>
              <w:pStyle w:val="P68B1DB1-Normal8"/>
              <w:spacing w:after="0" w:line="240" w:lineRule="auto"/>
              <w:jc w:val="center"/>
              <w:rPr>
                <w:rFonts w:eastAsia="Times New Roman" w:cs="Calibri"/>
                <w:noProof/>
              </w:rPr>
            </w:pPr>
            <w:r>
              <w:rPr>
                <w:noProof/>
              </w:rPr>
              <w:t>Q3</w:t>
            </w:r>
          </w:p>
        </w:tc>
        <w:tc>
          <w:tcPr>
            <w:tcW w:w="901" w:type="dxa"/>
            <w:shd w:val="clear" w:color="auto" w:fill="C4EFCE"/>
            <w:noWrap/>
            <w:vAlign w:val="center"/>
            <w:hideMark/>
          </w:tcPr>
          <w:p w14:paraId="6894F559"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5954B06" w14:textId="77777777" w:rsidR="00F24946" w:rsidRDefault="00613B06">
            <w:pPr>
              <w:pStyle w:val="P68B1DB1-Normal8"/>
              <w:spacing w:after="0" w:line="240" w:lineRule="auto"/>
              <w:jc w:val="both"/>
              <w:rPr>
                <w:rFonts w:eastAsia="Times New Roman" w:cs="Calibri"/>
                <w:noProof/>
              </w:rPr>
            </w:pPr>
            <w:r>
              <w:rPr>
                <w:noProof/>
              </w:rPr>
              <w:t>Število dodatnih posameznih uporabnikov na leto, ki dostopajo do uporabniškega portala regionalne zdravstvene službe Azorov, zahvaljujoč razširitvi digitalnih zdravstvenih storitev in zdravstvenih informacij, ki so na voljo v njem.</w:t>
            </w:r>
          </w:p>
        </w:tc>
      </w:tr>
      <w:tr w:rsidR="00F24946" w14:paraId="2C6F55F9" w14:textId="77777777">
        <w:trPr>
          <w:trHeight w:val="430"/>
        </w:trPr>
        <w:tc>
          <w:tcPr>
            <w:tcW w:w="1135" w:type="dxa"/>
            <w:shd w:val="clear" w:color="auto" w:fill="C4EFCE"/>
            <w:noWrap/>
            <w:vAlign w:val="center"/>
            <w:hideMark/>
          </w:tcPr>
          <w:p w14:paraId="35FE58B3" w14:textId="77777777" w:rsidR="00F24946" w:rsidRDefault="00613B06">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799DA769" w14:textId="77777777" w:rsidR="00F24946" w:rsidRDefault="00613B06">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302C65ED" w14:textId="77777777"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4EF576" w14:textId="77777777" w:rsidR="00F24946" w:rsidRDefault="00613B06">
            <w:pPr>
              <w:pStyle w:val="P68B1DB1-Normal8"/>
              <w:spacing w:after="0" w:line="240" w:lineRule="auto"/>
              <w:jc w:val="center"/>
              <w:rPr>
                <w:rFonts w:eastAsia="Times New Roman" w:cs="Calibri"/>
                <w:noProof/>
              </w:rPr>
            </w:pPr>
            <w:r>
              <w:rPr>
                <w:noProof/>
              </w:rPr>
              <w:t>Uvedba imenovanj na telemedicino v regionalni zdravstveni službi Azorov</w:t>
            </w:r>
          </w:p>
        </w:tc>
        <w:tc>
          <w:tcPr>
            <w:tcW w:w="1418" w:type="dxa"/>
            <w:shd w:val="clear" w:color="auto" w:fill="C4EFCE"/>
            <w:noWrap/>
            <w:vAlign w:val="center"/>
            <w:hideMark/>
          </w:tcPr>
          <w:p w14:paraId="1A2B8AD5" w14:textId="77777777" w:rsidR="00F24946" w:rsidRDefault="00613B06">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379D47D" w14:textId="77777777"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hideMark/>
          </w:tcPr>
          <w:p w14:paraId="43D98159" w14:textId="77777777"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44072E" w14:textId="77777777" w:rsidR="00F24946" w:rsidRDefault="00613B06">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ED42D00" w14:textId="77777777" w:rsidR="00F24946" w:rsidRDefault="00613B06">
            <w:pPr>
              <w:pStyle w:val="P68B1DB1-Normal8"/>
              <w:spacing w:after="0" w:line="240" w:lineRule="auto"/>
              <w:jc w:val="center"/>
              <w:rPr>
                <w:rFonts w:eastAsia="Times New Roman" w:cs="Calibri"/>
                <w:noProof/>
              </w:rPr>
            </w:pPr>
            <w:r>
              <w:rPr>
                <w:noProof/>
              </w:rPr>
              <w:t>Q3</w:t>
            </w:r>
          </w:p>
        </w:tc>
        <w:tc>
          <w:tcPr>
            <w:tcW w:w="901" w:type="dxa"/>
            <w:shd w:val="clear" w:color="auto" w:fill="C4EFCE"/>
            <w:noWrap/>
            <w:vAlign w:val="center"/>
            <w:hideMark/>
          </w:tcPr>
          <w:p w14:paraId="5CCF492B" w14:textId="77777777" w:rsidR="00F24946" w:rsidRDefault="00613B06">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1736CD51" w14:textId="77777777" w:rsidR="00F24946" w:rsidRDefault="00613B06">
            <w:pPr>
              <w:pStyle w:val="P68B1DB1-Normal8"/>
              <w:spacing w:after="0" w:line="240" w:lineRule="auto"/>
              <w:jc w:val="both"/>
              <w:rPr>
                <w:rFonts w:eastAsia="Times New Roman" w:cs="Calibri"/>
                <w:noProof/>
              </w:rPr>
            </w:pPr>
            <w:r>
              <w:rPr>
                <w:noProof/>
              </w:rPr>
              <w:t>Število letnih imenovanj na telemedicino v osnovnem zdravstvenem varstvu in pri zdravnikih specialistih v regionalni zdravstveni službi Azorov.</w:t>
            </w:r>
          </w:p>
        </w:tc>
      </w:tr>
      <w:tr w:rsidR="00F24946" w14:paraId="0EE038BE" w14:textId="77777777">
        <w:trPr>
          <w:trHeight w:val="640"/>
        </w:trPr>
        <w:tc>
          <w:tcPr>
            <w:tcW w:w="1135" w:type="dxa"/>
            <w:shd w:val="clear" w:color="auto" w:fill="C4EFCE"/>
            <w:noWrap/>
            <w:vAlign w:val="center"/>
          </w:tcPr>
          <w:p w14:paraId="31A01111" w14:textId="4FBAFE14" w:rsidR="00F24946" w:rsidRDefault="00613B06">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tcPr>
          <w:p w14:paraId="64BB902A" w14:textId="53831F49" w:rsidR="00F24946" w:rsidRDefault="00613B06">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tcPr>
          <w:p w14:paraId="0A96970B" w14:textId="156C1E6E" w:rsidR="00F24946" w:rsidRDefault="00613B06">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tcPr>
          <w:p w14:paraId="4E2D372B" w14:textId="0E63E0C8" w:rsidR="00F24946" w:rsidRDefault="00613B06">
            <w:pPr>
              <w:pStyle w:val="P68B1DB1-Normal8"/>
              <w:spacing w:after="0" w:line="240" w:lineRule="auto"/>
              <w:jc w:val="center"/>
              <w:rPr>
                <w:rFonts w:eastAsia="Times New Roman" w:cs="Calibri"/>
                <w:noProof/>
              </w:rPr>
            </w:pPr>
            <w:r>
              <w:rPr>
                <w:noProof/>
              </w:rPr>
              <w:t>Zaključek izvajanja programov „Športna skupnost šol“ in „Šool Sports on Wheels“ v šolah</w:t>
            </w:r>
          </w:p>
        </w:tc>
        <w:tc>
          <w:tcPr>
            <w:tcW w:w="1418" w:type="dxa"/>
            <w:shd w:val="clear" w:color="auto" w:fill="C4EFCE"/>
            <w:noWrap/>
            <w:vAlign w:val="center"/>
          </w:tcPr>
          <w:p w14:paraId="37AA52F9" w14:textId="77777777" w:rsidR="00F24946" w:rsidRDefault="00F24946">
            <w:pPr>
              <w:spacing w:after="0" w:line="240" w:lineRule="auto"/>
              <w:jc w:val="center"/>
              <w:rPr>
                <w:rFonts w:ascii="Calibri" w:eastAsia="Times New Roman" w:hAnsi="Calibri" w:cs="Calibri"/>
                <w:noProof/>
                <w:sz w:val="16"/>
              </w:rPr>
            </w:pPr>
          </w:p>
        </w:tc>
        <w:tc>
          <w:tcPr>
            <w:tcW w:w="1164" w:type="dxa"/>
            <w:shd w:val="clear" w:color="auto" w:fill="C4EFCE"/>
            <w:noWrap/>
            <w:vAlign w:val="center"/>
          </w:tcPr>
          <w:p w14:paraId="1C3DF8F2" w14:textId="15771FE2" w:rsidR="00F24946" w:rsidRDefault="00613B06">
            <w:pPr>
              <w:pStyle w:val="P68B1DB1-Normal8"/>
              <w:spacing w:after="0" w:line="240" w:lineRule="auto"/>
              <w:jc w:val="center"/>
              <w:rPr>
                <w:rFonts w:eastAsia="Times New Roman" w:cs="Calibri"/>
                <w:noProof/>
              </w:rPr>
            </w:pPr>
            <w:r>
              <w:rPr>
                <w:noProof/>
              </w:rPr>
              <w:t>Število</w:t>
            </w:r>
          </w:p>
        </w:tc>
        <w:tc>
          <w:tcPr>
            <w:tcW w:w="962" w:type="dxa"/>
            <w:shd w:val="clear" w:color="auto" w:fill="C4EFCE"/>
            <w:noWrap/>
            <w:vAlign w:val="center"/>
          </w:tcPr>
          <w:p w14:paraId="10841144" w14:textId="7A4A9BBC" w:rsidR="00F24946" w:rsidRDefault="00613B06">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tcPr>
          <w:p w14:paraId="35971DC5" w14:textId="6ECAC858" w:rsidR="00F24946" w:rsidRDefault="00613B06">
            <w:pPr>
              <w:pStyle w:val="P68B1DB1-Normal8"/>
              <w:spacing w:after="0" w:line="240" w:lineRule="auto"/>
              <w:jc w:val="center"/>
              <w:rPr>
                <w:rFonts w:eastAsia="Times New Roman" w:cs="Calibri"/>
                <w:noProof/>
              </w:rPr>
            </w:pPr>
            <w:r>
              <w:rPr>
                <w:noProof/>
              </w:rPr>
              <w:t>1980</w:t>
            </w:r>
          </w:p>
        </w:tc>
        <w:tc>
          <w:tcPr>
            <w:tcW w:w="833" w:type="dxa"/>
            <w:gridSpan w:val="2"/>
            <w:shd w:val="clear" w:color="auto" w:fill="C4EFCE"/>
            <w:noWrap/>
            <w:vAlign w:val="center"/>
          </w:tcPr>
          <w:p w14:paraId="015DCDA9" w14:textId="1FBC0FB9" w:rsidR="00F24946" w:rsidRDefault="00613B06">
            <w:pPr>
              <w:pStyle w:val="P68B1DB1-Normal8"/>
              <w:spacing w:after="0" w:line="240" w:lineRule="auto"/>
              <w:jc w:val="center"/>
              <w:rPr>
                <w:rFonts w:eastAsia="Times New Roman" w:cs="Calibri"/>
                <w:noProof/>
              </w:rPr>
            </w:pPr>
            <w:r>
              <w:rPr>
                <w:noProof/>
              </w:rPr>
              <w:t>Q3</w:t>
            </w:r>
          </w:p>
        </w:tc>
        <w:tc>
          <w:tcPr>
            <w:tcW w:w="901" w:type="dxa"/>
            <w:shd w:val="clear" w:color="auto" w:fill="C4EFCE"/>
            <w:noWrap/>
            <w:vAlign w:val="center"/>
          </w:tcPr>
          <w:p w14:paraId="06A77DA0" w14:textId="20CE1881"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tcPr>
          <w:p w14:paraId="628B2390" w14:textId="163A1F48" w:rsidR="00F24946" w:rsidRDefault="00613B06">
            <w:pPr>
              <w:pStyle w:val="P68B1DB1-Normal8"/>
              <w:spacing w:after="0" w:line="240" w:lineRule="auto"/>
              <w:jc w:val="both"/>
              <w:rPr>
                <w:rFonts w:eastAsia="Times New Roman" w:cs="Calibri"/>
                <w:noProof/>
              </w:rPr>
            </w:pPr>
            <w:r>
              <w:rPr>
                <w:noProof/>
              </w:rPr>
              <w:t>Število kompletov za kolesa, ki jih sestavljajo kolesa različnih velikosti, dobavljena v šolah drugega cikla z namenom poučevanja kolesarjenja za učence, ter kompleti za kolesa za odrasle, dostavljene javnim šolam v okviru programa Šools Sports Community</w:t>
            </w:r>
          </w:p>
        </w:tc>
      </w:tr>
      <w:tr w:rsidR="00F24946" w14:paraId="150B873E" w14:textId="77777777">
        <w:trPr>
          <w:trHeight w:val="640"/>
        </w:trPr>
        <w:tc>
          <w:tcPr>
            <w:tcW w:w="1135" w:type="dxa"/>
            <w:shd w:val="clear" w:color="auto" w:fill="C4EFCE"/>
            <w:noWrap/>
            <w:vAlign w:val="center"/>
            <w:hideMark/>
          </w:tcPr>
          <w:p w14:paraId="0C72F16B" w14:textId="77777777" w:rsidR="00F24946" w:rsidRDefault="00613B06">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30A44D52" w14:textId="77777777" w:rsidR="00F24946" w:rsidRDefault="00613B06">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hideMark/>
          </w:tcPr>
          <w:p w14:paraId="2A370627" w14:textId="77777777" w:rsidR="00F24946" w:rsidRDefault="00613B06">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BF3C4F6" w14:textId="77777777" w:rsidR="00F24946" w:rsidRDefault="00613B06">
            <w:pPr>
              <w:pStyle w:val="P68B1DB1-Normal8"/>
              <w:spacing w:after="0" w:line="240" w:lineRule="auto"/>
              <w:jc w:val="center"/>
              <w:rPr>
                <w:rFonts w:eastAsia="Times New Roman" w:cs="Calibri"/>
                <w:noProof/>
              </w:rPr>
            </w:pPr>
            <w:r>
              <w:rPr>
                <w:noProof/>
              </w:rPr>
              <w:t>Začetek nacionalne kampanje za univerzalni sistem za podporo aktivnemu življenju in s tem povezano tehnološko platformo</w:t>
            </w:r>
          </w:p>
        </w:tc>
        <w:tc>
          <w:tcPr>
            <w:tcW w:w="1418" w:type="dxa"/>
            <w:shd w:val="clear" w:color="auto" w:fill="C4EFCE"/>
            <w:noWrap/>
            <w:vAlign w:val="center"/>
            <w:hideMark/>
          </w:tcPr>
          <w:p w14:paraId="71D7CD15" w14:textId="77777777" w:rsidR="00F24946" w:rsidRDefault="00613B06">
            <w:pPr>
              <w:pStyle w:val="P68B1DB1-Normal8"/>
              <w:spacing w:after="0" w:line="240" w:lineRule="auto"/>
              <w:jc w:val="center"/>
              <w:rPr>
                <w:rFonts w:eastAsia="Times New Roman" w:cs="Calibri"/>
                <w:noProof/>
              </w:rPr>
            </w:pPr>
            <w:r>
              <w:rPr>
                <w:noProof/>
              </w:rPr>
              <w:t>Novi komunikacijski kanali in delujoča platforma za nacionalno kampanjo za univerzalni sistem za podporo aktivnemu življenju</w:t>
            </w:r>
          </w:p>
        </w:tc>
        <w:tc>
          <w:tcPr>
            <w:tcW w:w="1164" w:type="dxa"/>
            <w:shd w:val="clear" w:color="auto" w:fill="C4EFCE"/>
            <w:noWrap/>
            <w:vAlign w:val="center"/>
            <w:hideMark/>
          </w:tcPr>
          <w:p w14:paraId="7EE395E9" w14:textId="77777777" w:rsidR="00F24946" w:rsidRDefault="00613B06">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BFB1270" w14:textId="77777777" w:rsidR="00F24946" w:rsidRDefault="00613B06">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9FF4A32" w14:textId="77777777" w:rsidR="00F24946" w:rsidRDefault="00613B06">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1CE5595" w14:textId="33DE1500" w:rsidR="00F24946" w:rsidRDefault="00613B06">
            <w:pPr>
              <w:pStyle w:val="P68B1DB1-Normal8"/>
              <w:spacing w:after="0" w:line="240" w:lineRule="auto"/>
              <w:jc w:val="center"/>
              <w:rPr>
                <w:rFonts w:eastAsia="Times New Roman" w:cs="Calibri"/>
                <w:noProof/>
              </w:rPr>
            </w:pPr>
            <w:r>
              <w:rPr>
                <w:noProof/>
              </w:rPr>
              <w:t>Q3</w:t>
            </w:r>
          </w:p>
        </w:tc>
        <w:tc>
          <w:tcPr>
            <w:tcW w:w="901" w:type="dxa"/>
            <w:shd w:val="clear" w:color="auto" w:fill="C4EFCE"/>
            <w:noWrap/>
            <w:vAlign w:val="center"/>
            <w:hideMark/>
          </w:tcPr>
          <w:p w14:paraId="63B5DA71" w14:textId="77777777" w:rsidR="00F24946" w:rsidRDefault="00613B06">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528A0C6D" w14:textId="77777777" w:rsidR="00F24946" w:rsidRDefault="00613B06">
            <w:pPr>
              <w:pStyle w:val="P68B1DB1-Normal8"/>
              <w:spacing w:after="0" w:line="240" w:lineRule="auto"/>
              <w:jc w:val="both"/>
              <w:rPr>
                <w:rFonts w:eastAsia="Times New Roman" w:cs="Calibri"/>
                <w:noProof/>
              </w:rPr>
            </w:pPr>
            <w:r>
              <w:rPr>
                <w:noProof/>
              </w:rPr>
              <w:t>Začetek nacionalne kampanje za univerzalni sistem za podporo aktivnemu življenju in s tem povezano tehnološko platformo, da bi povečali znanje državljanov o koristih redne telesne dejavnosti v vseh starostih in v skladu z njihovimi sposobnostmi, da bi spodbudili sprejemanje bolj zdravega načina življenja.</w:t>
            </w:r>
          </w:p>
        </w:tc>
      </w:tr>
      <w:tr w:rsidR="00F24946" w14:paraId="32DDB6EB" w14:textId="77777777">
        <w:trPr>
          <w:trHeight w:val="640"/>
        </w:trPr>
        <w:tc>
          <w:tcPr>
            <w:tcW w:w="1135" w:type="dxa"/>
            <w:shd w:val="clear" w:color="auto" w:fill="C4EFCE"/>
            <w:noWrap/>
            <w:vAlign w:val="center"/>
          </w:tcPr>
          <w:p w14:paraId="5EA543BD" w14:textId="73E365A0" w:rsidR="00F24946" w:rsidRDefault="00613B06">
            <w:pPr>
              <w:pStyle w:val="P68B1DB1-Normal11"/>
              <w:spacing w:after="0" w:line="240" w:lineRule="auto"/>
              <w:jc w:val="center"/>
              <w:rPr>
                <w:rFonts w:eastAsia="Times New Roman" w:cstheme="minorHAnsi"/>
                <w:noProof/>
              </w:rPr>
            </w:pPr>
            <w:r>
              <w:rPr>
                <w:noProof/>
              </w:rPr>
              <w:t>1.41</w:t>
            </w:r>
          </w:p>
        </w:tc>
        <w:tc>
          <w:tcPr>
            <w:tcW w:w="1276" w:type="dxa"/>
            <w:shd w:val="clear" w:color="auto" w:fill="C4EFCE"/>
            <w:noWrap/>
            <w:vAlign w:val="center"/>
          </w:tcPr>
          <w:p w14:paraId="052499FB" w14:textId="346E2DBB" w:rsidR="00F24946" w:rsidRDefault="00613B06">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6833F05F" w14:textId="01DD35B4" w:rsidR="00F24946" w:rsidRDefault="00613B06">
            <w:pPr>
              <w:pStyle w:val="P68B1DB1-Normal12"/>
              <w:spacing w:after="0" w:line="240" w:lineRule="auto"/>
              <w:jc w:val="center"/>
              <w:rPr>
                <w:rFonts w:eastAsia="Times New Roman" w:cstheme="minorHAnsi"/>
                <w:noProof/>
                <w:highlight w:val="cyan"/>
              </w:rPr>
            </w:pPr>
            <w:r>
              <w:rPr>
                <w:noProof/>
              </w:rPr>
              <w:t>M</w:t>
            </w:r>
          </w:p>
        </w:tc>
        <w:tc>
          <w:tcPr>
            <w:tcW w:w="1843" w:type="dxa"/>
            <w:shd w:val="clear" w:color="auto" w:fill="C4EFCE"/>
            <w:noWrap/>
            <w:vAlign w:val="center"/>
          </w:tcPr>
          <w:p w14:paraId="2B996393" w14:textId="1E61FAE8" w:rsidR="00F24946" w:rsidRDefault="00613B06">
            <w:pPr>
              <w:pStyle w:val="P68B1DB1-Normal12"/>
              <w:spacing w:after="0" w:line="240" w:lineRule="auto"/>
              <w:jc w:val="center"/>
              <w:rPr>
                <w:rFonts w:eastAsia="Times New Roman" w:cstheme="minorHAnsi"/>
                <w:noProof/>
                <w:highlight w:val="cyan"/>
              </w:rPr>
            </w:pPr>
            <w:r>
              <w:rPr>
                <w:noProof/>
              </w:rPr>
              <w:t>Odobritev poročila, v katerem so opredeljene potrebe NZS za težko medicinsko opremo</w:t>
            </w:r>
          </w:p>
        </w:tc>
        <w:tc>
          <w:tcPr>
            <w:tcW w:w="1418" w:type="dxa"/>
            <w:shd w:val="clear" w:color="auto" w:fill="C4EFCE"/>
            <w:noWrap/>
            <w:vAlign w:val="center"/>
          </w:tcPr>
          <w:p w14:paraId="368DC9EE" w14:textId="2FE358D2" w:rsidR="00F24946" w:rsidRDefault="00613B06">
            <w:pPr>
              <w:pStyle w:val="P68B1DB1-Normal12"/>
              <w:spacing w:after="0" w:line="240" w:lineRule="auto"/>
              <w:jc w:val="center"/>
              <w:rPr>
                <w:rFonts w:eastAsia="Times New Roman" w:cstheme="minorHAnsi"/>
                <w:noProof/>
                <w:highlight w:val="cyan"/>
              </w:rPr>
            </w:pPr>
            <w:r>
              <w:rPr>
                <w:noProof/>
              </w:rPr>
              <w:t>Odobritev poročila</w:t>
            </w:r>
          </w:p>
        </w:tc>
        <w:tc>
          <w:tcPr>
            <w:tcW w:w="1164" w:type="dxa"/>
            <w:shd w:val="clear" w:color="auto" w:fill="C4EFCE"/>
            <w:noWrap/>
            <w:vAlign w:val="center"/>
          </w:tcPr>
          <w:p w14:paraId="78888CE5" w14:textId="77777777" w:rsidR="00F24946" w:rsidRDefault="00F24946">
            <w:pPr>
              <w:spacing w:after="0" w:line="240" w:lineRule="auto"/>
              <w:jc w:val="center"/>
              <w:rPr>
                <w:rFonts w:eastAsia="Times New Roman" w:cstheme="minorHAnsi"/>
                <w:noProof/>
                <w:sz w:val="16"/>
              </w:rPr>
            </w:pPr>
          </w:p>
        </w:tc>
        <w:tc>
          <w:tcPr>
            <w:tcW w:w="962" w:type="dxa"/>
            <w:shd w:val="clear" w:color="auto" w:fill="C4EFCE"/>
            <w:noWrap/>
            <w:vAlign w:val="center"/>
          </w:tcPr>
          <w:p w14:paraId="29921A70" w14:textId="77777777" w:rsidR="00F24946" w:rsidRDefault="00F24946">
            <w:pPr>
              <w:spacing w:after="0" w:line="240" w:lineRule="auto"/>
              <w:jc w:val="center"/>
              <w:rPr>
                <w:rFonts w:eastAsia="Times New Roman" w:cstheme="minorHAnsi"/>
                <w:noProof/>
                <w:sz w:val="16"/>
              </w:rPr>
            </w:pPr>
          </w:p>
        </w:tc>
        <w:tc>
          <w:tcPr>
            <w:tcW w:w="805" w:type="dxa"/>
            <w:shd w:val="clear" w:color="auto" w:fill="C4EFCE"/>
            <w:noWrap/>
            <w:vAlign w:val="center"/>
          </w:tcPr>
          <w:p w14:paraId="650D0E3B" w14:textId="77777777" w:rsidR="00F24946" w:rsidRDefault="00F24946">
            <w:pPr>
              <w:spacing w:after="0" w:line="240" w:lineRule="auto"/>
              <w:jc w:val="center"/>
              <w:rPr>
                <w:rFonts w:eastAsia="Times New Roman" w:cstheme="minorHAnsi"/>
                <w:noProof/>
                <w:sz w:val="16"/>
              </w:rPr>
            </w:pPr>
          </w:p>
        </w:tc>
        <w:tc>
          <w:tcPr>
            <w:tcW w:w="833" w:type="dxa"/>
            <w:gridSpan w:val="2"/>
            <w:shd w:val="clear" w:color="auto" w:fill="C4EFCE"/>
            <w:noWrap/>
            <w:vAlign w:val="center"/>
          </w:tcPr>
          <w:p w14:paraId="40E7DB94" w14:textId="3FD34628" w:rsidR="00F24946" w:rsidRDefault="00613B06">
            <w:pPr>
              <w:pStyle w:val="P68B1DB1-Normal12"/>
              <w:spacing w:after="0" w:line="240" w:lineRule="auto"/>
              <w:jc w:val="center"/>
              <w:rPr>
                <w:rFonts w:eastAsia="Times New Roman" w:cstheme="minorHAnsi"/>
                <w:noProof/>
                <w:highlight w:val="cyan"/>
              </w:rPr>
            </w:pPr>
            <w:r>
              <w:rPr>
                <w:noProof/>
              </w:rPr>
              <w:t>Q3</w:t>
            </w:r>
          </w:p>
        </w:tc>
        <w:tc>
          <w:tcPr>
            <w:tcW w:w="901" w:type="dxa"/>
            <w:shd w:val="clear" w:color="auto" w:fill="C4EFCE"/>
            <w:noWrap/>
            <w:vAlign w:val="center"/>
          </w:tcPr>
          <w:p w14:paraId="19DF970F" w14:textId="27374C84" w:rsidR="00F24946" w:rsidRDefault="00613B06">
            <w:pPr>
              <w:pStyle w:val="P68B1DB1-Normal12"/>
              <w:spacing w:after="0" w:line="240" w:lineRule="auto"/>
              <w:jc w:val="center"/>
              <w:rPr>
                <w:rFonts w:eastAsia="Times New Roman" w:cstheme="minorHAnsi"/>
                <w:noProof/>
                <w:highlight w:val="cyan"/>
              </w:rPr>
            </w:pPr>
            <w:r>
              <w:rPr>
                <w:noProof/>
              </w:rPr>
              <w:t>2023</w:t>
            </w:r>
          </w:p>
        </w:tc>
        <w:tc>
          <w:tcPr>
            <w:tcW w:w="3981" w:type="dxa"/>
            <w:shd w:val="clear" w:color="auto" w:fill="C4EFCE"/>
            <w:noWrap/>
            <w:vAlign w:val="center"/>
          </w:tcPr>
          <w:p w14:paraId="31B2C935" w14:textId="47B64D40" w:rsidR="00F24946" w:rsidRDefault="00613B06">
            <w:pPr>
              <w:pStyle w:val="P68B1DB1-Normal12"/>
              <w:spacing w:after="0" w:line="240" w:lineRule="auto"/>
              <w:jc w:val="both"/>
              <w:rPr>
                <w:rFonts w:eastAsia="Times New Roman" w:cstheme="minorHAnsi"/>
                <w:noProof/>
                <w:highlight w:val="cyan"/>
              </w:rPr>
            </w:pPr>
            <w:r>
              <w:rPr>
                <w:noProof/>
              </w:rPr>
              <w:t xml:space="preserve">Odobritev poročila ministrstva za zdravje, v katerem so opredeljene potrebe bolnišnic nacionalne zdravstvene službe po težki medicinski opremi. V tem poročilu se opredeli potreba po prvem nakupu te vrste opreme in potreba po nadomestitvi obstoječe težke medicinske opreme. </w:t>
            </w:r>
          </w:p>
        </w:tc>
      </w:tr>
      <w:tr w:rsidR="00F24946" w14:paraId="7BB31006" w14:textId="77777777">
        <w:trPr>
          <w:trHeight w:val="1265"/>
        </w:trPr>
        <w:tc>
          <w:tcPr>
            <w:tcW w:w="1135" w:type="dxa"/>
            <w:shd w:val="clear" w:color="auto" w:fill="C4EFCE"/>
            <w:noWrap/>
            <w:vAlign w:val="center"/>
          </w:tcPr>
          <w:p w14:paraId="2BC5216A" w14:textId="01C240B8" w:rsidR="00F24946" w:rsidRDefault="00613B06">
            <w:pPr>
              <w:pStyle w:val="P68B1DB1-Normal11"/>
              <w:spacing w:after="0" w:line="240" w:lineRule="auto"/>
              <w:jc w:val="center"/>
              <w:rPr>
                <w:rFonts w:eastAsia="Times New Roman" w:cstheme="minorHAnsi"/>
                <w:noProof/>
              </w:rPr>
            </w:pPr>
            <w:r>
              <w:rPr>
                <w:noProof/>
              </w:rPr>
              <w:t>1.42</w:t>
            </w:r>
          </w:p>
        </w:tc>
        <w:tc>
          <w:tcPr>
            <w:tcW w:w="1276" w:type="dxa"/>
            <w:shd w:val="clear" w:color="auto" w:fill="C4EFCE"/>
            <w:noWrap/>
            <w:vAlign w:val="center"/>
          </w:tcPr>
          <w:p w14:paraId="449FB587" w14:textId="4BFA8415" w:rsidR="00F24946" w:rsidRDefault="00613B06">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3E03C39A" w14:textId="64A9F783" w:rsidR="00F24946" w:rsidRDefault="00613B06">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3173B055" w14:textId="67894D48" w:rsidR="00F24946" w:rsidRDefault="00613B06">
            <w:pPr>
              <w:pStyle w:val="P68B1DB1-Normal12"/>
              <w:spacing w:after="0" w:line="240" w:lineRule="auto"/>
              <w:jc w:val="center"/>
              <w:rPr>
                <w:rFonts w:eastAsia="Times New Roman" w:cstheme="minorHAnsi"/>
                <w:noProof/>
                <w:highlight w:val="cyan"/>
              </w:rPr>
            </w:pPr>
            <w:r>
              <w:rPr>
                <w:noProof/>
              </w:rPr>
              <w:t>Nakup težke medicinske opreme</w:t>
            </w:r>
          </w:p>
        </w:tc>
        <w:tc>
          <w:tcPr>
            <w:tcW w:w="1418" w:type="dxa"/>
            <w:shd w:val="clear" w:color="auto" w:fill="C4EFCE"/>
            <w:noWrap/>
            <w:vAlign w:val="center"/>
          </w:tcPr>
          <w:p w14:paraId="3E4067FF" w14:textId="77777777" w:rsidR="00F24946" w:rsidRDefault="00F24946">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47E2878A" w14:textId="1966A431" w:rsidR="00F24946" w:rsidRDefault="00613B06">
            <w:pPr>
              <w:pStyle w:val="P68B1DB1-Normal12"/>
              <w:spacing w:after="0" w:line="240" w:lineRule="auto"/>
              <w:jc w:val="center"/>
              <w:rPr>
                <w:rFonts w:eastAsia="Times New Roman" w:cstheme="minorHAnsi"/>
                <w:noProof/>
              </w:rPr>
            </w:pPr>
            <w:r>
              <w:rPr>
                <w:noProof/>
              </w:rPr>
              <w:t xml:space="preserve">Število </w:t>
            </w:r>
          </w:p>
        </w:tc>
        <w:tc>
          <w:tcPr>
            <w:tcW w:w="962" w:type="dxa"/>
            <w:shd w:val="clear" w:color="auto" w:fill="C4EFCE"/>
            <w:noWrap/>
            <w:vAlign w:val="center"/>
          </w:tcPr>
          <w:p w14:paraId="5876942B" w14:textId="11B5A7E5" w:rsidR="00F24946" w:rsidRDefault="00613B06">
            <w:pPr>
              <w:pStyle w:val="P68B1DB1-Normal12"/>
              <w:spacing w:after="0" w:line="240" w:lineRule="auto"/>
              <w:jc w:val="center"/>
              <w:rPr>
                <w:rFonts w:eastAsia="Times New Roman" w:cstheme="minorHAnsi"/>
                <w:noProof/>
              </w:rPr>
            </w:pPr>
            <w:r>
              <w:rPr>
                <w:noProof/>
              </w:rPr>
              <w:t>0</w:t>
            </w:r>
          </w:p>
        </w:tc>
        <w:tc>
          <w:tcPr>
            <w:tcW w:w="805" w:type="dxa"/>
            <w:shd w:val="clear" w:color="auto" w:fill="C4EFCE"/>
            <w:noWrap/>
            <w:vAlign w:val="center"/>
          </w:tcPr>
          <w:p w14:paraId="581F2A0F" w14:textId="00F6C999" w:rsidR="00F24946" w:rsidRDefault="00613B06">
            <w:pPr>
              <w:pStyle w:val="P68B1DB1-Normal12"/>
              <w:spacing w:after="0" w:line="240" w:lineRule="auto"/>
              <w:jc w:val="center"/>
              <w:rPr>
                <w:rFonts w:eastAsia="Times New Roman" w:cstheme="minorHAnsi"/>
                <w:noProof/>
              </w:rPr>
            </w:pPr>
            <w:r>
              <w:rPr>
                <w:noProof/>
              </w:rPr>
              <w:t>19</w:t>
            </w:r>
          </w:p>
        </w:tc>
        <w:tc>
          <w:tcPr>
            <w:tcW w:w="833" w:type="dxa"/>
            <w:gridSpan w:val="2"/>
            <w:shd w:val="clear" w:color="auto" w:fill="C4EFCE"/>
            <w:noWrap/>
            <w:vAlign w:val="center"/>
          </w:tcPr>
          <w:p w14:paraId="3E9D65A1" w14:textId="16A0980D" w:rsidR="00F24946" w:rsidRDefault="00613B06">
            <w:pPr>
              <w:pStyle w:val="P68B1DB1-Normal12"/>
              <w:spacing w:after="0" w:line="240" w:lineRule="auto"/>
              <w:jc w:val="center"/>
              <w:rPr>
                <w:rFonts w:eastAsia="Times New Roman" w:cstheme="minorHAnsi"/>
                <w:noProof/>
                <w:highlight w:val="cyan"/>
              </w:rPr>
            </w:pPr>
            <w:r>
              <w:rPr>
                <w:noProof/>
              </w:rPr>
              <w:t>Q4</w:t>
            </w:r>
          </w:p>
        </w:tc>
        <w:tc>
          <w:tcPr>
            <w:tcW w:w="901" w:type="dxa"/>
            <w:shd w:val="clear" w:color="auto" w:fill="C4EFCE"/>
            <w:noWrap/>
            <w:vAlign w:val="center"/>
          </w:tcPr>
          <w:p w14:paraId="3750A5B5" w14:textId="29F5D74F" w:rsidR="00F24946" w:rsidRDefault="00613B06">
            <w:pPr>
              <w:pStyle w:val="P68B1DB1-Normal12"/>
              <w:spacing w:after="0" w:line="240" w:lineRule="auto"/>
              <w:jc w:val="center"/>
              <w:rPr>
                <w:rFonts w:eastAsia="Times New Roman" w:cstheme="minorHAnsi"/>
                <w:noProof/>
                <w:highlight w:val="cyan"/>
              </w:rPr>
            </w:pPr>
            <w:r>
              <w:rPr>
                <w:noProof/>
              </w:rPr>
              <w:t>2024</w:t>
            </w:r>
          </w:p>
        </w:tc>
        <w:tc>
          <w:tcPr>
            <w:tcW w:w="3981" w:type="dxa"/>
            <w:shd w:val="clear" w:color="auto" w:fill="C4EFCE"/>
            <w:noWrap/>
            <w:vAlign w:val="center"/>
          </w:tcPr>
          <w:p w14:paraId="2BF1F0E3" w14:textId="204916E6" w:rsidR="00F24946" w:rsidRDefault="00613B06">
            <w:pPr>
              <w:pStyle w:val="P68B1DB1-Bodytext1013"/>
              <w:spacing w:after="0" w:line="240" w:lineRule="auto"/>
              <w:rPr>
                <w:rFonts w:cstheme="minorBidi"/>
                <w:noProof/>
              </w:rPr>
            </w:pPr>
            <w:r>
              <w:rPr>
                <w:noProof/>
              </w:rPr>
              <w:t xml:space="preserve">Število težke medicinske opreme, kupljene za bolnišnice NZS v skladu s potrebami, opredeljenimi v poročilu, kot je navedeno v mejniku 1.41. </w:t>
            </w:r>
          </w:p>
        </w:tc>
      </w:tr>
      <w:tr w:rsidR="00F24946" w14:paraId="53D663E6" w14:textId="77777777">
        <w:trPr>
          <w:trHeight w:val="640"/>
        </w:trPr>
        <w:tc>
          <w:tcPr>
            <w:tcW w:w="1135" w:type="dxa"/>
            <w:shd w:val="clear" w:color="auto" w:fill="C4EFCE"/>
            <w:noWrap/>
            <w:vAlign w:val="center"/>
          </w:tcPr>
          <w:p w14:paraId="3A65D11A" w14:textId="50F5E0C2" w:rsidR="00F24946" w:rsidRDefault="00613B06">
            <w:pPr>
              <w:pStyle w:val="P68B1DB1-Normal11"/>
              <w:spacing w:after="0" w:line="240" w:lineRule="auto"/>
              <w:jc w:val="center"/>
              <w:rPr>
                <w:rFonts w:eastAsia="Times New Roman" w:cstheme="minorHAnsi"/>
                <w:noProof/>
              </w:rPr>
            </w:pPr>
            <w:r>
              <w:rPr>
                <w:noProof/>
              </w:rPr>
              <w:t>1.43</w:t>
            </w:r>
          </w:p>
        </w:tc>
        <w:tc>
          <w:tcPr>
            <w:tcW w:w="1276" w:type="dxa"/>
            <w:shd w:val="clear" w:color="auto" w:fill="C4EFCE"/>
            <w:noWrap/>
            <w:vAlign w:val="center"/>
          </w:tcPr>
          <w:p w14:paraId="6F139DBF" w14:textId="6AAC2AA7" w:rsidR="00F24946" w:rsidRDefault="00613B06">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5E979747" w14:textId="69ED3709" w:rsidR="00F24946" w:rsidRDefault="00613B06">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78937866" w14:textId="4C654376" w:rsidR="00F24946" w:rsidRDefault="00613B06">
            <w:pPr>
              <w:pStyle w:val="P68B1DB1-Normal12"/>
              <w:spacing w:after="0" w:line="240" w:lineRule="auto"/>
              <w:jc w:val="center"/>
              <w:rPr>
                <w:rFonts w:eastAsia="Times New Roman" w:cstheme="minorHAnsi"/>
                <w:noProof/>
                <w:highlight w:val="cyan"/>
              </w:rPr>
            </w:pPr>
            <w:r>
              <w:rPr>
                <w:noProof/>
              </w:rPr>
              <w:t>Nakup težke medicinske opreme</w:t>
            </w:r>
          </w:p>
        </w:tc>
        <w:tc>
          <w:tcPr>
            <w:tcW w:w="1418" w:type="dxa"/>
            <w:shd w:val="clear" w:color="auto" w:fill="C4EFCE"/>
            <w:noWrap/>
            <w:vAlign w:val="center"/>
          </w:tcPr>
          <w:p w14:paraId="4C7ED9B0" w14:textId="77777777" w:rsidR="00F24946" w:rsidRDefault="00F24946">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39721FDC" w14:textId="63D9F4FC" w:rsidR="00F24946" w:rsidRDefault="00613B06">
            <w:pPr>
              <w:pStyle w:val="P68B1DB1-Normal12"/>
              <w:spacing w:after="0" w:line="240" w:lineRule="auto"/>
              <w:jc w:val="center"/>
              <w:rPr>
                <w:rFonts w:eastAsia="Times New Roman" w:cstheme="minorHAnsi"/>
                <w:noProof/>
              </w:rPr>
            </w:pPr>
            <w:r>
              <w:rPr>
                <w:noProof/>
              </w:rPr>
              <w:t xml:space="preserve">Število </w:t>
            </w:r>
          </w:p>
        </w:tc>
        <w:tc>
          <w:tcPr>
            <w:tcW w:w="962" w:type="dxa"/>
            <w:shd w:val="clear" w:color="auto" w:fill="C4EFCE"/>
            <w:noWrap/>
            <w:vAlign w:val="center"/>
          </w:tcPr>
          <w:p w14:paraId="6A3D1C7A" w14:textId="3B984FB3" w:rsidR="00F24946" w:rsidRDefault="00613B06">
            <w:pPr>
              <w:pStyle w:val="P68B1DB1-Normal12"/>
              <w:spacing w:after="0" w:line="240" w:lineRule="auto"/>
              <w:jc w:val="center"/>
              <w:rPr>
                <w:rFonts w:eastAsia="Times New Roman" w:cstheme="minorHAnsi"/>
                <w:noProof/>
              </w:rPr>
            </w:pPr>
            <w:r>
              <w:rPr>
                <w:noProof/>
              </w:rPr>
              <w:t>19</w:t>
            </w:r>
          </w:p>
        </w:tc>
        <w:tc>
          <w:tcPr>
            <w:tcW w:w="805" w:type="dxa"/>
            <w:shd w:val="clear" w:color="auto" w:fill="C4EFCE"/>
            <w:noWrap/>
            <w:vAlign w:val="center"/>
          </w:tcPr>
          <w:p w14:paraId="457A6131" w14:textId="5D364BEF" w:rsidR="00F24946" w:rsidRDefault="00613B06">
            <w:pPr>
              <w:pStyle w:val="P68B1DB1-Normal12"/>
              <w:spacing w:after="0" w:line="240" w:lineRule="auto"/>
              <w:jc w:val="center"/>
              <w:rPr>
                <w:rFonts w:eastAsia="Times New Roman" w:cstheme="minorHAnsi"/>
                <w:noProof/>
              </w:rPr>
            </w:pPr>
            <w:r>
              <w:rPr>
                <w:noProof/>
              </w:rPr>
              <w:t>68</w:t>
            </w:r>
          </w:p>
        </w:tc>
        <w:tc>
          <w:tcPr>
            <w:tcW w:w="833" w:type="dxa"/>
            <w:gridSpan w:val="2"/>
            <w:shd w:val="clear" w:color="auto" w:fill="C4EFCE"/>
            <w:noWrap/>
            <w:vAlign w:val="center"/>
          </w:tcPr>
          <w:p w14:paraId="02EF6BB9" w14:textId="070BFBBA" w:rsidR="00F24946" w:rsidRDefault="00613B06">
            <w:pPr>
              <w:pStyle w:val="P68B1DB1-Normal12"/>
              <w:spacing w:after="0" w:line="240" w:lineRule="auto"/>
              <w:jc w:val="center"/>
              <w:rPr>
                <w:rFonts w:eastAsia="Times New Roman" w:cstheme="minorHAnsi"/>
                <w:noProof/>
                <w:highlight w:val="cyan"/>
              </w:rPr>
            </w:pPr>
            <w:r>
              <w:rPr>
                <w:noProof/>
              </w:rPr>
              <w:t>Q2</w:t>
            </w:r>
          </w:p>
        </w:tc>
        <w:tc>
          <w:tcPr>
            <w:tcW w:w="901" w:type="dxa"/>
            <w:shd w:val="clear" w:color="auto" w:fill="C4EFCE"/>
            <w:noWrap/>
            <w:vAlign w:val="center"/>
          </w:tcPr>
          <w:p w14:paraId="3604404B" w14:textId="71C4B142" w:rsidR="00F24946" w:rsidRDefault="00613B06">
            <w:pPr>
              <w:pStyle w:val="P68B1DB1-Normal12"/>
              <w:spacing w:after="0" w:line="240" w:lineRule="auto"/>
              <w:jc w:val="center"/>
              <w:rPr>
                <w:rFonts w:eastAsia="Times New Roman" w:cstheme="minorHAnsi"/>
                <w:noProof/>
                <w:highlight w:val="cyan"/>
              </w:rPr>
            </w:pPr>
            <w:r>
              <w:rPr>
                <w:noProof/>
              </w:rPr>
              <w:t>2026</w:t>
            </w:r>
          </w:p>
        </w:tc>
        <w:tc>
          <w:tcPr>
            <w:tcW w:w="3981" w:type="dxa"/>
            <w:shd w:val="clear" w:color="auto" w:fill="C4EFCE"/>
            <w:noWrap/>
            <w:vAlign w:val="center"/>
          </w:tcPr>
          <w:p w14:paraId="5C235DE8" w14:textId="2F003924" w:rsidR="00F24946" w:rsidRDefault="00613B06">
            <w:pPr>
              <w:pStyle w:val="P68B1DB1-Normal12"/>
              <w:spacing w:after="0" w:line="240" w:lineRule="auto"/>
              <w:jc w:val="both"/>
              <w:rPr>
                <w:rFonts w:eastAsia="Times New Roman"/>
                <w:noProof/>
                <w:highlight w:val="cyan"/>
              </w:rPr>
            </w:pPr>
            <w:r>
              <w:rPr>
                <w:noProof/>
              </w:rPr>
              <w:t xml:space="preserve">Število težke medicinske opreme, kupljene za bolnišnice NZS v skladu s potrebami, opredeljenimi v poročilu, kot je navedeno v mejniku 1.41. </w:t>
            </w:r>
          </w:p>
        </w:tc>
      </w:tr>
    </w:tbl>
    <w:p w14:paraId="5B15A5F5" w14:textId="77777777" w:rsidR="00F24946" w:rsidRDefault="00F24946">
      <w:pPr>
        <w:rPr>
          <w:rFonts w:ascii="Times New Roman" w:eastAsiaTheme="minorEastAsia" w:hAnsi="Times New Roman" w:cs="Times New Roman"/>
          <w:noProof/>
          <w:sz w:val="24"/>
        </w:rPr>
        <w:sectPr w:rsidR="00F24946" w:rsidSect="00E00EDD">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88C9CBD"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B. KOMPONENTA 2: Nastanitev</w:t>
      </w:r>
    </w:p>
    <w:p w14:paraId="7565FEB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portugalskega načrta za okrevanje in odpornost obravnava izzive, povezane s strukturnim pomanjkanjem trajnih in začasnih stanovanjskih rešitev za ranljivejše skupine, tako na celinskem Portugalskem kot v avtonomnih regijah Azori in Madeira, hkrati pa posredno prispeva h krepitvi sistema socialne zaščite. Javna stanovanja predstavljajo le 2 % vseh zalog na Portugalskem in se štejejo za nezadostne pri zadovoljevanju potreb najbolj ogroženih oseb, ki jim grozi socialna izključenost. </w:t>
      </w:r>
    </w:p>
    <w:p w14:paraId="64E9763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Glavni cilji komponente so: I) povečati ponudbo socialnih in cenovno dostopnih stanovanj (vključno z obravnavanjem drugih s tem povezanih potreb, kot so pomanjkanje osnovne infrastrukture in opreme, nezdrava in negotova bivališča, prekarnost ali pomanjkanje pogodbenih vezi, prenatrpanost ali neustreznost stanovanj za posebne potrebe invalidov ali oseb z omejeno mobilnostjo); (II) oblikovanje nacionalnega javnega odziva na nujne in začasne potrebe po nastanitvi, ki so posledica nepričakovanih ali nepredvidljivih dogodkov, kot so naravne nesreče, požari, pandemije, migracijska gibanja, prošnje za azil ali primeri neposrednega tveganja, kot so nasilje v družini, trgovina z ljudmi, tveganje prisilnih izselitev in drugo; in iii) povečati ponudbo študentskih nastanitev po dostopnih cenah. Naložbe v komponento vključujejo gradnjo novih stanovanj in sanacijo obstoječih. </w:t>
      </w:r>
    </w:p>
    <w:p w14:paraId="6B68FD9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prispeva k obravnavi priporočil za posamezne države, izdanih Portugalski v okviru evropskega semestra v letih 2019 in 2020, zlasti: Izboljšati učinkovitost in ustreznost mreže socialne varnosti (priporočilo za posamezno državo št. 2 iz leta 2019); Zagotavljanje zadostne in učinkovite socialne zaščite in dohodkovne podpore (priporočilo za posamezno državo št. 2 2020); ter povečati število diplomantov v visokošolskem izobraževanju, zlasti na področju znanosti in informacijske tehnologije (z naložbami v študentske nastanitvene zmogljivosti) (priporočilo za posamezno državo št. 2 iz leta 2019). Komponenta prispeva tudi k obravnavi priporočila za posamezne države v zvezi s podnebnim prehodom (priporočilo za posamezno državo št. 3 2020). Ta komponenta prispeva tudi k izvajanju več načel evropskega stebra socialnih pravic, kot so: „Osebam, ki potrebujejo pomoč, se zagotovi dostop do socialnih stanovanj ali pomoč pri pridobitvi stanovanj“ (EPSR 19a); „Ranljivi ljudje imajo pravico do ustrezne pomoči in zaščite pred prisilno izselitvijo“ (EPSR 19b); „Brezdomcem se zagotovijo ustrezna zatočišča in storitve, da se spodbudi njihova socialna vključenost“ (EPSR 19(c); „Socialna zaščita“ (EPSR 12); „Vključevanje invalidov“ (EPSR 17); „Dostop do osnovnih storitev“ (EPSR 20); „Izobraževanje, usposabljanje in vseživljenjsko učenje: Vsakdo ima pravico do kakovostnega in vključujočega izobraževanja, usposabljanja in vseživljenjskega učenja, da ohrani in pridobi znanja in spretnosti, ki mu omogočajo polno udeležbo v družbi in uspešno obvladovanje prehodov na trgu dela“ (EPSR 1). Vključijo se tudi okoljske razsežnosti, zlasti s spodbujanjem nove gradnje z visokimi standardi energetske učinkovitosti. </w:t>
      </w:r>
    </w:p>
    <w:p w14:paraId="35D63D83"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6D10CF73" w14:textId="24918575" w:rsidR="00F24946" w:rsidRDefault="00613B06">
      <w:pPr>
        <w:rPr>
          <w:rFonts w:ascii="Times New Roman" w:eastAsiaTheme="minorEastAsia" w:hAnsi="Times New Roman" w:cs="Times New Roman"/>
          <w:b/>
          <w:noProof/>
          <w:sz w:val="24"/>
          <w:u w:val="single"/>
        </w:rPr>
      </w:pPr>
      <w:r>
        <w:rPr>
          <w:noProof/>
        </w:rPr>
        <w:br w:type="page"/>
      </w:r>
      <w:r>
        <w:rPr>
          <w:rFonts w:ascii="Times New Roman" w:hAnsi="Times New Roman"/>
          <w:b/>
          <w:noProof/>
          <w:sz w:val="24"/>
          <w:u w:val="single"/>
        </w:rPr>
        <w:t>B.1. Opis reform in naložb za nepovratno finančno podporo</w:t>
      </w:r>
    </w:p>
    <w:p w14:paraId="38F34ED6" w14:textId="77777777" w:rsidR="00F24946" w:rsidRDefault="00613B06">
      <w:pPr>
        <w:pStyle w:val="P68B1DB1-Normal5"/>
        <w:spacing w:before="240" w:after="0" w:line="259" w:lineRule="auto"/>
        <w:ind w:left="851"/>
        <w:jc w:val="both"/>
        <w:outlineLvl w:val="2"/>
        <w:rPr>
          <w:rFonts w:ascii="Segoe UI" w:eastAsiaTheme="minorEastAsia" w:hAnsi="Segoe UI" w:cs="Segoe UI"/>
          <w:noProof/>
          <w:sz w:val="18"/>
        </w:rPr>
      </w:pPr>
      <w:r>
        <w:rPr>
          <w:noProof/>
        </w:rPr>
        <w:t>Reforma RE-r04: Nacionalni nujni in začasni stanovanjski načrt</w:t>
      </w:r>
      <w:r>
        <w:rPr>
          <w:b/>
          <w:noProof/>
        </w:rPr>
        <w:t xml:space="preserve"> </w:t>
      </w:r>
    </w:p>
    <w:p w14:paraId="69243C7C" w14:textId="77777777" w:rsidR="00F24946" w:rsidRDefault="00613B06">
      <w:pPr>
        <w:pStyle w:val="P68B1DB1-Normal4"/>
        <w:keepNext/>
        <w:spacing w:before="40" w:after="0" w:line="259" w:lineRule="auto"/>
        <w:jc w:val="both"/>
        <w:rPr>
          <w:rFonts w:eastAsiaTheme="minorEastAsia" w:cs="Times New Roman"/>
          <w:noProof/>
        </w:rPr>
      </w:pPr>
      <w:r>
        <w:rPr>
          <w:noProof/>
        </w:rPr>
        <w:t>Cilj reforme je vzpostaviti nacionalno javno mrežo za odzivanje na nujne in začasne stanovanjske potrebe v okviru prenove stanovanjskih politik na Portugalskem, da bi zaščitili in opolnomočili opredeljene ciljne skupine ter spodbujali socialno vključenost in boj proti neenakostim.</w:t>
      </w:r>
    </w:p>
    <w:p w14:paraId="2E314B99"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vključuje oblikovanje strukturiranega in medsektorskega odziva za ljudi, ki potrebujejo nujno ali začasno nastanitev, ter razvoj potrebnega pravnega in regulativnega okvira za vzpostavitev modela upravljanja naložbe RE-C02-i02 (Nacionalna nepovratna sredstva za nujno in začasno nastanitev) ter metodologije za označevanje in napotitev na nastanitev in socialno podporo za osebe, ki prejemajo podporo. </w:t>
      </w:r>
    </w:p>
    <w:p w14:paraId="342DEB4C" w14:textId="77777777" w:rsidR="00F24946" w:rsidRDefault="00613B06">
      <w:pPr>
        <w:pStyle w:val="P68B1DB1-Normal4"/>
        <w:keepNext/>
        <w:spacing w:before="40" w:after="0" w:line="259" w:lineRule="auto"/>
        <w:jc w:val="both"/>
        <w:rPr>
          <w:rFonts w:eastAsiaTheme="minorEastAsia" w:cs="Times New Roman"/>
          <w:noProof/>
        </w:rPr>
      </w:pPr>
      <w:r>
        <w:rPr>
          <w:noProof/>
        </w:rPr>
        <w:t>Reforma naj bi se začela izvajati do 31. junija 2021.</w:t>
      </w:r>
    </w:p>
    <w:p w14:paraId="60A89DB8" w14:textId="77777777" w:rsidR="00F24946" w:rsidRDefault="00613B06">
      <w:pPr>
        <w:pStyle w:val="P68B1DB1-Normal5"/>
        <w:spacing w:before="240" w:after="0" w:line="259" w:lineRule="auto"/>
        <w:ind w:left="851"/>
        <w:jc w:val="both"/>
        <w:outlineLvl w:val="2"/>
        <w:rPr>
          <w:rFonts w:eastAsiaTheme="minorEastAsia" w:cs="Times New Roman"/>
          <w:b/>
          <w:noProof/>
        </w:rPr>
      </w:pPr>
      <w:r>
        <w:rPr>
          <w:noProof/>
        </w:rPr>
        <w:t>Naložba RE-C02-i01: Podporni program za dostop do stanovanj</w:t>
      </w:r>
    </w:p>
    <w:p w14:paraId="3FB79740" w14:textId="77777777" w:rsidR="00F24946" w:rsidRDefault="00613B06">
      <w:pPr>
        <w:pStyle w:val="P68B1DB1-Normal4"/>
        <w:keepNext/>
        <w:spacing w:before="40" w:after="0" w:line="259" w:lineRule="auto"/>
        <w:jc w:val="both"/>
        <w:rPr>
          <w:rFonts w:eastAsiaTheme="minorEastAsia" w:cs="Times New Roman"/>
          <w:noProof/>
        </w:rPr>
      </w:pPr>
      <w:r>
        <w:rPr>
          <w:noProof/>
        </w:rPr>
        <w:t>Cilj naložbe je zaščititi dostojna in primerna stanovanja za družine z največjimi potrebami in za najranljivejše skupine. </w:t>
      </w:r>
    </w:p>
    <w:p w14:paraId="01325250" w14:textId="575F3908" w:rsidR="00F24946" w:rsidRDefault="00613B06">
      <w:pPr>
        <w:pStyle w:val="P68B1DB1-Normal4"/>
        <w:keepNext/>
        <w:spacing w:before="40" w:after="0" w:line="259" w:lineRule="auto"/>
        <w:jc w:val="both"/>
        <w:rPr>
          <w:rFonts w:eastAsiaTheme="minorEastAsia" w:cs="Times New Roman"/>
          <w:noProof/>
        </w:rPr>
      </w:pPr>
      <w:r>
        <w:rPr>
          <w:noProof/>
        </w:rPr>
        <w:t xml:space="preserve">Naložba vključuje predvsem zagotavljanje socialnih stanovanj, vendar tudi zagotavljanje finančne podpore za prenovo ali gradnjo opredeljenim ciljnim skupinam, ki nimajo finančne zmogljivosti za zagotavljanje ustreznosti lastnih stanovanj, za vsaj 26000 gospodinjstev do leta 2026. Naložbe vključujejo gradnjo novih stavb ali obnovo obstoječih stanovanj ter po potrebi nakup novih stavb ali najem stavb za podnajem. </w:t>
      </w:r>
    </w:p>
    <w:p w14:paraId="028C754C"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617C9ADB" w14:textId="77777777" w:rsidR="00F24946" w:rsidRDefault="00613B06">
      <w:pPr>
        <w:pStyle w:val="P68B1DB1-Normal5"/>
        <w:spacing w:before="240" w:after="0" w:line="259" w:lineRule="auto"/>
        <w:ind w:left="851"/>
        <w:jc w:val="both"/>
        <w:outlineLvl w:val="2"/>
        <w:rPr>
          <w:rFonts w:eastAsia="Times New Roman" w:cs="Times New Roman"/>
          <w:noProof/>
        </w:rPr>
      </w:pPr>
      <w:r>
        <w:rPr>
          <w:noProof/>
        </w:rPr>
        <w:t>Naložba RE-C02-i02: Nacionalna nepovratna sredstva za nujno in začasno nastanitev</w:t>
      </w:r>
    </w:p>
    <w:p w14:paraId="044DBC62" w14:textId="4AD6F74F" w:rsidR="00F24946" w:rsidRDefault="00613B06">
      <w:pPr>
        <w:pStyle w:val="P68B1DB1-Normal4"/>
        <w:spacing w:before="40" w:after="0" w:line="259" w:lineRule="auto"/>
        <w:jc w:val="both"/>
        <w:rPr>
          <w:rFonts w:eastAsia="Times New Roman" w:cs="Times New Roman"/>
          <w:noProof/>
        </w:rPr>
      </w:pPr>
      <w:r>
        <w:rPr>
          <w:noProof/>
        </w:rPr>
        <w:t xml:space="preserve">Cilj te naložbe je zagotoviti začasno ali nujno nastanitev ranljivim skupinam prebivalstva na celinski Portugalski. Ta naložba je namenjena izvajanju reforme nacionalnega nujnega in začasnega stanovanjskega načrta, vključenega v komponento. Načrtovane ukrepe določajo naslednja tveganja ali socialne izredne razmere: nepredvidljive ali izjemne dogodke, potrebo po nujni nastanitvi in opolnomočenje oseb, ki so začasno prikrajšane za nastanitev, vključno z žrtvami nasilja v družini, žrtvami trgovine z ljudmi, osebami, ki uživajo mednarodno zaščito, brezdomci; izredne in ustrezno utemeljene potrebe po nujni in začasni nastanitvi za osebe, pri katerih obstaja neposredna in dejanska nevarnost, da bodo ostale brez nastanitve ali v postopku deinstitucionalizacije; potrebe državnih uradnikov in uslužbencev po nastanitvi, ki so začasne in nujne za javni interes. </w:t>
      </w:r>
    </w:p>
    <w:p w14:paraId="69716809" w14:textId="4ECEDCA8" w:rsidR="00F24946" w:rsidRDefault="00613B06">
      <w:pPr>
        <w:pStyle w:val="P68B1DB1-Normal4"/>
        <w:keepNext/>
        <w:spacing w:before="40" w:after="0" w:line="259" w:lineRule="auto"/>
        <w:jc w:val="both"/>
        <w:rPr>
          <w:rFonts w:eastAsia="Times New Roman" w:cs="Times New Roman"/>
          <w:noProof/>
        </w:rPr>
      </w:pPr>
      <w:r>
        <w:rPr>
          <w:noProof/>
        </w:rPr>
        <w:t>Naložba zajema vzpostavitev 2000 nujnih nastanitvenih zmogljivosti in 473 bivalnih enot, treh blokov za varnostne sile (v primerih, utemeljenih z javnim interesom) in petih centrov za začasno nastanitev iz humanitarnih ali varnostnih razlogov.</w:t>
      </w:r>
    </w:p>
    <w:p w14:paraId="0C5E7164" w14:textId="500D2C39" w:rsidR="00F24946" w:rsidRDefault="00613B06">
      <w:pPr>
        <w:pStyle w:val="P68B1DB1-Normal4"/>
        <w:keepNext/>
        <w:spacing w:before="40" w:after="0" w:line="259" w:lineRule="auto"/>
        <w:jc w:val="both"/>
        <w:rPr>
          <w:rFonts w:eastAsia="Times New Roman" w:cs="Times New Roman"/>
          <w:noProof/>
        </w:rPr>
      </w:pPr>
      <w:r>
        <w:rPr>
          <w:noProof/>
        </w:rPr>
        <w:t>Naložba se izvede do 30. junija 2026.</w:t>
      </w:r>
    </w:p>
    <w:p w14:paraId="2DD99C3E" w14:textId="77777777" w:rsidR="00F24946" w:rsidRDefault="00F24946">
      <w:pPr>
        <w:keepNext/>
        <w:spacing w:before="40" w:after="0" w:line="259" w:lineRule="auto"/>
        <w:jc w:val="both"/>
        <w:rPr>
          <w:rFonts w:ascii="Times New Roman" w:eastAsia="Times New Roman" w:hAnsi="Times New Roman" w:cs="Times New Roman"/>
          <w:noProof/>
          <w:sz w:val="24"/>
        </w:rPr>
        <w:sectPr w:rsidR="00F24946" w:rsidSect="00E00EDD">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p w14:paraId="1E30C2F3" w14:textId="77777777" w:rsidR="00F24946" w:rsidRDefault="00613B06">
      <w:pPr>
        <w:pStyle w:val="P68B1DB1-Normal5"/>
        <w:spacing w:before="240" w:after="0" w:line="259" w:lineRule="auto"/>
        <w:ind w:left="851"/>
        <w:jc w:val="both"/>
        <w:outlineLvl w:val="2"/>
        <w:rPr>
          <w:rFonts w:eastAsia="Times New Roman" w:cs="Times New Roman"/>
          <w:noProof/>
        </w:rPr>
      </w:pPr>
      <w:r>
        <w:rPr>
          <w:noProof/>
        </w:rPr>
        <w:t>Naložba RE-C02-i03-RAM: Krepitev ponudbe socialnih stanovanj v avtonomni pokrajini Madeira</w:t>
      </w:r>
    </w:p>
    <w:p w14:paraId="4FB3B1E7" w14:textId="77777777" w:rsidR="00F24946" w:rsidRDefault="00613B06">
      <w:pPr>
        <w:pStyle w:val="P68B1DB1-Normal4"/>
        <w:keepNext/>
        <w:spacing w:before="40" w:after="0" w:line="259" w:lineRule="auto"/>
        <w:jc w:val="both"/>
        <w:rPr>
          <w:rFonts w:eastAsia="Times New Roman" w:cs="Times New Roman"/>
          <w:noProof/>
        </w:rPr>
      </w:pPr>
      <w:r>
        <w:rPr>
          <w:noProof/>
        </w:rPr>
        <w:t xml:space="preserve">Cilj te naložbe je odzvati se na stanovanjske potrebe družin, ki živijo v težkih razmerah in nimajo finančnih zmogljivosti za kritje stroškov dostopa do ustreznih stanovanj v avtonomni regiji Madeira. </w:t>
      </w:r>
    </w:p>
    <w:p w14:paraId="3BBCCBA7" w14:textId="70F3E827" w:rsidR="00F24946" w:rsidRDefault="00613B06">
      <w:pPr>
        <w:pStyle w:val="P68B1DB1-Normal4"/>
        <w:keepNext/>
        <w:spacing w:before="40" w:after="0" w:line="259" w:lineRule="auto"/>
        <w:jc w:val="both"/>
        <w:rPr>
          <w:rFonts w:eastAsia="Times New Roman" w:cs="Times New Roman"/>
          <w:noProof/>
        </w:rPr>
      </w:pPr>
      <w:r>
        <w:rPr>
          <w:noProof/>
        </w:rPr>
        <w:t>Naložba zajema gradnjo in/ali nakup socialnih stanovanj za 805 gospodinjstev (naložba vključuje tudi študije, projekte, nakup zemljišč in gradnjo), podporo sanaciji 325 zasebnih stanovanj (vključno z izboljšano energetsko učinkovitostjo). Naložba predvideva tudi javno naročanje storitev za razvoj informacijskih sistemov in rešitev e-uprave v stanovanjskem sektorju.</w:t>
      </w:r>
    </w:p>
    <w:p w14:paraId="54DD8C40"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30. junija 2026.</w:t>
      </w:r>
    </w:p>
    <w:p w14:paraId="525A5122" w14:textId="2ED4CDFD" w:rsidR="00F24946" w:rsidRDefault="00613B06">
      <w:pPr>
        <w:pStyle w:val="P68B1DB1-Normal5"/>
        <w:spacing w:before="240" w:after="0" w:line="259" w:lineRule="auto"/>
        <w:ind w:left="851"/>
        <w:jc w:val="both"/>
        <w:outlineLvl w:val="2"/>
        <w:rPr>
          <w:rFonts w:eastAsiaTheme="minorEastAsia" w:cs="Times New Roman"/>
          <w:b/>
          <w:noProof/>
        </w:rPr>
      </w:pPr>
      <w:r>
        <w:rPr>
          <w:noProof/>
        </w:rPr>
        <w:t>Naložba RE-02-i04-RAA: Izboljšanje stanovanjskih razmer v stanovanjskem fondu avtonomne regije Azori</w:t>
      </w:r>
    </w:p>
    <w:p w14:paraId="6DE7760B" w14:textId="77777777" w:rsidR="00F24946" w:rsidRDefault="00613B06">
      <w:pPr>
        <w:pStyle w:val="P68B1DB1-Normal4"/>
        <w:keepNext/>
        <w:spacing w:before="40" w:after="0" w:line="259" w:lineRule="auto"/>
        <w:jc w:val="both"/>
        <w:rPr>
          <w:rFonts w:eastAsia="Times New Roman" w:cs="Times New Roman"/>
          <w:noProof/>
        </w:rPr>
      </w:pPr>
      <w:r>
        <w:rPr>
          <w:noProof/>
        </w:rPr>
        <w:t xml:space="preserve">Cilj naložbe je okrepiti stanovanjske ponudbe na različnih ravneh po občutnem poslabšanju propadanja stavb v avtonomni pokrajini Azori in zmanjšanju ponudbe na nepremičninskem trgu. </w:t>
      </w:r>
    </w:p>
    <w:p w14:paraId="63A86507" w14:textId="455DA13E" w:rsidR="00F24946" w:rsidRDefault="00613B06">
      <w:pPr>
        <w:pStyle w:val="P68B1DB1-Normal4"/>
        <w:keepNext/>
        <w:spacing w:before="40" w:after="0" w:line="259" w:lineRule="auto"/>
        <w:jc w:val="both"/>
        <w:rPr>
          <w:rFonts w:eastAsia="Times New Roman" w:cs="Times New Roman"/>
          <w:noProof/>
        </w:rPr>
      </w:pPr>
      <w:r>
        <w:rPr>
          <w:noProof/>
        </w:rPr>
        <w:t>Naložbo na različnih otokih sestavljajo:</w:t>
      </w:r>
    </w:p>
    <w:p w14:paraId="545C36D3" w14:textId="581E192D" w:rsidR="00F24946" w:rsidRDefault="00613B06">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gradnja 100 stavb </w:t>
      </w:r>
    </w:p>
    <w:p w14:paraId="0C226449" w14:textId="15B8BAAD" w:rsidR="00F24946" w:rsidRDefault="00613B06">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dokončanje 75 stanovanj; in </w:t>
      </w:r>
    </w:p>
    <w:p w14:paraId="51B9C6BC" w14:textId="10E25141" w:rsidR="00F24946" w:rsidRDefault="00613B06">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sanacija stavb (temeljita prenova 63 stavb, srednja prenova 329 stavb in manjši poseg v 135 stavbah) za skupno 527 posegov. </w:t>
      </w:r>
    </w:p>
    <w:p w14:paraId="3F09A5C0" w14:textId="77777777" w:rsidR="00F24946" w:rsidRDefault="00613B06">
      <w:pPr>
        <w:pStyle w:val="P68B1DB1-Normal4"/>
        <w:keepNext/>
        <w:spacing w:before="40" w:after="0" w:line="259" w:lineRule="auto"/>
        <w:jc w:val="both"/>
        <w:rPr>
          <w:rFonts w:eastAsia="Times New Roman" w:cs="Times New Roman"/>
          <w:noProof/>
        </w:rPr>
      </w:pPr>
      <w:r>
        <w:rPr>
          <w:noProof/>
        </w:rPr>
        <w:t>Naložba se izvede do 31. decembra 2025.</w:t>
      </w:r>
    </w:p>
    <w:p w14:paraId="0311D212" w14:textId="7E660E09" w:rsidR="00F24946" w:rsidRDefault="00613B06">
      <w:pPr>
        <w:pStyle w:val="P68B1DB1-Normal5"/>
        <w:spacing w:before="240" w:after="0" w:line="259" w:lineRule="auto"/>
        <w:ind w:left="851"/>
        <w:jc w:val="both"/>
        <w:outlineLvl w:val="2"/>
        <w:rPr>
          <w:rFonts w:eastAsia="Times New Roman" w:cs="Times New Roman"/>
          <w:noProof/>
        </w:rPr>
      </w:pPr>
      <w:bookmarkStart w:id="3" w:name="_Toc137472439"/>
      <w:r>
        <w:rPr>
          <w:noProof/>
        </w:rPr>
        <w:t>Naložba RE-C02-i07-RAA: Infrastruktura za zemljiške parcele za stanovanjska stanovanja</w:t>
      </w:r>
      <w:bookmarkEnd w:id="3"/>
    </w:p>
    <w:p w14:paraId="5DB4B2B6" w14:textId="2335FBC6" w:rsidR="00F24946" w:rsidRDefault="00613B06">
      <w:pPr>
        <w:pStyle w:val="P68B1DB1-Normal4"/>
        <w:keepNext/>
        <w:spacing w:before="40" w:after="0" w:line="259" w:lineRule="auto"/>
        <w:jc w:val="both"/>
        <w:rPr>
          <w:rFonts w:eastAsia="Times New Roman" w:cs="Times New Roman"/>
          <w:noProof/>
        </w:rPr>
      </w:pPr>
      <w:r>
        <w:rPr>
          <w:noProof/>
        </w:rPr>
        <w:t>Cilj naložbe je vzpostaviti ali izboljšati infrastrukturo za zemljiške parcele v avtonomni regiji Azori in jih dodeliti izbranim kandidatom. Cilj je izbranim kandidatom omogočiti, da na teh zemljiščih zgradijo svoje hiše po nadzorovanih stroških. Ta program je določen v regionalnem zakonodajnem odloku št. 21/2005/A z dne 3. avgusta 2005. Naložba dodeli 145 zemljiških parcel.</w:t>
      </w:r>
    </w:p>
    <w:p w14:paraId="7838D678" w14:textId="77777777" w:rsidR="00F24946" w:rsidRDefault="00613B06">
      <w:pPr>
        <w:pStyle w:val="P68B1DB1-Normal4"/>
        <w:keepNext/>
        <w:spacing w:before="40" w:after="0" w:line="259" w:lineRule="auto"/>
        <w:jc w:val="both"/>
        <w:rPr>
          <w:rFonts w:eastAsia="Times New Roman" w:cs="Times New Roman"/>
          <w:noProof/>
        </w:rPr>
      </w:pPr>
      <w:r>
        <w:rPr>
          <w:noProof/>
        </w:rPr>
        <w:t xml:space="preserve">Pri izbiri kandidatov za gradnjo lastnih hiš na teh sklopih imajo prednost mladi (mlajši od 35 let, če so samohranilci, ali tisti, ki so skupaj stari manj kot 70 let, če so poročeni ali živijo v parih). </w:t>
      </w:r>
    </w:p>
    <w:p w14:paraId="3788AF15" w14:textId="43A361F9" w:rsidR="00F24946" w:rsidRDefault="00613B06">
      <w:pPr>
        <w:pStyle w:val="P68B1DB1-Normal4"/>
        <w:keepNext/>
        <w:spacing w:before="40" w:after="0" w:line="259" w:lineRule="auto"/>
        <w:jc w:val="both"/>
        <w:rPr>
          <w:rFonts w:eastAsia="Times New Roman" w:cs="Times New Roman"/>
          <w:noProof/>
        </w:rPr>
      </w:pPr>
      <w:r>
        <w:rPr>
          <w:noProof/>
        </w:rPr>
        <w:t xml:space="preserve">Naložba se izvede do 30. junija 2026. </w:t>
      </w:r>
    </w:p>
    <w:p w14:paraId="240FFEBB" w14:textId="2C357D8F" w:rsidR="00F24946" w:rsidRDefault="00613B06">
      <w:pPr>
        <w:pStyle w:val="P68B1DB1-Normal5"/>
        <w:spacing w:before="240" w:after="0" w:line="259" w:lineRule="auto"/>
        <w:ind w:left="851"/>
        <w:jc w:val="both"/>
        <w:outlineLvl w:val="2"/>
        <w:rPr>
          <w:rFonts w:eastAsia="Times New Roman" w:cs="Times New Roman"/>
          <w:noProof/>
        </w:rPr>
      </w:pPr>
      <w:r>
        <w:rPr>
          <w:noProof/>
        </w:rPr>
        <w:t>Naložba RE-C02-i08-RAA: Okrepitev fonda socialnih stanovanj</w:t>
      </w:r>
    </w:p>
    <w:p w14:paraId="2049FD50" w14:textId="77777777" w:rsidR="00F24946" w:rsidRDefault="00613B06">
      <w:pPr>
        <w:pStyle w:val="P68B1DB1-Normal4"/>
        <w:keepNext/>
        <w:spacing w:before="40" w:after="0" w:line="259" w:lineRule="auto"/>
        <w:jc w:val="both"/>
        <w:rPr>
          <w:rFonts w:eastAsia="Times New Roman" w:cs="Times New Roman"/>
          <w:noProof/>
        </w:rPr>
      </w:pPr>
      <w:r>
        <w:rPr>
          <w:noProof/>
        </w:rPr>
        <w:t xml:space="preserve">Cilj naložbe je okrepiti fond socialnih stanovanj avtonomne regije Azori. Naložba je sestavljena iz gradnje 126 stanovanj. </w:t>
      </w:r>
    </w:p>
    <w:p w14:paraId="0909839C" w14:textId="51879CAF" w:rsidR="00F24946" w:rsidRDefault="00613B06">
      <w:pPr>
        <w:pStyle w:val="P68B1DB1-Normal4"/>
        <w:keepNext/>
        <w:spacing w:before="40" w:after="0" w:line="259" w:lineRule="auto"/>
        <w:jc w:val="both"/>
        <w:rPr>
          <w:rFonts w:eastAsia="Times New Roman" w:cs="Times New Roman"/>
          <w:noProof/>
        </w:rPr>
      </w:pPr>
      <w:r>
        <w:rPr>
          <w:noProof/>
        </w:rPr>
        <w:t>Naložba se izvede do 31. decembra 2025.</w:t>
      </w:r>
    </w:p>
    <w:p w14:paraId="3AC718DE" w14:textId="77777777" w:rsidR="00F24946" w:rsidRDefault="00F24946">
      <w:pPr>
        <w:keepNext/>
        <w:spacing w:before="40" w:after="0" w:line="259" w:lineRule="auto"/>
        <w:jc w:val="both"/>
        <w:rPr>
          <w:rFonts w:ascii="Times New Roman" w:eastAsia="Times New Roman" w:hAnsi="Times New Roman" w:cs="Times New Roman"/>
          <w:noProof/>
          <w:sz w:val="24"/>
        </w:rPr>
      </w:pPr>
    </w:p>
    <w:p w14:paraId="54C2FD53" w14:textId="77777777" w:rsidR="00F24946" w:rsidRDefault="00F24946">
      <w:pPr>
        <w:keepNext/>
        <w:spacing w:before="40" w:after="0" w:line="259" w:lineRule="auto"/>
        <w:jc w:val="both"/>
        <w:rPr>
          <w:rFonts w:ascii="Times New Roman" w:eastAsia="Times New Roman" w:hAnsi="Times New Roman" w:cs="Times New Roman"/>
          <w:noProof/>
          <w:sz w:val="24"/>
        </w:rPr>
      </w:pPr>
    </w:p>
    <w:p w14:paraId="0B7342BB" w14:textId="26242C44"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48"/>
          <w:headerReference w:type="default" r:id="rId49"/>
          <w:footerReference w:type="even" r:id="rId50"/>
          <w:footerReference w:type="default" r:id="rId51"/>
          <w:headerReference w:type="first" r:id="rId52"/>
          <w:footerReference w:type="first" r:id="rId53"/>
          <w:pgSz w:w="11907" w:h="16839"/>
          <w:pgMar w:top="1134" w:right="1134" w:bottom="1134" w:left="1134" w:header="567" w:footer="567" w:gutter="0"/>
          <w:cols w:space="720"/>
          <w:docGrid w:linePitch="360"/>
        </w:sectPr>
      </w:pPr>
    </w:p>
    <w:p w14:paraId="5FD3C9BD" w14:textId="77777777" w:rsidR="00F24946" w:rsidRDefault="00F24946">
      <w:pPr>
        <w:spacing w:before="40" w:after="0" w:line="259" w:lineRule="auto"/>
        <w:jc w:val="both"/>
        <w:rPr>
          <w:rFonts w:ascii="Times New Roman" w:eastAsiaTheme="minorEastAsia" w:hAnsi="Times New Roman" w:cs="Times New Roman"/>
          <w:noProof/>
          <w:sz w:val="24"/>
        </w:rPr>
      </w:pPr>
    </w:p>
    <w:p w14:paraId="5AEF2E47"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B.2. Mejniki, kazalniki in časovni razpored za spremljanje in izvajanje nepovratne finančne podpore.</w:t>
      </w:r>
    </w:p>
    <w:p w14:paraId="24CF32BC" w14:textId="77777777" w:rsidR="00F24946" w:rsidRDefault="00F24946">
      <w:pPr>
        <w:spacing w:before="40" w:after="0" w:line="259" w:lineRule="auto"/>
        <w:jc w:val="both"/>
        <w:rPr>
          <w:rFonts w:ascii="Times New Roman" w:eastAsiaTheme="minorEastAsia" w:hAnsi="Times New Roman" w:cs="Times New Roman"/>
          <w:b/>
          <w:noProof/>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22"/>
        <w:gridCol w:w="1013"/>
        <w:gridCol w:w="1890"/>
        <w:gridCol w:w="1270"/>
        <w:gridCol w:w="961"/>
        <w:gridCol w:w="1066"/>
        <w:gridCol w:w="847"/>
        <w:gridCol w:w="455"/>
        <w:gridCol w:w="629"/>
        <w:gridCol w:w="4608"/>
      </w:tblGrid>
      <w:tr w:rsidR="00F24946" w14:paraId="26812E46" w14:textId="77777777">
        <w:trPr>
          <w:trHeight w:val="910"/>
          <w:tblHeader/>
        </w:trPr>
        <w:tc>
          <w:tcPr>
            <w:tcW w:w="1134" w:type="dxa"/>
            <w:vMerge w:val="restart"/>
            <w:shd w:val="clear" w:color="auto" w:fill="BDD6EE"/>
            <w:vAlign w:val="center"/>
            <w:hideMark/>
          </w:tcPr>
          <w:p w14:paraId="0A302250"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304" w:type="dxa"/>
            <w:vMerge w:val="restart"/>
            <w:shd w:val="clear" w:color="auto" w:fill="BDD6EE"/>
            <w:vAlign w:val="center"/>
            <w:hideMark/>
          </w:tcPr>
          <w:p w14:paraId="73A11A92"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077" w:type="dxa"/>
            <w:vMerge w:val="restart"/>
            <w:shd w:val="clear" w:color="auto" w:fill="BDD6EE"/>
            <w:vAlign w:val="center"/>
            <w:hideMark/>
          </w:tcPr>
          <w:p w14:paraId="06854622"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2026" w:type="dxa"/>
            <w:vMerge w:val="restart"/>
            <w:shd w:val="clear" w:color="auto" w:fill="BDD6EE"/>
            <w:vAlign w:val="center"/>
            <w:hideMark/>
          </w:tcPr>
          <w:p w14:paraId="41E039D4" w14:textId="77777777" w:rsidR="00F24946" w:rsidRDefault="00613B06">
            <w:pPr>
              <w:pStyle w:val="P68B1DB1-Normal6"/>
              <w:spacing w:after="0" w:line="240" w:lineRule="auto"/>
              <w:jc w:val="center"/>
              <w:rPr>
                <w:rFonts w:eastAsia="Times New Roman" w:cs="Times New Roman"/>
                <w:noProof/>
              </w:rPr>
            </w:pPr>
            <w:r>
              <w:rPr>
                <w:noProof/>
              </w:rPr>
              <w:t>Ime</w:t>
            </w:r>
          </w:p>
        </w:tc>
        <w:tc>
          <w:tcPr>
            <w:tcW w:w="1355" w:type="dxa"/>
            <w:vMerge w:val="restart"/>
            <w:shd w:val="clear" w:color="auto" w:fill="BDD6EE"/>
            <w:vAlign w:val="center"/>
            <w:hideMark/>
          </w:tcPr>
          <w:p w14:paraId="52174BB0"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453" w:type="dxa"/>
            <w:gridSpan w:val="3"/>
            <w:shd w:val="clear" w:color="auto" w:fill="BDD6EE"/>
            <w:vAlign w:val="center"/>
            <w:hideMark/>
          </w:tcPr>
          <w:p w14:paraId="62BF7853"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134" w:type="dxa"/>
            <w:gridSpan w:val="2"/>
            <w:shd w:val="clear" w:color="auto" w:fill="BDD6EE"/>
            <w:vAlign w:val="center"/>
            <w:hideMark/>
          </w:tcPr>
          <w:p w14:paraId="6677FCBD"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969" w:type="dxa"/>
            <w:vMerge w:val="restart"/>
            <w:shd w:val="clear" w:color="auto" w:fill="BDD6EE"/>
            <w:noWrap/>
            <w:vAlign w:val="center"/>
            <w:hideMark/>
          </w:tcPr>
          <w:p w14:paraId="2427D0C7"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143446B6" w14:textId="77777777">
        <w:trPr>
          <w:trHeight w:val="470"/>
          <w:tblHeader/>
        </w:trPr>
        <w:tc>
          <w:tcPr>
            <w:tcW w:w="1134" w:type="dxa"/>
            <w:vMerge/>
            <w:vAlign w:val="center"/>
            <w:hideMark/>
          </w:tcPr>
          <w:p w14:paraId="44D8EDF3" w14:textId="77777777" w:rsidR="00F24946" w:rsidRDefault="00F24946">
            <w:pPr>
              <w:spacing w:after="0" w:line="240" w:lineRule="auto"/>
              <w:rPr>
                <w:rFonts w:ascii="Times New Roman" w:eastAsia="Times New Roman" w:hAnsi="Times New Roman" w:cs="Times New Roman"/>
                <w:b/>
                <w:noProof/>
                <w:sz w:val="18"/>
              </w:rPr>
            </w:pPr>
          </w:p>
        </w:tc>
        <w:tc>
          <w:tcPr>
            <w:tcW w:w="1304" w:type="dxa"/>
            <w:vMerge/>
            <w:vAlign w:val="center"/>
            <w:hideMark/>
          </w:tcPr>
          <w:p w14:paraId="512D57CC" w14:textId="77777777" w:rsidR="00F24946" w:rsidRDefault="00F24946">
            <w:pPr>
              <w:spacing w:after="0" w:line="240" w:lineRule="auto"/>
              <w:rPr>
                <w:rFonts w:ascii="Times New Roman" w:eastAsia="Times New Roman" w:hAnsi="Times New Roman" w:cs="Times New Roman"/>
                <w:b/>
                <w:noProof/>
                <w:sz w:val="18"/>
              </w:rPr>
            </w:pPr>
          </w:p>
        </w:tc>
        <w:tc>
          <w:tcPr>
            <w:tcW w:w="1077" w:type="dxa"/>
            <w:vMerge/>
            <w:vAlign w:val="center"/>
            <w:hideMark/>
          </w:tcPr>
          <w:p w14:paraId="538E02C0" w14:textId="77777777" w:rsidR="00F24946" w:rsidRDefault="00F24946">
            <w:pPr>
              <w:spacing w:after="0" w:line="240" w:lineRule="auto"/>
              <w:jc w:val="center"/>
              <w:rPr>
                <w:rFonts w:ascii="Times New Roman" w:eastAsia="Times New Roman" w:hAnsi="Times New Roman" w:cs="Times New Roman"/>
                <w:b/>
                <w:noProof/>
                <w:sz w:val="18"/>
              </w:rPr>
            </w:pPr>
          </w:p>
        </w:tc>
        <w:tc>
          <w:tcPr>
            <w:tcW w:w="2026" w:type="dxa"/>
            <w:vMerge/>
            <w:vAlign w:val="center"/>
            <w:hideMark/>
          </w:tcPr>
          <w:p w14:paraId="0A0C7132" w14:textId="77777777" w:rsidR="00F24946" w:rsidRDefault="00F24946">
            <w:pPr>
              <w:spacing w:after="0" w:line="240" w:lineRule="auto"/>
              <w:rPr>
                <w:rFonts w:ascii="Times New Roman" w:eastAsia="Times New Roman" w:hAnsi="Times New Roman" w:cs="Times New Roman"/>
                <w:b/>
                <w:noProof/>
                <w:sz w:val="18"/>
              </w:rPr>
            </w:pPr>
          </w:p>
        </w:tc>
        <w:tc>
          <w:tcPr>
            <w:tcW w:w="1355" w:type="dxa"/>
            <w:vMerge/>
            <w:vAlign w:val="center"/>
            <w:hideMark/>
          </w:tcPr>
          <w:p w14:paraId="1A5F3ECB" w14:textId="77777777" w:rsidR="00F24946" w:rsidRDefault="00F24946">
            <w:pPr>
              <w:spacing w:after="0" w:line="240" w:lineRule="auto"/>
              <w:rPr>
                <w:rFonts w:ascii="Times New Roman" w:eastAsia="Times New Roman" w:hAnsi="Times New Roman" w:cs="Times New Roman"/>
                <w:b/>
                <w:noProof/>
                <w:sz w:val="18"/>
              </w:rPr>
            </w:pPr>
          </w:p>
        </w:tc>
        <w:tc>
          <w:tcPr>
            <w:tcW w:w="1021" w:type="dxa"/>
            <w:shd w:val="clear" w:color="auto" w:fill="BDD6EE"/>
            <w:vAlign w:val="center"/>
            <w:hideMark/>
          </w:tcPr>
          <w:p w14:paraId="52F8AAFE"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1134" w:type="dxa"/>
            <w:shd w:val="clear" w:color="auto" w:fill="BDD6EE"/>
            <w:vAlign w:val="center"/>
            <w:hideMark/>
          </w:tcPr>
          <w:p w14:paraId="28C4A36C"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97" w:type="dxa"/>
            <w:shd w:val="clear" w:color="auto" w:fill="BDD6EE"/>
            <w:vAlign w:val="center"/>
            <w:hideMark/>
          </w:tcPr>
          <w:p w14:paraId="1ABE3536" w14:textId="77777777" w:rsidR="00F24946" w:rsidRDefault="00613B06">
            <w:pPr>
              <w:pStyle w:val="P68B1DB1-Normal6"/>
              <w:spacing w:after="0" w:line="240" w:lineRule="auto"/>
              <w:jc w:val="center"/>
              <w:rPr>
                <w:rFonts w:eastAsia="Times New Roman" w:cs="Times New Roman"/>
                <w:noProof/>
              </w:rPr>
            </w:pPr>
            <w:r>
              <w:rPr>
                <w:noProof/>
              </w:rPr>
              <w:t>Cilj</w:t>
            </w:r>
          </w:p>
        </w:tc>
        <w:tc>
          <w:tcPr>
            <w:tcW w:w="473" w:type="dxa"/>
            <w:shd w:val="clear" w:color="auto" w:fill="BDD6EE"/>
            <w:vAlign w:val="center"/>
            <w:hideMark/>
          </w:tcPr>
          <w:p w14:paraId="0E0C1D54" w14:textId="77777777" w:rsidR="00F24946" w:rsidRDefault="00613B06">
            <w:pPr>
              <w:pStyle w:val="P68B1DB1-Normal6"/>
              <w:spacing w:after="0" w:line="240" w:lineRule="auto"/>
              <w:jc w:val="center"/>
              <w:rPr>
                <w:rFonts w:eastAsia="Times New Roman" w:cs="Times New Roman"/>
                <w:noProof/>
              </w:rPr>
            </w:pPr>
            <w:r>
              <w:rPr>
                <w:noProof/>
              </w:rPr>
              <w:t>Q</w:t>
            </w:r>
          </w:p>
        </w:tc>
        <w:tc>
          <w:tcPr>
            <w:tcW w:w="625" w:type="dxa"/>
            <w:shd w:val="clear" w:color="auto" w:fill="BDD6EE"/>
            <w:vAlign w:val="center"/>
            <w:hideMark/>
          </w:tcPr>
          <w:p w14:paraId="01CDE8A6" w14:textId="77777777" w:rsidR="00F24946" w:rsidRDefault="00613B06">
            <w:pPr>
              <w:pStyle w:val="P68B1DB1-Normal6"/>
              <w:spacing w:after="0" w:line="240" w:lineRule="auto"/>
              <w:jc w:val="center"/>
              <w:rPr>
                <w:rFonts w:eastAsia="Times New Roman" w:cs="Times New Roman"/>
                <w:noProof/>
              </w:rPr>
            </w:pPr>
            <w:r>
              <w:rPr>
                <w:noProof/>
              </w:rPr>
              <w:t>Leto</w:t>
            </w:r>
          </w:p>
        </w:tc>
        <w:tc>
          <w:tcPr>
            <w:tcW w:w="4969" w:type="dxa"/>
            <w:vMerge/>
            <w:vAlign w:val="center"/>
            <w:hideMark/>
          </w:tcPr>
          <w:p w14:paraId="5362E692" w14:textId="77777777" w:rsidR="00F24946" w:rsidRDefault="00F24946">
            <w:pPr>
              <w:spacing w:after="0" w:line="240" w:lineRule="auto"/>
              <w:rPr>
                <w:rFonts w:ascii="Times New Roman" w:eastAsia="Times New Roman" w:hAnsi="Times New Roman" w:cs="Times New Roman"/>
                <w:b/>
                <w:noProof/>
                <w:sz w:val="18"/>
              </w:rPr>
            </w:pPr>
          </w:p>
        </w:tc>
      </w:tr>
      <w:tr w:rsidR="00F24946" w14:paraId="6A7FC94D" w14:textId="77777777">
        <w:trPr>
          <w:trHeight w:val="290"/>
        </w:trPr>
        <w:tc>
          <w:tcPr>
            <w:tcW w:w="1134" w:type="dxa"/>
            <w:shd w:val="clear" w:color="auto" w:fill="C5EFCE"/>
            <w:vAlign w:val="center"/>
            <w:hideMark/>
          </w:tcPr>
          <w:p w14:paraId="34896C2A" w14:textId="77777777" w:rsidR="00F24946" w:rsidRDefault="00613B06">
            <w:pPr>
              <w:pStyle w:val="P68B1DB1-Normal7"/>
              <w:spacing w:after="0" w:line="240" w:lineRule="auto"/>
              <w:jc w:val="center"/>
              <w:rPr>
                <w:rFonts w:eastAsia="Times New Roman" w:cs="Calibri"/>
                <w:noProof/>
              </w:rPr>
            </w:pPr>
            <w:r>
              <w:rPr>
                <w:noProof/>
              </w:rPr>
              <w:t>2.1</w:t>
            </w:r>
          </w:p>
        </w:tc>
        <w:tc>
          <w:tcPr>
            <w:tcW w:w="1304" w:type="dxa"/>
            <w:shd w:val="clear" w:color="auto" w:fill="C4EFCE"/>
            <w:vAlign w:val="center"/>
            <w:hideMark/>
          </w:tcPr>
          <w:p w14:paraId="17075C01" w14:textId="77777777" w:rsidR="00F24946" w:rsidRDefault="00613B06">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1061568D"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1421DF1" w14:textId="77777777" w:rsidR="00F24946" w:rsidRDefault="00613B06">
            <w:pPr>
              <w:pStyle w:val="P68B1DB1-Normal8"/>
              <w:spacing w:after="0" w:line="240" w:lineRule="auto"/>
              <w:jc w:val="center"/>
              <w:rPr>
                <w:rFonts w:eastAsia="Times New Roman" w:cs="Calibri"/>
                <w:noProof/>
              </w:rPr>
            </w:pPr>
            <w:r>
              <w:rPr>
                <w:noProof/>
              </w:rPr>
              <w:t>Program podpore za dostop do stanovanj – podpisani dogovori o sodelovanju ali financiranju</w:t>
            </w:r>
          </w:p>
        </w:tc>
        <w:tc>
          <w:tcPr>
            <w:tcW w:w="1355" w:type="dxa"/>
            <w:shd w:val="clear" w:color="auto" w:fill="C4EFCE"/>
            <w:vAlign w:val="center"/>
            <w:hideMark/>
          </w:tcPr>
          <w:p w14:paraId="60835B4C"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A526E05" w14:textId="5E4CF0F6"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37537AFA"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8A19566" w14:textId="77777777" w:rsidR="00F24946" w:rsidRDefault="00613B06">
            <w:pPr>
              <w:pStyle w:val="P68B1DB1-Normal8"/>
              <w:spacing w:after="0" w:line="240" w:lineRule="auto"/>
              <w:jc w:val="center"/>
              <w:rPr>
                <w:rFonts w:eastAsia="Times New Roman" w:cs="Calibri"/>
                <w:noProof/>
              </w:rPr>
            </w:pPr>
            <w:r>
              <w:rPr>
                <w:noProof/>
              </w:rPr>
              <w:t>75</w:t>
            </w:r>
          </w:p>
        </w:tc>
        <w:tc>
          <w:tcPr>
            <w:tcW w:w="473" w:type="dxa"/>
            <w:shd w:val="clear" w:color="auto" w:fill="C4EFCE"/>
            <w:vAlign w:val="center"/>
            <w:hideMark/>
          </w:tcPr>
          <w:p w14:paraId="09ED35F6" w14:textId="77777777" w:rsidR="00F24946" w:rsidRDefault="00613B06">
            <w:pPr>
              <w:pStyle w:val="P68B1DB1-Normal8"/>
              <w:spacing w:after="0" w:line="240" w:lineRule="auto"/>
              <w:jc w:val="center"/>
              <w:rPr>
                <w:rFonts w:eastAsia="Times New Roman" w:cs="Calibri"/>
                <w:noProof/>
              </w:rPr>
            </w:pPr>
            <w:r>
              <w:rPr>
                <w:noProof/>
              </w:rPr>
              <w:t>Q3</w:t>
            </w:r>
          </w:p>
        </w:tc>
        <w:tc>
          <w:tcPr>
            <w:tcW w:w="625" w:type="dxa"/>
            <w:shd w:val="clear" w:color="auto" w:fill="C4EFCE"/>
            <w:vAlign w:val="center"/>
            <w:hideMark/>
          </w:tcPr>
          <w:p w14:paraId="6C3BD1EA" w14:textId="77777777" w:rsidR="00F24946" w:rsidRDefault="00613B06">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4DF0FD03" w14:textId="77777777" w:rsidR="00F24946" w:rsidRDefault="00613B06">
            <w:pPr>
              <w:pStyle w:val="P68B1DB1-Normal8"/>
              <w:spacing w:after="0" w:line="240" w:lineRule="auto"/>
              <w:rPr>
                <w:rFonts w:eastAsia="Times New Roman" w:cs="Calibri"/>
                <w:noProof/>
              </w:rPr>
            </w:pPr>
            <w:r>
              <w:rPr>
                <w:noProof/>
              </w:rPr>
              <w:t xml:space="preserve">Podpis dogovorov o sodelovanju ali financiranju. </w:t>
            </w:r>
          </w:p>
          <w:p w14:paraId="3127316F" w14:textId="77777777" w:rsidR="00F24946" w:rsidRDefault="00F24946">
            <w:pPr>
              <w:spacing w:after="0" w:line="240" w:lineRule="auto"/>
              <w:rPr>
                <w:rFonts w:ascii="Calibri" w:eastAsia="Times New Roman" w:hAnsi="Calibri" w:cs="Calibri"/>
                <w:noProof/>
                <w:sz w:val="16"/>
              </w:rPr>
            </w:pPr>
          </w:p>
          <w:p w14:paraId="47A044E4" w14:textId="5553DF5D" w:rsidR="00F24946" w:rsidRDefault="00613B06">
            <w:pPr>
              <w:pStyle w:val="P68B1DB1-Normal8"/>
              <w:spacing w:after="0" w:line="240" w:lineRule="auto"/>
              <w:jc w:val="both"/>
              <w:rPr>
                <w:rFonts w:eastAsia="Times New Roman" w:cs="Calibri"/>
                <w:noProof/>
              </w:rPr>
            </w:pPr>
            <w:r>
              <w:rPr>
                <w:noProof/>
              </w:rPr>
              <w:t>Lokalne nastanitvene strategije predstavijo občine. V teh strategijah so opredeljene 1) vse potrebe, upravičene v okviru tega programa (kot je določeno v zakonskem odloku št. 37/2018 z dne 4. junija), in 2) subjekti, ki spodbujajo stanovanjske rešitve. Potem ko IHRU (Inštitut za stanovanjsko in mestno rehabilitacijo) potrdi skladnost lokalnih strategij nastanitve s programom, se podpišejo sporazumi o sodelovanju z občinami ali sporazumi o financiranju z drugimi upravičenci, ki določajo konkretne naložbe, ki jih je treba spodbujati, in določi rok za njihovo izvedbo.</w:t>
            </w:r>
          </w:p>
        </w:tc>
      </w:tr>
      <w:tr w:rsidR="00F24946" w14:paraId="31DBD300" w14:textId="77777777">
        <w:trPr>
          <w:trHeight w:val="2949"/>
        </w:trPr>
        <w:tc>
          <w:tcPr>
            <w:tcW w:w="1134" w:type="dxa"/>
            <w:shd w:val="clear" w:color="auto" w:fill="C5EFCE"/>
            <w:vAlign w:val="center"/>
            <w:hideMark/>
          </w:tcPr>
          <w:p w14:paraId="435A6D15" w14:textId="77777777" w:rsidR="00F24946" w:rsidRDefault="00613B06">
            <w:pPr>
              <w:pStyle w:val="P68B1DB1-Normal7"/>
              <w:spacing w:after="0" w:line="240" w:lineRule="auto"/>
              <w:jc w:val="center"/>
              <w:rPr>
                <w:rFonts w:eastAsia="Times New Roman" w:cs="Calibri"/>
                <w:noProof/>
              </w:rPr>
            </w:pPr>
            <w:r>
              <w:rPr>
                <w:noProof/>
              </w:rPr>
              <w:t>2.2</w:t>
            </w:r>
          </w:p>
        </w:tc>
        <w:tc>
          <w:tcPr>
            <w:tcW w:w="1304" w:type="dxa"/>
            <w:shd w:val="clear" w:color="auto" w:fill="C4EFCE"/>
            <w:vAlign w:val="center"/>
            <w:hideMark/>
          </w:tcPr>
          <w:p w14:paraId="7F179DDC" w14:textId="77777777" w:rsidR="00F24946" w:rsidRDefault="00613B06">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480FFBF4"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841A35F" w14:textId="77777777" w:rsidR="00F24946" w:rsidRDefault="00613B06">
            <w:pPr>
              <w:pStyle w:val="P68B1DB1-Normal8"/>
              <w:spacing w:after="0" w:line="240" w:lineRule="auto"/>
              <w:jc w:val="center"/>
              <w:rPr>
                <w:rFonts w:eastAsia="Times New Roman" w:cs="Calibri"/>
                <w:noProof/>
              </w:rPr>
            </w:pPr>
            <w:r>
              <w:rPr>
                <w:noProof/>
              </w:rPr>
              <w:t>Program podpore za dostop do stanovanj – kupljena, zgrajena (visoka energijska učinkovitost) ali sanirana (z izboljšano energetsko učinkovitostjo) stanovanja za gospodinjstva</w:t>
            </w:r>
          </w:p>
        </w:tc>
        <w:tc>
          <w:tcPr>
            <w:tcW w:w="1355" w:type="dxa"/>
            <w:shd w:val="clear" w:color="auto" w:fill="C4EFCE"/>
            <w:vAlign w:val="center"/>
            <w:hideMark/>
          </w:tcPr>
          <w:p w14:paraId="79254448"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5B97704"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5717ADD7"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427505B2" w14:textId="0DACC7D5" w:rsidR="00F24946" w:rsidRDefault="00613B06">
            <w:pPr>
              <w:pStyle w:val="P68B1DB1-Normal8"/>
              <w:spacing w:after="0" w:line="240" w:lineRule="auto"/>
              <w:jc w:val="center"/>
              <w:rPr>
                <w:rFonts w:eastAsia="Times New Roman" w:cs="Calibri"/>
                <w:noProof/>
              </w:rPr>
            </w:pPr>
            <w:r>
              <w:rPr>
                <w:noProof/>
              </w:rPr>
              <w:t>1 500</w:t>
            </w:r>
          </w:p>
        </w:tc>
        <w:tc>
          <w:tcPr>
            <w:tcW w:w="473" w:type="dxa"/>
            <w:shd w:val="clear" w:color="auto" w:fill="C4EFCE"/>
            <w:vAlign w:val="center"/>
            <w:hideMark/>
          </w:tcPr>
          <w:p w14:paraId="1E68496B" w14:textId="77777777" w:rsidR="00F24946" w:rsidRDefault="00613B06">
            <w:pPr>
              <w:pStyle w:val="P68B1DB1-Normal8"/>
              <w:spacing w:after="0" w:line="240" w:lineRule="auto"/>
              <w:jc w:val="center"/>
              <w:rPr>
                <w:rFonts w:eastAsia="Times New Roman" w:cs="Calibri"/>
                <w:noProof/>
              </w:rPr>
            </w:pPr>
            <w:r>
              <w:rPr>
                <w:noProof/>
              </w:rPr>
              <w:t>Q3</w:t>
            </w:r>
          </w:p>
        </w:tc>
        <w:tc>
          <w:tcPr>
            <w:tcW w:w="625" w:type="dxa"/>
            <w:shd w:val="clear" w:color="auto" w:fill="C4EFCE"/>
            <w:vAlign w:val="center"/>
            <w:hideMark/>
          </w:tcPr>
          <w:p w14:paraId="21D559DA" w14:textId="77777777" w:rsidR="00F24946" w:rsidRDefault="00613B06">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10E4BAB8" w14:textId="44115244" w:rsidR="00F24946" w:rsidRDefault="00613B06">
            <w:pPr>
              <w:pStyle w:val="P68B1DB1-Normal8"/>
              <w:spacing w:after="0" w:line="240" w:lineRule="auto"/>
              <w:jc w:val="both"/>
              <w:rPr>
                <w:rFonts w:eastAsia="Times New Roman" w:cs="Calibri"/>
                <w:noProof/>
              </w:rPr>
            </w:pPr>
            <w:r>
              <w:rPr>
                <w:noProof/>
              </w:rPr>
              <w:t xml:space="preserve">Število stanovanj, dobavljenih upravičenim gospodinjstvom v okviru programa. Potrebe po primarni energiji za nove stavbe so za vsaj 20 % nižje od potreb stavb s skoraj nično porabo energije (razen za projekte, ki se izvajajo in so vključeni v proračun za leti 2021 in 2022, kar predstavlja do 188 250 000 EUR skupnih sredstev, dodeljenih za ta ukrep). </w:t>
            </w:r>
          </w:p>
        </w:tc>
      </w:tr>
      <w:tr w:rsidR="00F24946" w14:paraId="375E02BE" w14:textId="77777777">
        <w:trPr>
          <w:trHeight w:val="1691"/>
        </w:trPr>
        <w:tc>
          <w:tcPr>
            <w:tcW w:w="1134" w:type="dxa"/>
            <w:shd w:val="clear" w:color="auto" w:fill="C5EFCE"/>
            <w:vAlign w:val="center"/>
          </w:tcPr>
          <w:p w14:paraId="31060937" w14:textId="2D4F963A" w:rsidR="00F24946" w:rsidRDefault="00613B06">
            <w:pPr>
              <w:pStyle w:val="P68B1DB1-Normal7"/>
              <w:spacing w:after="0" w:line="240" w:lineRule="auto"/>
              <w:jc w:val="center"/>
              <w:rPr>
                <w:rFonts w:eastAsia="Times New Roman" w:cs="Calibri"/>
                <w:noProof/>
              </w:rPr>
            </w:pPr>
            <w:r>
              <w:rPr>
                <w:noProof/>
              </w:rPr>
              <w:t>2.29</w:t>
            </w:r>
          </w:p>
        </w:tc>
        <w:tc>
          <w:tcPr>
            <w:tcW w:w="1304" w:type="dxa"/>
            <w:shd w:val="clear" w:color="auto" w:fill="C4EFCE"/>
            <w:vAlign w:val="center"/>
          </w:tcPr>
          <w:p w14:paraId="4F9C5B9F" w14:textId="67E30297" w:rsidR="00F24946" w:rsidRDefault="00613B06">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tcPr>
          <w:p w14:paraId="3C73B808" w14:textId="0AE73BAB"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tcPr>
          <w:p w14:paraId="3E67D982" w14:textId="71A6CE76" w:rsidR="00F24946" w:rsidRDefault="00613B06">
            <w:pPr>
              <w:pStyle w:val="P68B1DB1-Normal8"/>
              <w:spacing w:after="0" w:line="240" w:lineRule="auto"/>
              <w:jc w:val="center"/>
              <w:rPr>
                <w:rFonts w:eastAsia="Times New Roman" w:cs="Calibri"/>
                <w:noProof/>
              </w:rPr>
            </w:pPr>
            <w:r>
              <w:rPr>
                <w:noProof/>
              </w:rPr>
              <w:t>Program podpore za dostop do stanovanj – kupljena, zgrajena (visoka energijska učinkovitost) ali sanirana (z izboljšano energetsko učinkovitostjo) stanovanja za gospodinjstva</w:t>
            </w:r>
          </w:p>
        </w:tc>
        <w:tc>
          <w:tcPr>
            <w:tcW w:w="1355" w:type="dxa"/>
            <w:shd w:val="clear" w:color="auto" w:fill="C4EFCE"/>
            <w:vAlign w:val="center"/>
          </w:tcPr>
          <w:p w14:paraId="31101875" w14:textId="77777777" w:rsidR="00F24946" w:rsidRDefault="00F24946">
            <w:pPr>
              <w:spacing w:after="0" w:line="240" w:lineRule="auto"/>
              <w:jc w:val="center"/>
              <w:rPr>
                <w:rFonts w:ascii="Calibri" w:eastAsia="Times New Roman" w:hAnsi="Calibri" w:cs="Calibri"/>
                <w:noProof/>
                <w:sz w:val="16"/>
              </w:rPr>
            </w:pPr>
          </w:p>
        </w:tc>
        <w:tc>
          <w:tcPr>
            <w:tcW w:w="1021" w:type="dxa"/>
            <w:shd w:val="clear" w:color="auto" w:fill="C4EFCE"/>
            <w:vAlign w:val="center"/>
          </w:tcPr>
          <w:p w14:paraId="51871E3D" w14:textId="14F82F6A"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tcPr>
          <w:p w14:paraId="479FECEA" w14:textId="103FA3F7" w:rsidR="00F24946" w:rsidRDefault="00613B06">
            <w:pPr>
              <w:pStyle w:val="P68B1DB1-Normal8"/>
              <w:spacing w:after="0" w:line="240" w:lineRule="auto"/>
              <w:jc w:val="center"/>
              <w:rPr>
                <w:rFonts w:eastAsia="Times New Roman" w:cs="Calibri"/>
                <w:noProof/>
              </w:rPr>
            </w:pPr>
            <w:r>
              <w:rPr>
                <w:noProof/>
              </w:rPr>
              <w:t>1 500</w:t>
            </w:r>
          </w:p>
        </w:tc>
        <w:tc>
          <w:tcPr>
            <w:tcW w:w="897" w:type="dxa"/>
            <w:shd w:val="clear" w:color="auto" w:fill="C4EFCE"/>
            <w:vAlign w:val="center"/>
          </w:tcPr>
          <w:p w14:paraId="5D50B648" w14:textId="748205E1" w:rsidR="00F24946" w:rsidRDefault="00613B06">
            <w:pPr>
              <w:pStyle w:val="P68B1DB1-Normal8"/>
              <w:spacing w:after="0" w:line="240" w:lineRule="auto"/>
              <w:jc w:val="center"/>
              <w:rPr>
                <w:rFonts w:eastAsia="Times New Roman" w:cs="Calibri"/>
                <w:noProof/>
              </w:rPr>
            </w:pPr>
            <w:r>
              <w:rPr>
                <w:noProof/>
              </w:rPr>
              <w:t>10 000</w:t>
            </w:r>
          </w:p>
        </w:tc>
        <w:tc>
          <w:tcPr>
            <w:tcW w:w="473" w:type="dxa"/>
            <w:shd w:val="clear" w:color="auto" w:fill="C4EFCE"/>
            <w:vAlign w:val="center"/>
          </w:tcPr>
          <w:p w14:paraId="7C6DC9DC" w14:textId="3B28900F"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tcPr>
          <w:p w14:paraId="1AE5F7BB" w14:textId="1E2B6B17" w:rsidR="00F24946" w:rsidRDefault="00613B06">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tcPr>
          <w:p w14:paraId="035D8FB0" w14:textId="678DD79D" w:rsidR="00F24946" w:rsidRDefault="00613B06">
            <w:pPr>
              <w:pStyle w:val="P68B1DB1-Normal8"/>
              <w:spacing w:after="0" w:line="240" w:lineRule="auto"/>
              <w:jc w:val="both"/>
              <w:rPr>
                <w:rFonts w:eastAsia="Times New Roman" w:cs="Calibri"/>
                <w:noProof/>
              </w:rPr>
            </w:pPr>
            <w:r>
              <w:rPr>
                <w:noProof/>
              </w:rPr>
              <w:t xml:space="preserve">Število stanovanj, dobavljenih upravičenim gospodinjstvom v okviru programa. Potrebe po primarni energiji za nove stavbe so za vsaj 20 % nižje od potreb stavb s skoraj nično porabo energije (razen za projekte, ki se izvajajo in so vključeni v proračun za leti 2021 in 2022, kar predstavlja do 188 250 000 EUR skupnih sredstev, dodeljenih za ta ukrep). </w:t>
            </w:r>
          </w:p>
        </w:tc>
      </w:tr>
      <w:tr w:rsidR="00F24946" w14:paraId="6BC82244" w14:textId="77777777">
        <w:trPr>
          <w:trHeight w:val="509"/>
        </w:trPr>
        <w:tc>
          <w:tcPr>
            <w:tcW w:w="1134" w:type="dxa"/>
            <w:shd w:val="clear" w:color="auto" w:fill="C5EFCE"/>
            <w:vAlign w:val="center"/>
            <w:hideMark/>
          </w:tcPr>
          <w:p w14:paraId="59350F65" w14:textId="77777777" w:rsidR="00F24946" w:rsidRDefault="00613B06">
            <w:pPr>
              <w:pStyle w:val="P68B1DB1-Normal7"/>
              <w:spacing w:after="0" w:line="240" w:lineRule="auto"/>
              <w:jc w:val="center"/>
              <w:rPr>
                <w:rFonts w:eastAsia="Times New Roman" w:cs="Calibri"/>
                <w:noProof/>
              </w:rPr>
            </w:pPr>
            <w:r>
              <w:rPr>
                <w:noProof/>
              </w:rPr>
              <w:t>2.3</w:t>
            </w:r>
          </w:p>
        </w:tc>
        <w:tc>
          <w:tcPr>
            <w:tcW w:w="1304" w:type="dxa"/>
            <w:shd w:val="clear" w:color="auto" w:fill="C4EFCE"/>
            <w:vAlign w:val="center"/>
            <w:hideMark/>
          </w:tcPr>
          <w:p w14:paraId="639C84CF" w14:textId="77777777" w:rsidR="00F24946" w:rsidRDefault="00613B06">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069FE15A"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E94FF9B" w14:textId="77777777" w:rsidR="00F24946" w:rsidRDefault="00613B06">
            <w:pPr>
              <w:pStyle w:val="P68B1DB1-Normal8"/>
              <w:spacing w:after="0" w:line="240" w:lineRule="auto"/>
              <w:jc w:val="center"/>
              <w:rPr>
                <w:rFonts w:eastAsia="Times New Roman" w:cs="Calibri"/>
                <w:noProof/>
              </w:rPr>
            </w:pPr>
            <w:r>
              <w:rPr>
                <w:noProof/>
              </w:rPr>
              <w:t xml:space="preserve">Program podpore za dostop do stanovanj – kupljena, zgrajena (visoka energijska učinkovitost) ali sanirana (z izboljšano energetsko učinkovitostjo) stanovanja za gospodinjstva </w:t>
            </w:r>
          </w:p>
        </w:tc>
        <w:tc>
          <w:tcPr>
            <w:tcW w:w="1355" w:type="dxa"/>
            <w:shd w:val="clear" w:color="auto" w:fill="C4EFCE"/>
            <w:vAlign w:val="center"/>
            <w:hideMark/>
          </w:tcPr>
          <w:p w14:paraId="751EA2D7"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35A0186"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1EF94F6B" w14:textId="113A63A7" w:rsidR="00F24946" w:rsidRDefault="00613B06">
            <w:pPr>
              <w:pStyle w:val="P68B1DB1-Normal8"/>
              <w:spacing w:after="0" w:line="240" w:lineRule="auto"/>
              <w:jc w:val="center"/>
              <w:rPr>
                <w:rFonts w:eastAsia="Times New Roman" w:cs="Calibri"/>
                <w:noProof/>
              </w:rPr>
            </w:pPr>
            <w:r>
              <w:rPr>
                <w:noProof/>
              </w:rPr>
              <w:t>10 000</w:t>
            </w:r>
          </w:p>
        </w:tc>
        <w:tc>
          <w:tcPr>
            <w:tcW w:w="897" w:type="dxa"/>
            <w:shd w:val="clear" w:color="auto" w:fill="C4EFCE"/>
            <w:vAlign w:val="center"/>
            <w:hideMark/>
          </w:tcPr>
          <w:p w14:paraId="5D687843" w14:textId="4E170287" w:rsidR="00F24946" w:rsidRDefault="00613B06">
            <w:pPr>
              <w:pStyle w:val="P68B1DB1-Normal8"/>
              <w:spacing w:after="0" w:line="240" w:lineRule="auto"/>
              <w:jc w:val="center"/>
              <w:rPr>
                <w:rFonts w:eastAsia="Times New Roman" w:cs="Calibri"/>
                <w:noProof/>
              </w:rPr>
            </w:pPr>
            <w:r>
              <w:rPr>
                <w:noProof/>
              </w:rPr>
              <w:t>22 360</w:t>
            </w:r>
          </w:p>
        </w:tc>
        <w:tc>
          <w:tcPr>
            <w:tcW w:w="473" w:type="dxa"/>
            <w:shd w:val="clear" w:color="auto" w:fill="C4EFCE"/>
            <w:vAlign w:val="center"/>
            <w:hideMark/>
          </w:tcPr>
          <w:p w14:paraId="0BDA8B9E" w14:textId="77777777"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hideMark/>
          </w:tcPr>
          <w:p w14:paraId="5A2AE7BE" w14:textId="77777777" w:rsidR="00F24946" w:rsidRDefault="00613B06">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B093878" w14:textId="3B9713FE" w:rsidR="00F24946" w:rsidRDefault="00613B06">
            <w:pPr>
              <w:pStyle w:val="P68B1DB1-Normal8"/>
              <w:spacing w:after="0" w:line="240" w:lineRule="auto"/>
              <w:jc w:val="both"/>
              <w:rPr>
                <w:rFonts w:eastAsia="Times New Roman" w:cs="Calibri"/>
                <w:noProof/>
              </w:rPr>
            </w:pPr>
            <w:r>
              <w:rPr>
                <w:noProof/>
              </w:rPr>
              <w:t xml:space="preserve">Število stanovanj, dobavljenih upravičenim gospodinjstvom v okviru programa. Potrebe po primarni energiji za nove stavbe so za vsaj 20 % nižje od potreb stavb s skoraj nično porabo energije (razen za projekte, ki se izvajajo in so vključeni v proračun za leti 2021 in 2022, kar predstavlja do 188 250 000 EUR skupnih sredstev, dodeljenih za ta ukrep). Za sanacijo je referenčna enota na stanovanje 73 kvadratnih metrov, za nove gradnje pa 95 kvadratnih metrov za 22360 stanovanj. </w:t>
            </w:r>
          </w:p>
        </w:tc>
      </w:tr>
      <w:tr w:rsidR="00F24946" w14:paraId="1B7EC0D5" w14:textId="77777777">
        <w:trPr>
          <w:trHeight w:val="290"/>
        </w:trPr>
        <w:tc>
          <w:tcPr>
            <w:tcW w:w="1134" w:type="dxa"/>
            <w:shd w:val="clear" w:color="auto" w:fill="C5EFCE"/>
            <w:vAlign w:val="center"/>
            <w:hideMark/>
          </w:tcPr>
          <w:p w14:paraId="77D78043" w14:textId="77777777" w:rsidR="00F24946" w:rsidRDefault="00613B06">
            <w:pPr>
              <w:pStyle w:val="P68B1DB1-Normal7"/>
              <w:spacing w:after="0" w:line="240" w:lineRule="auto"/>
              <w:jc w:val="center"/>
              <w:rPr>
                <w:rFonts w:eastAsia="Times New Roman" w:cs="Calibri"/>
                <w:noProof/>
              </w:rPr>
            </w:pPr>
            <w:r>
              <w:rPr>
                <w:noProof/>
              </w:rPr>
              <w:t>2.4</w:t>
            </w:r>
          </w:p>
        </w:tc>
        <w:tc>
          <w:tcPr>
            <w:tcW w:w="1304" w:type="dxa"/>
            <w:shd w:val="clear" w:color="auto" w:fill="C4EFCE"/>
            <w:vAlign w:val="center"/>
            <w:hideMark/>
          </w:tcPr>
          <w:p w14:paraId="21608A65" w14:textId="77777777" w:rsidR="00F24946" w:rsidRDefault="00613B06">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FAA0881" w14:textId="77777777" w:rsidR="00F24946" w:rsidRDefault="00613B06">
            <w:pPr>
              <w:pStyle w:val="P68B1DB1-Normal8"/>
              <w:spacing w:after="0" w:line="240" w:lineRule="auto"/>
              <w:jc w:val="center"/>
              <w:rPr>
                <w:rFonts w:eastAsia="Times New Roman" w:cs="Calibri"/>
                <w:noProof/>
              </w:rPr>
            </w:pPr>
            <w:r>
              <w:rPr>
                <w:noProof/>
              </w:rPr>
              <w:t> T</w:t>
            </w:r>
          </w:p>
        </w:tc>
        <w:tc>
          <w:tcPr>
            <w:tcW w:w="2026" w:type="dxa"/>
            <w:shd w:val="clear" w:color="auto" w:fill="C4EFCE"/>
            <w:vAlign w:val="center"/>
            <w:hideMark/>
          </w:tcPr>
          <w:p w14:paraId="0914FF1B" w14:textId="77777777" w:rsidR="00F24946" w:rsidRDefault="00613B06">
            <w:pPr>
              <w:pStyle w:val="P68B1DB1-Normal8"/>
              <w:spacing w:after="0" w:line="240" w:lineRule="auto"/>
              <w:jc w:val="center"/>
              <w:rPr>
                <w:rFonts w:eastAsia="Times New Roman" w:cs="Calibri"/>
                <w:noProof/>
              </w:rPr>
            </w:pPr>
            <w:r>
              <w:rPr>
                <w:noProof/>
              </w:rPr>
              <w:t>Nacionalna nepovratna sredstva za nujno in začasno nastanitev – podpis sporazumov o financiranju nujnih in prehodnih nastanitev</w:t>
            </w:r>
          </w:p>
        </w:tc>
        <w:tc>
          <w:tcPr>
            <w:tcW w:w="1355" w:type="dxa"/>
            <w:shd w:val="clear" w:color="auto" w:fill="C4EFCE"/>
            <w:vAlign w:val="center"/>
            <w:hideMark/>
          </w:tcPr>
          <w:p w14:paraId="058B51CE"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CCDF8A5"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14C89D3F"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6F45426A" w14:textId="77777777" w:rsidR="00F24946" w:rsidRDefault="00613B06">
            <w:pPr>
              <w:pStyle w:val="P68B1DB1-Normal8"/>
              <w:spacing w:after="0" w:line="240" w:lineRule="auto"/>
              <w:jc w:val="center"/>
              <w:rPr>
                <w:rFonts w:eastAsia="Times New Roman" w:cs="Calibri"/>
                <w:noProof/>
              </w:rPr>
            </w:pPr>
            <w:r>
              <w:rPr>
                <w:noProof/>
              </w:rPr>
              <w:t>500</w:t>
            </w:r>
          </w:p>
        </w:tc>
        <w:tc>
          <w:tcPr>
            <w:tcW w:w="473" w:type="dxa"/>
            <w:shd w:val="clear" w:color="auto" w:fill="C4EFCE"/>
            <w:vAlign w:val="center"/>
            <w:hideMark/>
          </w:tcPr>
          <w:p w14:paraId="4F11D61E" w14:textId="77777777" w:rsidR="00F24946" w:rsidRDefault="00613B06">
            <w:pPr>
              <w:pStyle w:val="P68B1DB1-Normal8"/>
              <w:spacing w:after="0" w:line="240" w:lineRule="auto"/>
              <w:jc w:val="center"/>
              <w:rPr>
                <w:rFonts w:eastAsia="Times New Roman" w:cs="Calibri"/>
                <w:noProof/>
              </w:rPr>
            </w:pPr>
            <w:r>
              <w:rPr>
                <w:noProof/>
              </w:rPr>
              <w:t xml:space="preserve">Q3 </w:t>
            </w:r>
          </w:p>
        </w:tc>
        <w:tc>
          <w:tcPr>
            <w:tcW w:w="625" w:type="dxa"/>
            <w:shd w:val="clear" w:color="auto" w:fill="C4EFCE"/>
            <w:vAlign w:val="center"/>
            <w:hideMark/>
          </w:tcPr>
          <w:p w14:paraId="7A500F3E" w14:textId="77777777" w:rsidR="00F24946" w:rsidRDefault="00613B06">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6C65AF43" w14:textId="2DE6C2A7" w:rsidR="00F24946" w:rsidRDefault="00613B06">
            <w:pPr>
              <w:pStyle w:val="P68B1DB1-Normal8"/>
              <w:spacing w:after="0" w:line="240" w:lineRule="auto"/>
              <w:jc w:val="both"/>
              <w:rPr>
                <w:rFonts w:eastAsia="Times New Roman" w:cs="Calibri"/>
                <w:noProof/>
              </w:rPr>
            </w:pPr>
            <w:r>
              <w:rPr>
                <w:noProof/>
              </w:rPr>
              <w:t xml:space="preserve">Število nastanitev, za katere so podpisani sporazumi o financiranju. </w:t>
            </w:r>
          </w:p>
          <w:p w14:paraId="1401935B" w14:textId="77777777" w:rsidR="00F24946" w:rsidRDefault="00613B06">
            <w:pPr>
              <w:pStyle w:val="P68B1DB1-Normal8"/>
              <w:spacing w:after="0" w:line="240" w:lineRule="auto"/>
              <w:jc w:val="both"/>
              <w:rPr>
                <w:rFonts w:eastAsia="Times New Roman" w:cs="Calibri"/>
                <w:noProof/>
              </w:rPr>
            </w:pPr>
            <w:r>
              <w:rPr>
                <w:noProof/>
              </w:rPr>
              <w:t>Subjekti oddajo vloge za financiranje v okviru javnega razpisa, ki ga je odprl IHRU (Inštitut za stanovanjsko in mestno rehabilitacijo), ki po tem, ko je ocenil in zaprosil za mnenje ISS (Inštitut za socialno varnost) o veljavnosti in izvedljivosti predloženih vlog, sklene pogodbo o financiranju in določi rok za njegovo izvedbo. Nastanitev pomeni del ali celotno stavbo z neodvisnim dostopom, sestavljeno iz enega ali več stanovanjskih oddelkov in dodatnih zasebnih prostorov ali stanovanjskih enot za več kot eno gospodinjstvo.</w:t>
            </w:r>
          </w:p>
        </w:tc>
      </w:tr>
      <w:tr w:rsidR="00F24946" w14:paraId="301EE51C" w14:textId="77777777">
        <w:trPr>
          <w:trHeight w:val="2674"/>
        </w:trPr>
        <w:tc>
          <w:tcPr>
            <w:tcW w:w="1134" w:type="dxa"/>
            <w:shd w:val="clear" w:color="auto" w:fill="C5EFCE"/>
            <w:vAlign w:val="center"/>
            <w:hideMark/>
          </w:tcPr>
          <w:p w14:paraId="68B87CC0" w14:textId="77777777" w:rsidR="00F24946" w:rsidRDefault="00613B06">
            <w:pPr>
              <w:pStyle w:val="P68B1DB1-Normal7"/>
              <w:spacing w:after="0" w:line="240" w:lineRule="auto"/>
              <w:jc w:val="center"/>
              <w:rPr>
                <w:rFonts w:eastAsia="Times New Roman" w:cs="Calibri"/>
                <w:noProof/>
              </w:rPr>
            </w:pPr>
            <w:r>
              <w:rPr>
                <w:noProof/>
              </w:rPr>
              <w:t>2.5</w:t>
            </w:r>
          </w:p>
        </w:tc>
        <w:tc>
          <w:tcPr>
            <w:tcW w:w="1304" w:type="dxa"/>
            <w:shd w:val="clear" w:color="auto" w:fill="C4EFCE"/>
            <w:vAlign w:val="center"/>
            <w:hideMark/>
          </w:tcPr>
          <w:p w14:paraId="0896B5A2" w14:textId="77777777" w:rsidR="00F24946" w:rsidRDefault="00613B06">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18C2C033"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2542EC9" w14:textId="77777777" w:rsidR="00F24946" w:rsidRDefault="00613B06">
            <w:pPr>
              <w:pStyle w:val="P68B1DB1-Normal8"/>
              <w:spacing w:after="0" w:line="240" w:lineRule="auto"/>
              <w:jc w:val="center"/>
              <w:rPr>
                <w:rFonts w:eastAsia="Times New Roman" w:cs="Calibri"/>
                <w:noProof/>
              </w:rPr>
            </w:pPr>
            <w:r>
              <w:rPr>
                <w:noProof/>
              </w:rPr>
              <w:t>Nacionalna nepovratna sredstva za nujno in začasno nastanitev – Podpis sporazumov o financiranju nujnih in prehodnih nastanitev</w:t>
            </w:r>
          </w:p>
        </w:tc>
        <w:tc>
          <w:tcPr>
            <w:tcW w:w="1355" w:type="dxa"/>
            <w:shd w:val="clear" w:color="auto" w:fill="C4EFCE"/>
            <w:vAlign w:val="center"/>
            <w:hideMark/>
          </w:tcPr>
          <w:p w14:paraId="729388B8"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0F0E16D" w14:textId="48C4EEB3"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5404D043" w14:textId="77777777" w:rsidR="00F24946" w:rsidRDefault="00613B06">
            <w:pPr>
              <w:pStyle w:val="P68B1DB1-Normal8"/>
              <w:spacing w:after="0" w:line="240" w:lineRule="auto"/>
              <w:jc w:val="center"/>
              <w:rPr>
                <w:rFonts w:eastAsia="Times New Roman" w:cs="Calibri"/>
                <w:noProof/>
              </w:rPr>
            </w:pPr>
            <w:r>
              <w:rPr>
                <w:noProof/>
              </w:rPr>
              <w:t>500</w:t>
            </w:r>
          </w:p>
        </w:tc>
        <w:tc>
          <w:tcPr>
            <w:tcW w:w="897" w:type="dxa"/>
            <w:shd w:val="clear" w:color="auto" w:fill="C4EFCE"/>
            <w:vAlign w:val="center"/>
            <w:hideMark/>
          </w:tcPr>
          <w:p w14:paraId="57B686FC" w14:textId="77777777" w:rsidR="00F24946" w:rsidRDefault="00613B06">
            <w:pPr>
              <w:pStyle w:val="P68B1DB1-Normal8"/>
              <w:spacing w:after="0" w:line="240" w:lineRule="auto"/>
              <w:jc w:val="center"/>
              <w:rPr>
                <w:rFonts w:eastAsia="Times New Roman" w:cs="Calibri"/>
                <w:noProof/>
              </w:rPr>
            </w:pPr>
            <w:r>
              <w:rPr>
                <w:noProof/>
              </w:rPr>
              <w:t>1 000</w:t>
            </w:r>
          </w:p>
        </w:tc>
        <w:tc>
          <w:tcPr>
            <w:tcW w:w="473" w:type="dxa"/>
            <w:shd w:val="clear" w:color="auto" w:fill="C4EFCE"/>
            <w:vAlign w:val="center"/>
            <w:hideMark/>
          </w:tcPr>
          <w:p w14:paraId="106559ED" w14:textId="77777777" w:rsidR="00F24946" w:rsidRDefault="00613B06">
            <w:pPr>
              <w:pStyle w:val="P68B1DB1-Normal8"/>
              <w:spacing w:after="0" w:line="240" w:lineRule="auto"/>
              <w:jc w:val="center"/>
              <w:rPr>
                <w:rFonts w:eastAsia="Times New Roman" w:cs="Calibri"/>
                <w:noProof/>
              </w:rPr>
            </w:pPr>
            <w:r>
              <w:rPr>
                <w:noProof/>
              </w:rPr>
              <w:t>Q3</w:t>
            </w:r>
          </w:p>
        </w:tc>
        <w:tc>
          <w:tcPr>
            <w:tcW w:w="625" w:type="dxa"/>
            <w:shd w:val="clear" w:color="auto" w:fill="C4EFCE"/>
            <w:vAlign w:val="center"/>
            <w:hideMark/>
          </w:tcPr>
          <w:p w14:paraId="1B378D8D" w14:textId="77777777" w:rsidR="00F24946" w:rsidRDefault="00613B06">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tcPr>
          <w:p w14:paraId="1296F222" w14:textId="08C6502C" w:rsidR="00F24946" w:rsidRDefault="00613B06">
            <w:pPr>
              <w:pStyle w:val="P68B1DB1-Normal8"/>
              <w:spacing w:after="0" w:line="240" w:lineRule="auto"/>
              <w:jc w:val="both"/>
              <w:rPr>
                <w:rFonts w:eastAsia="Times New Roman" w:cs="Calibri"/>
                <w:noProof/>
              </w:rPr>
            </w:pPr>
            <w:r>
              <w:rPr>
                <w:noProof/>
              </w:rPr>
              <w:t>Število nastanitev, za katere so podpisani sporazumi o financiranju.</w:t>
            </w:r>
          </w:p>
          <w:p w14:paraId="3D3E1365" w14:textId="769D7B7A" w:rsidR="00F24946" w:rsidRDefault="00613B06">
            <w:pPr>
              <w:pStyle w:val="P68B1DB1-Normal8"/>
              <w:spacing w:after="0" w:line="240" w:lineRule="auto"/>
              <w:jc w:val="both"/>
              <w:rPr>
                <w:rFonts w:eastAsia="Times New Roman" w:cs="Calibri"/>
                <w:noProof/>
              </w:rPr>
            </w:pPr>
            <w:r>
              <w:rPr>
                <w:noProof/>
              </w:rPr>
              <w:t>Subjekti oddajo vloge za financiranje v okviru javnega razpisa, ki ga je odprl IHRU (Inštitut za stanovanjsko in mestno rehabilitacijo), ki po tem, ko je ocenil in zaprosil za mnenje ISS (Inštitut za socialno varnost) o veljavnosti in izvedljivosti predloženih vlog, sklene pogodbo o financiranju in določi rok za njegovo izvedbo. Nastanitev pomeni del ali celotno stavbo z neodvisnim dostopom, sestavljeno iz enega ali več stanovanjskih oddelkov in dodatnih zasebnih prostorov ali stanovanjskih enot za več kot eno gospodinjstvo.</w:t>
            </w:r>
          </w:p>
          <w:p w14:paraId="117AD3E0" w14:textId="77777777" w:rsidR="00F24946" w:rsidRDefault="00F24946">
            <w:pPr>
              <w:spacing w:after="0" w:line="240" w:lineRule="auto"/>
              <w:jc w:val="both"/>
              <w:rPr>
                <w:rFonts w:ascii="Calibri" w:eastAsia="Times New Roman" w:hAnsi="Calibri" w:cs="Calibri"/>
                <w:noProof/>
                <w:sz w:val="16"/>
              </w:rPr>
            </w:pPr>
          </w:p>
        </w:tc>
      </w:tr>
      <w:tr w:rsidR="00F24946" w14:paraId="4D975256" w14:textId="77777777">
        <w:trPr>
          <w:trHeight w:val="2253"/>
        </w:trPr>
        <w:tc>
          <w:tcPr>
            <w:tcW w:w="1134" w:type="dxa"/>
            <w:shd w:val="clear" w:color="auto" w:fill="C5EFCE"/>
            <w:vAlign w:val="center"/>
            <w:hideMark/>
          </w:tcPr>
          <w:p w14:paraId="2C482782" w14:textId="77777777" w:rsidR="00F24946" w:rsidRDefault="00613B06">
            <w:pPr>
              <w:pStyle w:val="P68B1DB1-Normal7"/>
              <w:spacing w:after="0" w:line="240" w:lineRule="auto"/>
              <w:jc w:val="center"/>
              <w:rPr>
                <w:rFonts w:eastAsia="Times New Roman" w:cs="Calibri"/>
                <w:noProof/>
              </w:rPr>
            </w:pPr>
            <w:r>
              <w:rPr>
                <w:noProof/>
              </w:rPr>
              <w:t>2.6</w:t>
            </w:r>
          </w:p>
        </w:tc>
        <w:tc>
          <w:tcPr>
            <w:tcW w:w="1304" w:type="dxa"/>
            <w:shd w:val="clear" w:color="auto" w:fill="C4EFCE"/>
            <w:vAlign w:val="center"/>
            <w:hideMark/>
          </w:tcPr>
          <w:p w14:paraId="672072E0" w14:textId="77777777" w:rsidR="00F24946" w:rsidRDefault="00613B06">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62E3F49B"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E2BDA77" w14:textId="3AFE50BF" w:rsidR="00F24946" w:rsidRDefault="00613B06">
            <w:pPr>
              <w:pStyle w:val="P68B1DB1-Normal8"/>
              <w:spacing w:after="0" w:line="240" w:lineRule="auto"/>
              <w:jc w:val="center"/>
              <w:rPr>
                <w:rFonts w:eastAsia="Times New Roman" w:cs="Calibri"/>
                <w:noProof/>
              </w:rPr>
            </w:pPr>
            <w:r>
              <w:rPr>
                <w:noProof/>
              </w:rPr>
              <w:t>Nacionalna nepovratna sredstva za nujno in začasno nastanitev – Nastanitve z gradbenimi deli, ki so se začele ali kupovale za nujne in prehodne nastanitve (ki bodo zgrajene ali kupljene v skladu s standardom energijske učinkovitosti ali sanirane z izboljšano energijsko učinkovitostjo) v gradnji</w:t>
            </w:r>
          </w:p>
        </w:tc>
        <w:tc>
          <w:tcPr>
            <w:tcW w:w="1355" w:type="dxa"/>
            <w:shd w:val="clear" w:color="auto" w:fill="C4EFCE"/>
            <w:vAlign w:val="center"/>
            <w:hideMark/>
          </w:tcPr>
          <w:p w14:paraId="5368E03F"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796FA2A1" w14:textId="460620FE"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4ABF0136"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9E3EE0" w14:textId="496C8208" w:rsidR="00F24946" w:rsidRDefault="00613B06">
            <w:pPr>
              <w:pStyle w:val="P68B1DB1-Normal8"/>
              <w:spacing w:after="0" w:line="240" w:lineRule="auto"/>
              <w:jc w:val="center"/>
              <w:rPr>
                <w:rFonts w:eastAsia="Times New Roman" w:cs="Calibri"/>
                <w:noProof/>
              </w:rPr>
            </w:pPr>
            <w:r>
              <w:rPr>
                <w:noProof/>
              </w:rPr>
              <w:t>350</w:t>
            </w:r>
          </w:p>
        </w:tc>
        <w:tc>
          <w:tcPr>
            <w:tcW w:w="473" w:type="dxa"/>
            <w:shd w:val="clear" w:color="auto" w:fill="C4EFCE"/>
            <w:vAlign w:val="center"/>
            <w:hideMark/>
          </w:tcPr>
          <w:p w14:paraId="7DDECB12" w14:textId="77777777" w:rsidR="00F24946" w:rsidRDefault="00613B06">
            <w:pPr>
              <w:pStyle w:val="P68B1DB1-Normal8"/>
              <w:spacing w:after="0" w:line="240" w:lineRule="auto"/>
              <w:jc w:val="center"/>
              <w:rPr>
                <w:rFonts w:eastAsia="Times New Roman" w:cs="Calibri"/>
                <w:noProof/>
              </w:rPr>
            </w:pPr>
            <w:r>
              <w:rPr>
                <w:noProof/>
              </w:rPr>
              <w:t>Q3</w:t>
            </w:r>
          </w:p>
        </w:tc>
        <w:tc>
          <w:tcPr>
            <w:tcW w:w="625" w:type="dxa"/>
            <w:shd w:val="clear" w:color="auto" w:fill="C4EFCE"/>
            <w:vAlign w:val="center"/>
            <w:hideMark/>
          </w:tcPr>
          <w:p w14:paraId="67217E7A" w14:textId="77777777" w:rsidR="00F24946" w:rsidRDefault="00613B06">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0AFE01CA" w14:textId="473A67E9" w:rsidR="00F24946" w:rsidRDefault="00613B06">
            <w:pPr>
              <w:pStyle w:val="P68B1DB1-Normal8"/>
              <w:spacing w:after="0" w:line="240" w:lineRule="auto"/>
              <w:jc w:val="both"/>
              <w:rPr>
                <w:rFonts w:eastAsia="Times New Roman" w:cs="Calibri"/>
                <w:noProof/>
              </w:rPr>
            </w:pPr>
            <w:r>
              <w:rPr>
                <w:noProof/>
              </w:rPr>
              <w:t xml:space="preserve">Nastanitve, za katere so se začela gradbena dela, ali kupljene nastanitve. Ko je za financiranje sklenjena pogodba, se znesek sprosti subjektom glede na izvajanje pogodbe. Potrebe po primarni energiji za nove stavbe so za vsaj 20 % nižje od potreb stavb s skoraj nično porabo energije (razen za projekte, ki se izvajajo in so vključeni v proračun za leti 2021 in 2022, kar predstavlja 14 800 000 EUR skupnih sredstev, dodeljenih za ta ukrep). </w:t>
            </w:r>
          </w:p>
        </w:tc>
      </w:tr>
      <w:tr w:rsidR="00F24946" w14:paraId="5D93E105" w14:textId="77777777">
        <w:trPr>
          <w:trHeight w:val="509"/>
        </w:trPr>
        <w:tc>
          <w:tcPr>
            <w:tcW w:w="1134" w:type="dxa"/>
            <w:shd w:val="clear" w:color="auto" w:fill="C5EFCE"/>
            <w:vAlign w:val="center"/>
            <w:hideMark/>
          </w:tcPr>
          <w:p w14:paraId="413E90AC" w14:textId="77777777" w:rsidR="00F24946" w:rsidRDefault="00613B06">
            <w:pPr>
              <w:pStyle w:val="P68B1DB1-Normal7"/>
              <w:spacing w:after="0" w:line="240" w:lineRule="auto"/>
              <w:jc w:val="center"/>
              <w:rPr>
                <w:rFonts w:eastAsia="Times New Roman" w:cs="Calibri"/>
                <w:noProof/>
              </w:rPr>
            </w:pPr>
            <w:r>
              <w:rPr>
                <w:noProof/>
              </w:rPr>
              <w:t>2.7</w:t>
            </w:r>
          </w:p>
        </w:tc>
        <w:tc>
          <w:tcPr>
            <w:tcW w:w="1304" w:type="dxa"/>
            <w:shd w:val="clear" w:color="auto" w:fill="C4EFCE"/>
            <w:vAlign w:val="center"/>
            <w:hideMark/>
          </w:tcPr>
          <w:p w14:paraId="1840F1C0" w14:textId="77777777" w:rsidR="00F24946" w:rsidRDefault="00613B06">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E870F5F"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6E6560F6" w14:textId="5E9818E4" w:rsidR="00F24946" w:rsidRDefault="00613B06">
            <w:pPr>
              <w:pStyle w:val="P68B1DB1-Normal8"/>
              <w:spacing w:after="0" w:line="240" w:lineRule="auto"/>
              <w:jc w:val="center"/>
              <w:rPr>
                <w:rFonts w:eastAsia="Times New Roman" w:cs="Calibri"/>
                <w:noProof/>
              </w:rPr>
            </w:pPr>
            <w:r>
              <w:rPr>
                <w:noProof/>
              </w:rPr>
              <w:t>Nacionalna nepovratna sredstva za nujno in začasno nastanitev – ustvarjene nujne in prehodne nastanitve (izdelane ali kupljene v skladu s standardom energijske učinkovitosti ali obnovljene, vključno s kupljenimi, z izboljšano energijsko učinkovitostjo) in zagotovljene razvijalcem</w:t>
            </w:r>
          </w:p>
        </w:tc>
        <w:tc>
          <w:tcPr>
            <w:tcW w:w="1355" w:type="dxa"/>
            <w:shd w:val="clear" w:color="auto" w:fill="C4EFCE"/>
            <w:vAlign w:val="center"/>
            <w:hideMark/>
          </w:tcPr>
          <w:p w14:paraId="4245B913"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07D9E38D" w14:textId="742C938D"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4CFB3CF0"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D5D9D2D" w14:textId="77777777" w:rsidR="00F24946" w:rsidRDefault="00613B06">
            <w:pPr>
              <w:pStyle w:val="P68B1DB1-Normal8"/>
              <w:spacing w:after="0" w:line="240" w:lineRule="auto"/>
              <w:jc w:val="center"/>
              <w:rPr>
                <w:rFonts w:eastAsia="Times New Roman" w:cs="Calibri"/>
                <w:noProof/>
              </w:rPr>
            </w:pPr>
            <w:r>
              <w:rPr>
                <w:noProof/>
              </w:rPr>
              <w:t>2 000</w:t>
            </w:r>
          </w:p>
        </w:tc>
        <w:tc>
          <w:tcPr>
            <w:tcW w:w="473" w:type="dxa"/>
            <w:shd w:val="clear" w:color="auto" w:fill="C4EFCE"/>
            <w:vAlign w:val="center"/>
            <w:hideMark/>
          </w:tcPr>
          <w:p w14:paraId="6B63A6F4" w14:textId="77777777"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hideMark/>
          </w:tcPr>
          <w:p w14:paraId="6908D626" w14:textId="77777777" w:rsidR="00F24946" w:rsidRDefault="00613B06">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130C6538" w14:textId="26B12645" w:rsidR="00F24946" w:rsidRDefault="00613B06">
            <w:pPr>
              <w:pStyle w:val="P68B1DB1-Normal8"/>
              <w:spacing w:after="0" w:line="240" w:lineRule="auto"/>
              <w:jc w:val="both"/>
              <w:rPr>
                <w:rFonts w:eastAsia="Times New Roman" w:cs="Calibri"/>
                <w:noProof/>
              </w:rPr>
            </w:pPr>
            <w:r>
              <w:rPr>
                <w:noProof/>
              </w:rPr>
              <w:t xml:space="preserve">Dostava nastanitve sponzorskim organom. Nastanitev pomeni del ali celotno stavbo z neodvisnim dostopom, sestavljeno iz enega ali več stanovanjskih oddelkov in dodatnih zasebnih prostorov ali stanovanjskih enot za več kot eno gospodinjstvo. Potrebe po primarni energiji za nove stavbe so za vsaj 20 % nižje od potreb stavb s skoraj nično porabo energije (razen za projekte, ki se izvajajo in so vključeni v proračun za leti 2021 in 2022, kar predstavlja 14 800 000 EUR skupnih sredstev, dodeljenih za ta ukrep). Referenčna enota je povprečno 73 kvadratnih metrov za 2000 bivalnih prostorov. </w:t>
            </w:r>
          </w:p>
        </w:tc>
      </w:tr>
      <w:tr w:rsidR="00F24946" w14:paraId="7427DF73" w14:textId="77777777">
        <w:trPr>
          <w:trHeight w:val="1114"/>
        </w:trPr>
        <w:tc>
          <w:tcPr>
            <w:tcW w:w="1134" w:type="dxa"/>
            <w:shd w:val="clear" w:color="auto" w:fill="C5EFCE"/>
            <w:vAlign w:val="center"/>
            <w:hideMark/>
          </w:tcPr>
          <w:p w14:paraId="0D2C6831" w14:textId="77777777" w:rsidR="00F24946" w:rsidRDefault="00613B06">
            <w:pPr>
              <w:pStyle w:val="P68B1DB1-Normal7"/>
              <w:spacing w:after="0" w:line="240" w:lineRule="auto"/>
              <w:jc w:val="center"/>
              <w:rPr>
                <w:rFonts w:eastAsia="Times New Roman" w:cs="Calibri"/>
                <w:noProof/>
              </w:rPr>
            </w:pPr>
            <w:r>
              <w:rPr>
                <w:noProof/>
              </w:rPr>
              <w:t>2.8</w:t>
            </w:r>
          </w:p>
        </w:tc>
        <w:tc>
          <w:tcPr>
            <w:tcW w:w="1304" w:type="dxa"/>
            <w:shd w:val="clear" w:color="auto" w:fill="C4EFCE"/>
            <w:vAlign w:val="center"/>
            <w:hideMark/>
          </w:tcPr>
          <w:p w14:paraId="7BA5DE70" w14:textId="77777777" w:rsidR="00F24946" w:rsidRDefault="00613B06">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25536932"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BF77C68" w14:textId="7515E99F" w:rsidR="00F24946" w:rsidRDefault="00613B06">
            <w:pPr>
              <w:pStyle w:val="P68B1DB1-Normal8"/>
              <w:spacing w:after="0" w:line="240" w:lineRule="auto"/>
              <w:jc w:val="center"/>
              <w:rPr>
                <w:rFonts w:eastAsia="Times New Roman" w:cs="Calibri"/>
                <w:noProof/>
              </w:rPr>
            </w:pPr>
            <w:r>
              <w:rPr>
                <w:noProof/>
              </w:rPr>
              <w:t>Nastanitev, dostavljena varnostnim silam, in začasna nastanitev, dostavljena iz humanitarnih ali varnostnih razlogov</w:t>
            </w:r>
          </w:p>
        </w:tc>
        <w:tc>
          <w:tcPr>
            <w:tcW w:w="1355" w:type="dxa"/>
            <w:shd w:val="clear" w:color="auto" w:fill="C4EFCE"/>
            <w:vAlign w:val="center"/>
            <w:hideMark/>
          </w:tcPr>
          <w:p w14:paraId="306C6212"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FB2089"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651BF2FF"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7C46088F" w14:textId="77777777" w:rsidR="00F24946" w:rsidRDefault="00613B06">
            <w:pPr>
              <w:pStyle w:val="P68B1DB1-Normal8"/>
              <w:spacing w:after="0" w:line="240" w:lineRule="auto"/>
              <w:jc w:val="center"/>
              <w:rPr>
                <w:rFonts w:eastAsia="Times New Roman" w:cs="Calibri"/>
                <w:noProof/>
              </w:rPr>
            </w:pPr>
            <w:r>
              <w:rPr>
                <w:noProof/>
              </w:rPr>
              <w:t>473</w:t>
            </w:r>
          </w:p>
        </w:tc>
        <w:tc>
          <w:tcPr>
            <w:tcW w:w="473" w:type="dxa"/>
            <w:shd w:val="clear" w:color="auto" w:fill="C4EFCE"/>
            <w:vAlign w:val="center"/>
            <w:hideMark/>
          </w:tcPr>
          <w:p w14:paraId="25C353AE" w14:textId="77777777"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hideMark/>
          </w:tcPr>
          <w:p w14:paraId="516E0C42" w14:textId="77777777" w:rsidR="00F24946" w:rsidRDefault="00613B06">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05D915D9" w14:textId="6245803B" w:rsidR="00F24946" w:rsidRDefault="00613B06">
            <w:pPr>
              <w:pStyle w:val="P68B1DB1-Normal8"/>
              <w:spacing w:after="0" w:line="240" w:lineRule="auto"/>
              <w:jc w:val="both"/>
              <w:rPr>
                <w:rFonts w:eastAsia="Times New Roman" w:cs="Calibri"/>
                <w:noProof/>
              </w:rPr>
            </w:pPr>
            <w:r>
              <w:rPr>
                <w:noProof/>
              </w:rPr>
              <w:t>Število stanovanj, dostavljenih varnostnim silam (SSGNR – socialne službe za nacionalno republiško gardo; SSPSP – Socialne službe za policijo za javno varnost) za potrebe začasne nastanitve, vključno s tremi bloki za varnostne sile (v primerih, utemeljenih z javnim interesom). Naložba vključuje tudi pet centrov za začasno nastanitev iz humanitarnih ali varnostnih razlogov. Potrebe po primarni energiji za nove stavbe so za vsaj 20 % nižje od potreb stavb s skoraj nično porabo energije.</w:t>
            </w:r>
          </w:p>
        </w:tc>
      </w:tr>
      <w:tr w:rsidR="00F24946" w14:paraId="7B72B6C0" w14:textId="77777777">
        <w:trPr>
          <w:trHeight w:val="1299"/>
        </w:trPr>
        <w:tc>
          <w:tcPr>
            <w:tcW w:w="1134" w:type="dxa"/>
            <w:shd w:val="clear" w:color="auto" w:fill="C5EFCE"/>
            <w:vAlign w:val="center"/>
            <w:hideMark/>
          </w:tcPr>
          <w:p w14:paraId="516C1714" w14:textId="77777777" w:rsidR="00F24946" w:rsidRDefault="00613B06">
            <w:pPr>
              <w:pStyle w:val="P68B1DB1-Normal7"/>
              <w:spacing w:after="0" w:line="240" w:lineRule="auto"/>
              <w:jc w:val="center"/>
              <w:rPr>
                <w:rFonts w:eastAsia="Times New Roman" w:cs="Calibri"/>
                <w:noProof/>
              </w:rPr>
            </w:pPr>
            <w:r>
              <w:rPr>
                <w:noProof/>
              </w:rPr>
              <w:t>2.10</w:t>
            </w:r>
          </w:p>
        </w:tc>
        <w:tc>
          <w:tcPr>
            <w:tcW w:w="1304" w:type="dxa"/>
            <w:shd w:val="clear" w:color="auto" w:fill="C4EFCE"/>
            <w:vAlign w:val="center"/>
            <w:hideMark/>
          </w:tcPr>
          <w:p w14:paraId="3ABE46D6" w14:textId="77777777" w:rsidR="00F24946" w:rsidRDefault="00613B06">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30B06126"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798BCDBC" w14:textId="77777777" w:rsidR="00F24946" w:rsidRDefault="00613B06">
            <w:pPr>
              <w:pStyle w:val="P68B1DB1-Normal8"/>
              <w:spacing w:after="0" w:line="240" w:lineRule="auto"/>
              <w:jc w:val="center"/>
              <w:rPr>
                <w:rFonts w:eastAsia="Times New Roman" w:cs="Calibri"/>
                <w:noProof/>
              </w:rPr>
            </w:pPr>
            <w:r>
              <w:rPr>
                <w:noProof/>
              </w:rPr>
              <w:t>Podprta stanovanja v avtonomni pokrajini Madeira</w:t>
            </w:r>
          </w:p>
        </w:tc>
        <w:tc>
          <w:tcPr>
            <w:tcW w:w="1355" w:type="dxa"/>
            <w:shd w:val="clear" w:color="auto" w:fill="C4EFCE"/>
            <w:vAlign w:val="center"/>
            <w:hideMark/>
          </w:tcPr>
          <w:p w14:paraId="0360AAD3"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860824" w14:textId="520F84DE"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66F31C5A" w14:textId="6271036C"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7938948" w14:textId="77777777" w:rsidR="00F24946" w:rsidRDefault="00613B06">
            <w:pPr>
              <w:pStyle w:val="P68B1DB1-Normal8"/>
              <w:spacing w:after="0" w:line="240" w:lineRule="auto"/>
              <w:jc w:val="center"/>
              <w:rPr>
                <w:rFonts w:eastAsia="Times New Roman" w:cs="Calibri"/>
                <w:noProof/>
              </w:rPr>
            </w:pPr>
            <w:r>
              <w:rPr>
                <w:noProof/>
              </w:rPr>
              <w:t>590</w:t>
            </w:r>
          </w:p>
        </w:tc>
        <w:tc>
          <w:tcPr>
            <w:tcW w:w="473" w:type="dxa"/>
            <w:shd w:val="clear" w:color="auto" w:fill="C4EFCE"/>
            <w:vAlign w:val="center"/>
            <w:hideMark/>
          </w:tcPr>
          <w:p w14:paraId="120647CE"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15FD699A" w14:textId="77777777" w:rsidR="00F24946" w:rsidRDefault="00613B06">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hideMark/>
          </w:tcPr>
          <w:p w14:paraId="35C90287" w14:textId="0A2F9A09" w:rsidR="00F24946" w:rsidRDefault="00613B06">
            <w:pPr>
              <w:pStyle w:val="P68B1DB1-Normal8"/>
              <w:spacing w:after="0" w:line="240" w:lineRule="auto"/>
              <w:jc w:val="both"/>
              <w:rPr>
                <w:rFonts w:eastAsia="Times New Roman" w:cs="Calibri"/>
                <w:noProof/>
              </w:rPr>
            </w:pPr>
            <w:r>
              <w:rPr>
                <w:noProof/>
              </w:rPr>
              <w:t xml:space="preserve">Število stanovanj, dodeljenih upravičenim gospodinjstvom v zvezi z gradnjo socialnih stanovanj ali nakupom stanovanjskih objektov za socialna stanovanja, ki prejemajo podporo. Potrebe po primarni energiji za nove stavbe so za vsaj 20 % nižje od potreb stavb s skoraj nično porabo energije. </w:t>
            </w:r>
          </w:p>
        </w:tc>
      </w:tr>
      <w:tr w:rsidR="00F24946" w14:paraId="5BA4E6AD" w14:textId="77777777">
        <w:trPr>
          <w:trHeight w:val="1260"/>
        </w:trPr>
        <w:tc>
          <w:tcPr>
            <w:tcW w:w="1134" w:type="dxa"/>
            <w:shd w:val="clear" w:color="auto" w:fill="C5EFCE"/>
            <w:vAlign w:val="center"/>
            <w:hideMark/>
          </w:tcPr>
          <w:p w14:paraId="7AD9EF6A" w14:textId="77777777" w:rsidR="00F24946" w:rsidRDefault="00613B06">
            <w:pPr>
              <w:pStyle w:val="P68B1DB1-Normal7"/>
              <w:spacing w:after="0" w:line="240" w:lineRule="auto"/>
              <w:jc w:val="center"/>
              <w:rPr>
                <w:rFonts w:eastAsia="Times New Roman" w:cs="Calibri"/>
                <w:noProof/>
              </w:rPr>
            </w:pPr>
            <w:r>
              <w:rPr>
                <w:noProof/>
              </w:rPr>
              <w:t>2.11</w:t>
            </w:r>
          </w:p>
        </w:tc>
        <w:tc>
          <w:tcPr>
            <w:tcW w:w="1304" w:type="dxa"/>
            <w:shd w:val="clear" w:color="auto" w:fill="C4EFCE"/>
            <w:vAlign w:val="center"/>
            <w:hideMark/>
          </w:tcPr>
          <w:p w14:paraId="15C2A587" w14:textId="77777777" w:rsidR="00F24946" w:rsidRDefault="00613B06">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6754F4CC"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1401E43" w14:textId="77777777" w:rsidR="00F24946" w:rsidRDefault="00613B06">
            <w:pPr>
              <w:pStyle w:val="P68B1DB1-Normal8"/>
              <w:spacing w:after="0" w:line="240" w:lineRule="auto"/>
              <w:jc w:val="center"/>
              <w:rPr>
                <w:rFonts w:eastAsia="Times New Roman" w:cs="Calibri"/>
                <w:noProof/>
              </w:rPr>
            </w:pPr>
            <w:r>
              <w:rPr>
                <w:noProof/>
              </w:rPr>
              <w:t>Podprta stanovanja v avtonomni pokrajini Madeira</w:t>
            </w:r>
          </w:p>
        </w:tc>
        <w:tc>
          <w:tcPr>
            <w:tcW w:w="1355" w:type="dxa"/>
            <w:shd w:val="clear" w:color="auto" w:fill="C4EFCE"/>
            <w:vAlign w:val="center"/>
            <w:hideMark/>
          </w:tcPr>
          <w:p w14:paraId="53D5B63F"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BD7AC9" w14:textId="38690FCA"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281C3A14" w14:textId="77777777" w:rsidR="00F24946" w:rsidRDefault="00613B06">
            <w:pPr>
              <w:pStyle w:val="P68B1DB1-Normal8"/>
              <w:spacing w:after="0" w:line="240" w:lineRule="auto"/>
              <w:jc w:val="center"/>
              <w:rPr>
                <w:rFonts w:eastAsia="Times New Roman" w:cs="Calibri"/>
                <w:noProof/>
              </w:rPr>
            </w:pPr>
            <w:r>
              <w:rPr>
                <w:noProof/>
              </w:rPr>
              <w:t>590</w:t>
            </w:r>
          </w:p>
        </w:tc>
        <w:tc>
          <w:tcPr>
            <w:tcW w:w="897" w:type="dxa"/>
            <w:shd w:val="clear" w:color="auto" w:fill="C4EFCE"/>
            <w:vAlign w:val="center"/>
            <w:hideMark/>
          </w:tcPr>
          <w:p w14:paraId="5DECC890" w14:textId="5F34FF58" w:rsidR="00F24946" w:rsidRDefault="00613B06">
            <w:pPr>
              <w:pStyle w:val="P68B1DB1-Normal8"/>
              <w:spacing w:after="0" w:line="240" w:lineRule="auto"/>
              <w:jc w:val="center"/>
              <w:rPr>
                <w:rFonts w:eastAsia="Times New Roman" w:cs="Calibri"/>
                <w:noProof/>
              </w:rPr>
            </w:pPr>
            <w:r>
              <w:rPr>
                <w:noProof/>
              </w:rPr>
              <w:t>805</w:t>
            </w:r>
          </w:p>
        </w:tc>
        <w:tc>
          <w:tcPr>
            <w:tcW w:w="473" w:type="dxa"/>
            <w:shd w:val="clear" w:color="auto" w:fill="C4EFCE"/>
            <w:vAlign w:val="center"/>
            <w:hideMark/>
          </w:tcPr>
          <w:p w14:paraId="5FD71819" w14:textId="77777777"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hideMark/>
          </w:tcPr>
          <w:p w14:paraId="59C4647A" w14:textId="77777777" w:rsidR="00F24946" w:rsidRDefault="00613B06">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5E4F7DA7" w14:textId="16DA01F2" w:rsidR="00F24946" w:rsidRDefault="00613B06">
            <w:pPr>
              <w:pStyle w:val="P68B1DB1-Normal8"/>
              <w:spacing w:after="0" w:line="240" w:lineRule="auto"/>
              <w:jc w:val="both"/>
              <w:rPr>
                <w:rFonts w:eastAsia="Times New Roman" w:cs="Calibri"/>
                <w:noProof/>
              </w:rPr>
            </w:pPr>
            <w:r>
              <w:rPr>
                <w:noProof/>
              </w:rPr>
              <w:t xml:space="preserve">Število stanovanj, dodeljenih upravičenim gospodinjstvom v zvezi z gradnjo socialnih stanovanj ali nakupom stanovanjskih objektov za socialna stanovanja, ki prejemajo podporo. Potrebe po primarni energiji za nove stavbe so za vsaj 20 % nižje od potreb stavb s skoraj nično porabo energije. Referenčna enota na stanovanje je v povprečju 90 kvadratnih metrov za 805 stanovanj. </w:t>
            </w:r>
          </w:p>
          <w:p w14:paraId="158CF522" w14:textId="7FF039D2" w:rsidR="00F24946" w:rsidRDefault="00613B06">
            <w:pPr>
              <w:pStyle w:val="P68B1DB1-Normal8"/>
              <w:spacing w:after="0" w:line="240" w:lineRule="auto"/>
              <w:jc w:val="both"/>
              <w:rPr>
                <w:rFonts w:eastAsia="Times New Roman" w:cs="Calibri"/>
                <w:noProof/>
              </w:rPr>
            </w:pPr>
            <w:r>
              <w:rPr>
                <w:noProof/>
              </w:rPr>
              <w:t>Poleg tega naložba vključuje tudi javno naročanje storitev za razvoj informacijskih sistemov in rešitev e-uprave v stanovanjskem sektorju.</w:t>
            </w:r>
          </w:p>
        </w:tc>
      </w:tr>
      <w:tr w:rsidR="00F24946" w14:paraId="28EAD265" w14:textId="77777777">
        <w:trPr>
          <w:trHeight w:val="1049"/>
        </w:trPr>
        <w:tc>
          <w:tcPr>
            <w:tcW w:w="1134" w:type="dxa"/>
            <w:shd w:val="clear" w:color="auto" w:fill="C5EFCE"/>
            <w:vAlign w:val="center"/>
            <w:hideMark/>
          </w:tcPr>
          <w:p w14:paraId="60326612" w14:textId="77777777" w:rsidR="00F24946" w:rsidRDefault="00613B06">
            <w:pPr>
              <w:pStyle w:val="P68B1DB1-Normal7"/>
              <w:spacing w:after="0" w:line="240" w:lineRule="auto"/>
              <w:jc w:val="center"/>
              <w:rPr>
                <w:rFonts w:eastAsia="Times New Roman" w:cs="Calibri"/>
                <w:noProof/>
              </w:rPr>
            </w:pPr>
            <w:r>
              <w:rPr>
                <w:noProof/>
              </w:rPr>
              <w:t>2.12</w:t>
            </w:r>
          </w:p>
        </w:tc>
        <w:tc>
          <w:tcPr>
            <w:tcW w:w="1304" w:type="dxa"/>
            <w:shd w:val="clear" w:color="auto" w:fill="C4EFCE"/>
            <w:vAlign w:val="center"/>
            <w:hideMark/>
          </w:tcPr>
          <w:p w14:paraId="0882979C" w14:textId="77777777" w:rsidR="00F24946" w:rsidRDefault="00613B06">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14FEF1B3"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138B1215" w14:textId="77777777" w:rsidR="00F24946" w:rsidRDefault="00613B06">
            <w:pPr>
              <w:pStyle w:val="P68B1DB1-Normal8"/>
              <w:spacing w:after="0" w:line="240" w:lineRule="auto"/>
              <w:jc w:val="center"/>
              <w:rPr>
                <w:rFonts w:eastAsia="Times New Roman" w:cs="Calibri"/>
                <w:noProof/>
              </w:rPr>
            </w:pPr>
            <w:r>
              <w:rPr>
                <w:noProof/>
              </w:rPr>
              <w:t>Število prenovljenih zasebnih lastnikov, ki bivajo v stanovanjih, tudi z izboljšano energijsko učinkovitostjo</w:t>
            </w:r>
          </w:p>
        </w:tc>
        <w:tc>
          <w:tcPr>
            <w:tcW w:w="1355" w:type="dxa"/>
            <w:shd w:val="clear" w:color="auto" w:fill="C4EFCE"/>
            <w:vAlign w:val="center"/>
            <w:hideMark/>
          </w:tcPr>
          <w:p w14:paraId="59416FFE"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E723E3D"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3FCA7144"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4682601" w14:textId="77777777" w:rsidR="00F24946" w:rsidRDefault="00613B06">
            <w:pPr>
              <w:pStyle w:val="P68B1DB1-Normal8"/>
              <w:spacing w:after="0" w:line="240" w:lineRule="auto"/>
              <w:jc w:val="center"/>
              <w:rPr>
                <w:rFonts w:eastAsia="Times New Roman" w:cs="Calibri"/>
                <w:noProof/>
              </w:rPr>
            </w:pPr>
            <w:r>
              <w:rPr>
                <w:noProof/>
              </w:rPr>
              <w:t>325</w:t>
            </w:r>
          </w:p>
        </w:tc>
        <w:tc>
          <w:tcPr>
            <w:tcW w:w="473" w:type="dxa"/>
            <w:shd w:val="clear" w:color="auto" w:fill="C4EFCE"/>
            <w:vAlign w:val="center"/>
            <w:hideMark/>
          </w:tcPr>
          <w:p w14:paraId="3A86C835" w14:textId="77777777" w:rsidR="00F24946" w:rsidRDefault="00613B06">
            <w:pPr>
              <w:pStyle w:val="P68B1DB1-Normal8"/>
              <w:spacing w:after="0" w:line="240" w:lineRule="auto"/>
              <w:jc w:val="center"/>
              <w:rPr>
                <w:rFonts w:eastAsia="Times New Roman" w:cs="Calibri"/>
                <w:noProof/>
              </w:rPr>
            </w:pPr>
            <w:r>
              <w:rPr>
                <w:noProof/>
              </w:rPr>
              <w:t>Q2</w:t>
            </w:r>
          </w:p>
        </w:tc>
        <w:tc>
          <w:tcPr>
            <w:tcW w:w="625" w:type="dxa"/>
            <w:shd w:val="clear" w:color="auto" w:fill="C4EFCE"/>
            <w:vAlign w:val="center"/>
            <w:hideMark/>
          </w:tcPr>
          <w:p w14:paraId="5FBB7CE8" w14:textId="77777777" w:rsidR="00F24946" w:rsidRDefault="00613B06">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6B3C073" w14:textId="77777777" w:rsidR="00F24946" w:rsidRDefault="00613B06">
            <w:pPr>
              <w:pStyle w:val="P68B1DB1-Normal8"/>
              <w:spacing w:after="0" w:line="240" w:lineRule="auto"/>
              <w:jc w:val="both"/>
              <w:rPr>
                <w:rFonts w:eastAsia="Times New Roman" w:cs="Calibri"/>
                <w:noProof/>
              </w:rPr>
            </w:pPr>
            <w:r>
              <w:rPr>
                <w:noProof/>
              </w:rPr>
              <w:t xml:space="preserve">Število zasebnih lastniških stanovanj, obnovljenih za ciljne skupine, ki nimajo finančnih sredstev za izvedbo sanacijskih del. </w:t>
            </w:r>
          </w:p>
        </w:tc>
      </w:tr>
      <w:tr w:rsidR="00F24946" w14:paraId="05FD9A8C" w14:textId="77777777">
        <w:trPr>
          <w:trHeight w:val="420"/>
        </w:trPr>
        <w:tc>
          <w:tcPr>
            <w:tcW w:w="1134" w:type="dxa"/>
            <w:shd w:val="clear" w:color="auto" w:fill="C5EFCE"/>
            <w:vAlign w:val="center"/>
            <w:hideMark/>
          </w:tcPr>
          <w:p w14:paraId="539645A1" w14:textId="77777777" w:rsidR="00F24946" w:rsidRDefault="00613B06">
            <w:pPr>
              <w:pStyle w:val="P68B1DB1-Normal7"/>
              <w:spacing w:after="0" w:line="240" w:lineRule="auto"/>
              <w:jc w:val="center"/>
              <w:rPr>
                <w:rFonts w:eastAsia="Times New Roman" w:cs="Calibri"/>
                <w:noProof/>
              </w:rPr>
            </w:pPr>
            <w:r>
              <w:rPr>
                <w:noProof/>
              </w:rPr>
              <w:t>2.13</w:t>
            </w:r>
          </w:p>
        </w:tc>
        <w:tc>
          <w:tcPr>
            <w:tcW w:w="1304" w:type="dxa"/>
            <w:shd w:val="clear" w:color="auto" w:fill="C4EFCE"/>
            <w:vAlign w:val="center"/>
            <w:hideMark/>
          </w:tcPr>
          <w:p w14:paraId="46FA22A1" w14:textId="77777777" w:rsidR="00F24946" w:rsidRDefault="00613B06">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50F5EF9"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9BB19D3" w14:textId="0F34B607" w:rsidR="00F24946" w:rsidRDefault="00613B06">
            <w:pPr>
              <w:pStyle w:val="P68B1DB1-Normal8"/>
              <w:spacing w:after="0" w:line="240" w:lineRule="auto"/>
              <w:jc w:val="center"/>
              <w:rPr>
                <w:rFonts w:eastAsia="Times New Roman" w:cs="Calibri"/>
                <w:noProof/>
              </w:rPr>
            </w:pPr>
            <w:r>
              <w:rPr>
                <w:noProof/>
              </w:rPr>
              <w:t xml:space="preserve">Posegi v javni stanovanjski fond v avtonomni regiji Azori </w:t>
            </w:r>
          </w:p>
        </w:tc>
        <w:tc>
          <w:tcPr>
            <w:tcW w:w="1355" w:type="dxa"/>
            <w:shd w:val="clear" w:color="auto" w:fill="C4EFCE"/>
            <w:vAlign w:val="center"/>
            <w:hideMark/>
          </w:tcPr>
          <w:p w14:paraId="59DA834D"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EBFE09" w14:textId="777777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2E7D69AD" w14:textId="77777777"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4BD37D" w14:textId="77777777" w:rsidR="00F24946" w:rsidRDefault="00613B06">
            <w:pPr>
              <w:pStyle w:val="P68B1DB1-Normal8"/>
              <w:spacing w:after="0" w:line="240" w:lineRule="auto"/>
              <w:jc w:val="center"/>
              <w:rPr>
                <w:rFonts w:eastAsia="Times New Roman" w:cs="Calibri"/>
                <w:noProof/>
              </w:rPr>
            </w:pPr>
            <w:r>
              <w:rPr>
                <w:noProof/>
              </w:rPr>
              <w:t>24</w:t>
            </w:r>
          </w:p>
        </w:tc>
        <w:tc>
          <w:tcPr>
            <w:tcW w:w="473" w:type="dxa"/>
            <w:shd w:val="clear" w:color="auto" w:fill="C4EFCE"/>
            <w:vAlign w:val="center"/>
            <w:hideMark/>
          </w:tcPr>
          <w:p w14:paraId="23FD1A62"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3FE9EF61" w14:textId="77777777" w:rsidR="00F24946" w:rsidRDefault="00613B06">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0C91248C" w14:textId="77777777" w:rsidR="00F24946" w:rsidRDefault="00613B06">
            <w:pPr>
              <w:pStyle w:val="P68B1DB1-Normal8"/>
              <w:spacing w:after="0" w:line="240" w:lineRule="auto"/>
              <w:jc w:val="both"/>
              <w:rPr>
                <w:rFonts w:eastAsia="Times New Roman" w:cs="Calibri"/>
                <w:noProof/>
              </w:rPr>
            </w:pPr>
            <w:r>
              <w:rPr>
                <w:noProof/>
              </w:rPr>
              <w:t xml:space="preserve">Število ukrepov, po potrebi vključno z urbanizacijo zemljišč, z dokončanimi deli za povečanje fonda socialnih stanovanj. </w:t>
            </w:r>
          </w:p>
          <w:p w14:paraId="3733CD33" w14:textId="77777777" w:rsidR="00F24946" w:rsidRDefault="00613B06">
            <w:pPr>
              <w:pStyle w:val="P68B1DB1-Normal8"/>
              <w:spacing w:after="0" w:line="240" w:lineRule="auto"/>
              <w:jc w:val="both"/>
              <w:rPr>
                <w:rFonts w:eastAsia="Times New Roman" w:cs="Calibri"/>
                <w:noProof/>
              </w:rPr>
            </w:pPr>
            <w:r>
              <w:rPr>
                <w:noProof/>
              </w:rPr>
              <w:t>Kadar gre za novo gradnjo, morajo biti potrebe po primarni energiji za vsaj 20 % nižje od potreb po skoraj nič-energijskih stavbah.</w:t>
            </w:r>
          </w:p>
          <w:p w14:paraId="5953FC29" w14:textId="77777777" w:rsidR="00F24946" w:rsidRDefault="00613B06">
            <w:pPr>
              <w:pStyle w:val="P68B1DB1-Normal8"/>
              <w:spacing w:after="0" w:line="240" w:lineRule="auto"/>
              <w:jc w:val="both"/>
              <w:rPr>
                <w:rFonts w:eastAsia="Times New Roman" w:cs="Calibri"/>
                <w:noProof/>
              </w:rPr>
            </w:pPr>
            <w:r>
              <w:rPr>
                <w:noProof/>
              </w:rPr>
              <w:t>Povprečna velikost stanovanj je približno 120 kvadratnih metrov.</w:t>
            </w:r>
          </w:p>
        </w:tc>
      </w:tr>
      <w:tr w:rsidR="00F24946" w14:paraId="14A54223" w14:textId="77777777">
        <w:trPr>
          <w:trHeight w:val="420"/>
        </w:trPr>
        <w:tc>
          <w:tcPr>
            <w:tcW w:w="1134" w:type="dxa"/>
            <w:shd w:val="clear" w:color="auto" w:fill="C5EFCE"/>
            <w:vAlign w:val="center"/>
            <w:hideMark/>
          </w:tcPr>
          <w:p w14:paraId="6D1EA4AE" w14:textId="77777777" w:rsidR="00F24946" w:rsidRDefault="00613B06">
            <w:pPr>
              <w:pStyle w:val="P68B1DB1-Normal7"/>
              <w:spacing w:after="0" w:line="240" w:lineRule="auto"/>
              <w:jc w:val="center"/>
              <w:rPr>
                <w:rFonts w:eastAsia="Times New Roman" w:cs="Calibri"/>
                <w:noProof/>
              </w:rPr>
            </w:pPr>
            <w:r>
              <w:rPr>
                <w:noProof/>
              </w:rPr>
              <w:t>2.14</w:t>
            </w:r>
          </w:p>
        </w:tc>
        <w:tc>
          <w:tcPr>
            <w:tcW w:w="1304" w:type="dxa"/>
            <w:shd w:val="clear" w:color="auto" w:fill="C4EFCE"/>
            <w:vAlign w:val="center"/>
            <w:hideMark/>
          </w:tcPr>
          <w:p w14:paraId="4BA08D6A" w14:textId="77777777" w:rsidR="00F24946" w:rsidRDefault="00613B06">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695DEC0E"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335B90A" w14:textId="77777777" w:rsidR="00F24946" w:rsidRDefault="00613B06">
            <w:pPr>
              <w:pStyle w:val="P68B1DB1-Normal8"/>
              <w:spacing w:after="0" w:line="240" w:lineRule="auto"/>
              <w:jc w:val="center"/>
              <w:rPr>
                <w:rFonts w:eastAsia="Times New Roman" w:cs="Calibri"/>
                <w:noProof/>
              </w:rPr>
            </w:pPr>
            <w:r>
              <w:rPr>
                <w:noProof/>
              </w:rPr>
              <w:t xml:space="preserve">Ukrepi v javnem stanovanjskem fondu avtonomne regije Azori – obnova </w:t>
            </w:r>
          </w:p>
        </w:tc>
        <w:tc>
          <w:tcPr>
            <w:tcW w:w="1355" w:type="dxa"/>
            <w:shd w:val="clear" w:color="auto" w:fill="C4EFCE"/>
            <w:vAlign w:val="center"/>
            <w:hideMark/>
          </w:tcPr>
          <w:p w14:paraId="4F089A4F"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814B533" w14:textId="318F9BBD"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6D78199A" w14:textId="6D5675F4" w:rsidR="00F24946" w:rsidRDefault="00613B06">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337B0C00" w14:textId="77777777" w:rsidR="00F24946" w:rsidRDefault="00613B06">
            <w:pPr>
              <w:pStyle w:val="P68B1DB1-Normal8"/>
              <w:spacing w:after="0" w:line="240" w:lineRule="auto"/>
              <w:jc w:val="center"/>
              <w:rPr>
                <w:rFonts w:eastAsia="Times New Roman" w:cs="Calibri"/>
                <w:noProof/>
              </w:rPr>
            </w:pPr>
            <w:r>
              <w:rPr>
                <w:noProof/>
              </w:rPr>
              <w:t>40</w:t>
            </w:r>
          </w:p>
        </w:tc>
        <w:tc>
          <w:tcPr>
            <w:tcW w:w="473" w:type="dxa"/>
            <w:shd w:val="clear" w:color="auto" w:fill="C4EFCE"/>
            <w:vAlign w:val="center"/>
            <w:hideMark/>
          </w:tcPr>
          <w:p w14:paraId="12883AF0"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0F49C1FD" w14:textId="77777777" w:rsidR="00F24946" w:rsidRDefault="00613B06">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1BA3AE40" w14:textId="77777777" w:rsidR="00F24946" w:rsidRDefault="00613B06">
            <w:pPr>
              <w:pStyle w:val="P68B1DB1-Normal8"/>
              <w:spacing w:after="0" w:line="240" w:lineRule="auto"/>
              <w:jc w:val="both"/>
              <w:rPr>
                <w:rFonts w:eastAsia="Times New Roman" w:cs="Calibri"/>
                <w:noProof/>
              </w:rPr>
            </w:pPr>
            <w:r>
              <w:rPr>
                <w:noProof/>
              </w:rPr>
              <w:t xml:space="preserve">Naložba vključuje obnovo ali dokončanje stavb in stanovanj, merjeno s številom intervencij. </w:t>
            </w:r>
          </w:p>
          <w:p w14:paraId="71608E96" w14:textId="77777777" w:rsidR="00F24946" w:rsidRDefault="00613B06">
            <w:pPr>
              <w:pStyle w:val="P68B1DB1-Normal8"/>
              <w:spacing w:after="0" w:line="240" w:lineRule="auto"/>
              <w:jc w:val="both"/>
              <w:rPr>
                <w:rFonts w:eastAsia="Times New Roman" w:cs="Calibri"/>
                <w:noProof/>
              </w:rPr>
            </w:pPr>
            <w:r>
              <w:rPr>
                <w:noProof/>
              </w:rPr>
              <w:t>Intervencije vključujejo:</w:t>
            </w:r>
          </w:p>
          <w:p w14:paraId="204AF952" w14:textId="77777777" w:rsidR="00F24946" w:rsidRDefault="00613B06">
            <w:pPr>
              <w:pStyle w:val="P68B1DB1-Normal8"/>
              <w:spacing w:after="0" w:line="240" w:lineRule="auto"/>
              <w:jc w:val="both"/>
              <w:rPr>
                <w:rFonts w:eastAsia="Times New Roman" w:cs="Calibri"/>
                <w:noProof/>
              </w:rPr>
            </w:pPr>
            <w:r>
              <w:rPr>
                <w:noProof/>
              </w:rPr>
              <w:t xml:space="preserve">preoblikovanje nestanovanjskih javnih stavb v stanovanja, </w:t>
            </w:r>
          </w:p>
          <w:p w14:paraId="774B76C2" w14:textId="77777777" w:rsidR="00F24946" w:rsidRDefault="00613B06">
            <w:pPr>
              <w:pStyle w:val="P68B1DB1-Normal8"/>
              <w:spacing w:after="0" w:line="240" w:lineRule="auto"/>
              <w:jc w:val="both"/>
              <w:rPr>
                <w:rFonts w:eastAsia="Times New Roman" w:cs="Calibri"/>
                <w:noProof/>
              </w:rPr>
            </w:pPr>
            <w:r>
              <w:rPr>
                <w:noProof/>
              </w:rPr>
              <w:t>Finančna podpora za preoblikovanje degradiranih socialnih stavb (Bairros Sociais)</w:t>
            </w:r>
          </w:p>
          <w:p w14:paraId="2517E49E" w14:textId="77777777" w:rsidR="00F24946" w:rsidRDefault="00613B06">
            <w:pPr>
              <w:pStyle w:val="P68B1DB1-Normal8"/>
              <w:spacing w:after="0" w:line="240" w:lineRule="auto"/>
              <w:jc w:val="both"/>
              <w:rPr>
                <w:rFonts w:eastAsia="Times New Roman" w:cs="Calibri"/>
                <w:noProof/>
              </w:rPr>
            </w:pPr>
            <w:r>
              <w:rPr>
                <w:noProof/>
              </w:rPr>
              <w:t>prenova javnih stanovanj zaradi uskladitve z veljavno stanovanjsko zakonodajo, zlasti z zahtevami glede energijske učinkovitosti.</w:t>
            </w:r>
          </w:p>
          <w:p w14:paraId="20AA49DB" w14:textId="77777777" w:rsidR="00F24946" w:rsidRDefault="00613B06">
            <w:pPr>
              <w:pStyle w:val="P68B1DB1-Normal8"/>
              <w:spacing w:after="0" w:line="240" w:lineRule="auto"/>
              <w:jc w:val="both"/>
              <w:rPr>
                <w:rFonts w:eastAsia="Times New Roman" w:cs="Calibri"/>
                <w:noProof/>
              </w:rPr>
            </w:pPr>
            <w:r>
              <w:rPr>
                <w:noProof/>
              </w:rPr>
              <w:t>Prenove za energijsko učinkovitost v povprečju dosežejo vsaj srednje temeljito prenovo, kot je opredeljena v Priporočilu Komisije o prenovi stavb (EU) 2019/786.</w:t>
            </w:r>
          </w:p>
          <w:p w14:paraId="3FE022D6" w14:textId="77777777" w:rsidR="00F24946" w:rsidRDefault="00613B06">
            <w:pPr>
              <w:pStyle w:val="P68B1DB1-Normal8"/>
              <w:spacing w:after="0" w:line="240" w:lineRule="auto"/>
              <w:jc w:val="both"/>
              <w:rPr>
                <w:rFonts w:eastAsia="Times New Roman" w:cs="Calibri"/>
                <w:noProof/>
              </w:rPr>
            </w:pPr>
            <w:r>
              <w:rPr>
                <w:noProof/>
              </w:rPr>
              <w:t>Povprečna velikost zadevnega stanovanja je približno 100 kvadratnih metrov.</w:t>
            </w:r>
          </w:p>
        </w:tc>
      </w:tr>
      <w:tr w:rsidR="00F24946" w14:paraId="0FFD0E64" w14:textId="77777777">
        <w:trPr>
          <w:trHeight w:val="2824"/>
        </w:trPr>
        <w:tc>
          <w:tcPr>
            <w:tcW w:w="1134" w:type="dxa"/>
            <w:shd w:val="clear" w:color="auto" w:fill="C5EFCE"/>
            <w:vAlign w:val="center"/>
            <w:hideMark/>
          </w:tcPr>
          <w:p w14:paraId="55203759" w14:textId="77777777" w:rsidR="00F24946" w:rsidRDefault="00613B06">
            <w:pPr>
              <w:pStyle w:val="P68B1DB1-Normal7"/>
              <w:spacing w:after="0" w:line="240" w:lineRule="auto"/>
              <w:jc w:val="center"/>
              <w:rPr>
                <w:rFonts w:eastAsia="Times New Roman" w:cs="Calibri"/>
                <w:noProof/>
              </w:rPr>
            </w:pPr>
            <w:r>
              <w:rPr>
                <w:noProof/>
              </w:rPr>
              <w:t>2.16</w:t>
            </w:r>
          </w:p>
        </w:tc>
        <w:tc>
          <w:tcPr>
            <w:tcW w:w="1304" w:type="dxa"/>
            <w:shd w:val="clear" w:color="auto" w:fill="C4EFCE"/>
            <w:vAlign w:val="center"/>
            <w:hideMark/>
          </w:tcPr>
          <w:p w14:paraId="4FF83330" w14:textId="77777777" w:rsidR="00F24946" w:rsidRDefault="00613B06">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7FD09AD1"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0D030BA" w14:textId="77777777" w:rsidR="00F24946" w:rsidRDefault="00613B06">
            <w:pPr>
              <w:pStyle w:val="P68B1DB1-Normal8"/>
              <w:spacing w:after="0" w:line="240" w:lineRule="auto"/>
              <w:jc w:val="center"/>
              <w:rPr>
                <w:rFonts w:eastAsia="Times New Roman" w:cs="Calibri"/>
                <w:noProof/>
              </w:rPr>
            </w:pPr>
            <w:r>
              <w:rPr>
                <w:noProof/>
              </w:rPr>
              <w:t xml:space="preserve">Ukrepi v javnem stanovanjskem fondu avtonomne regije Azori – obnova </w:t>
            </w:r>
          </w:p>
        </w:tc>
        <w:tc>
          <w:tcPr>
            <w:tcW w:w="1355" w:type="dxa"/>
            <w:shd w:val="clear" w:color="auto" w:fill="C4EFCE"/>
            <w:vAlign w:val="center"/>
            <w:hideMark/>
          </w:tcPr>
          <w:p w14:paraId="4DE9F928"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408461B" w14:textId="4C0E6877"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6C763F31" w14:textId="77777777" w:rsidR="00F24946" w:rsidRDefault="00613B06">
            <w:pPr>
              <w:pStyle w:val="P68B1DB1-Normal8"/>
              <w:spacing w:after="0" w:line="240" w:lineRule="auto"/>
              <w:jc w:val="center"/>
              <w:rPr>
                <w:rFonts w:eastAsia="Times New Roman" w:cs="Calibri"/>
                <w:noProof/>
              </w:rPr>
            </w:pPr>
            <w:r>
              <w:rPr>
                <w:noProof/>
              </w:rPr>
              <w:t>40</w:t>
            </w:r>
          </w:p>
        </w:tc>
        <w:tc>
          <w:tcPr>
            <w:tcW w:w="897" w:type="dxa"/>
            <w:shd w:val="clear" w:color="auto" w:fill="C4EFCE"/>
            <w:vAlign w:val="center"/>
            <w:hideMark/>
          </w:tcPr>
          <w:p w14:paraId="0F631C49" w14:textId="32CD02EE" w:rsidR="00F24946" w:rsidRDefault="00613B06">
            <w:pPr>
              <w:pStyle w:val="P68B1DB1-Normal8"/>
              <w:spacing w:after="0" w:line="240" w:lineRule="auto"/>
              <w:jc w:val="center"/>
              <w:rPr>
                <w:rFonts w:eastAsia="Times New Roman" w:cs="Calibri"/>
                <w:noProof/>
              </w:rPr>
            </w:pPr>
            <w:r>
              <w:rPr>
                <w:noProof/>
              </w:rPr>
              <w:t>101</w:t>
            </w:r>
          </w:p>
        </w:tc>
        <w:tc>
          <w:tcPr>
            <w:tcW w:w="473" w:type="dxa"/>
            <w:shd w:val="clear" w:color="auto" w:fill="C4EFCE"/>
            <w:vAlign w:val="center"/>
            <w:hideMark/>
          </w:tcPr>
          <w:p w14:paraId="6840DC22"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1B49E65C" w14:textId="77777777" w:rsidR="00F24946" w:rsidRDefault="00613B06">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7D17215F" w14:textId="091C177D" w:rsidR="00F24946" w:rsidRDefault="00613B06">
            <w:pPr>
              <w:pStyle w:val="P68B1DB1-Normal8"/>
              <w:spacing w:after="0" w:line="240" w:lineRule="auto"/>
              <w:jc w:val="both"/>
              <w:rPr>
                <w:rFonts w:eastAsia="Times New Roman" w:cs="Calibri"/>
                <w:noProof/>
              </w:rPr>
            </w:pPr>
            <w:r>
              <w:rPr>
                <w:noProof/>
              </w:rPr>
              <w:t xml:space="preserve">Naložba vključuje obnovo ali dokončanje stavb in stanovanj, merjeno s številom intervencij, in končanimi deli. </w:t>
            </w:r>
          </w:p>
          <w:p w14:paraId="7B68446D" w14:textId="11D8397B" w:rsidR="00F24946" w:rsidRDefault="00613B06">
            <w:pPr>
              <w:pStyle w:val="P68B1DB1-Normal8"/>
              <w:spacing w:after="0" w:line="240" w:lineRule="auto"/>
              <w:jc w:val="both"/>
              <w:rPr>
                <w:rFonts w:eastAsia="Times New Roman" w:cs="Calibri"/>
                <w:noProof/>
              </w:rPr>
            </w:pPr>
            <w:r>
              <w:rPr>
                <w:noProof/>
              </w:rPr>
              <w:t>Intervencije lahko vključujejo:</w:t>
            </w:r>
          </w:p>
          <w:p w14:paraId="6A1600CE" w14:textId="3C884396" w:rsidR="00F24946" w:rsidRDefault="00613B06">
            <w:pPr>
              <w:pStyle w:val="P68B1DB1-Normal8"/>
              <w:spacing w:after="0" w:line="240" w:lineRule="auto"/>
              <w:jc w:val="both"/>
              <w:rPr>
                <w:rFonts w:eastAsia="Times New Roman" w:cs="Calibri"/>
                <w:noProof/>
              </w:rPr>
            </w:pPr>
            <w:r>
              <w:rPr>
                <w:noProof/>
              </w:rPr>
              <w:t xml:space="preserve">preoblikovanje nestanovanjskih javnih stavb v stanovanja, </w:t>
            </w:r>
          </w:p>
          <w:p w14:paraId="6929DEBD" w14:textId="5295AB7B" w:rsidR="00F24946" w:rsidRDefault="00613B06">
            <w:pPr>
              <w:pStyle w:val="P68B1DB1-Normal8"/>
              <w:spacing w:after="0" w:line="240" w:lineRule="auto"/>
              <w:jc w:val="both"/>
              <w:rPr>
                <w:rFonts w:eastAsia="Times New Roman" w:cs="Calibri"/>
                <w:noProof/>
              </w:rPr>
            </w:pPr>
            <w:r>
              <w:rPr>
                <w:noProof/>
              </w:rPr>
              <w:t>Finančna podpora za preoblikovanje degradiranih socialnih stavb (Bairros Sociais)</w:t>
            </w:r>
          </w:p>
          <w:p w14:paraId="0652D4D3" w14:textId="77777777" w:rsidR="00F24946" w:rsidRDefault="00613B06">
            <w:pPr>
              <w:pStyle w:val="P68B1DB1-Normal8"/>
              <w:spacing w:after="0" w:line="240" w:lineRule="auto"/>
              <w:jc w:val="both"/>
              <w:rPr>
                <w:rFonts w:eastAsia="Times New Roman" w:cs="Calibri"/>
                <w:noProof/>
              </w:rPr>
            </w:pPr>
            <w:r>
              <w:rPr>
                <w:noProof/>
              </w:rPr>
              <w:t>Prenova javnih stanovanj zaradi uskladitve z veljavno stanovanjsko zakonodajo, zlasti z zahtevami glede energijske učinkovitosti.</w:t>
            </w:r>
          </w:p>
          <w:p w14:paraId="32BB662A" w14:textId="77777777" w:rsidR="00F24946" w:rsidRDefault="00613B06">
            <w:pPr>
              <w:pStyle w:val="P68B1DB1-Normal8"/>
              <w:spacing w:after="0" w:line="240" w:lineRule="auto"/>
              <w:jc w:val="both"/>
              <w:rPr>
                <w:rFonts w:eastAsia="Times New Roman" w:cs="Calibri"/>
                <w:noProof/>
              </w:rPr>
            </w:pPr>
            <w:r>
              <w:rPr>
                <w:noProof/>
              </w:rPr>
              <w:t>Prenove za energijsko učinkovitost v povprečju dosežejo vsaj srednje temeljito prenovo, kot je opredeljena v Priporočilu Komisije o prenovi stavb (EU) 2019/786.</w:t>
            </w:r>
          </w:p>
          <w:p w14:paraId="5A4B25FC" w14:textId="77777777" w:rsidR="00F24946" w:rsidRDefault="00613B06">
            <w:pPr>
              <w:pStyle w:val="P68B1DB1-Normal8"/>
              <w:spacing w:after="0" w:line="240" w:lineRule="auto"/>
              <w:jc w:val="both"/>
              <w:rPr>
                <w:rFonts w:eastAsia="Times New Roman" w:cs="Calibri"/>
                <w:noProof/>
              </w:rPr>
            </w:pPr>
            <w:r>
              <w:rPr>
                <w:noProof/>
              </w:rPr>
              <w:t>Povprečna velikost zadevnega stanovanja je približno 100 kvadratnih metrov.</w:t>
            </w:r>
          </w:p>
        </w:tc>
      </w:tr>
      <w:tr w:rsidR="00F24946" w14:paraId="0FEE8F26" w14:textId="77777777">
        <w:trPr>
          <w:trHeight w:val="420"/>
        </w:trPr>
        <w:tc>
          <w:tcPr>
            <w:tcW w:w="1134" w:type="dxa"/>
            <w:shd w:val="clear" w:color="auto" w:fill="C5EFCE"/>
            <w:vAlign w:val="center"/>
            <w:hideMark/>
          </w:tcPr>
          <w:p w14:paraId="7A1DBDA2" w14:textId="77777777" w:rsidR="00F24946" w:rsidRDefault="00613B06">
            <w:pPr>
              <w:pStyle w:val="P68B1DB1-Normal7"/>
              <w:spacing w:after="0" w:line="240" w:lineRule="auto"/>
              <w:jc w:val="center"/>
              <w:rPr>
                <w:rFonts w:eastAsia="Times New Roman" w:cs="Calibri"/>
                <w:noProof/>
              </w:rPr>
            </w:pPr>
            <w:r>
              <w:rPr>
                <w:noProof/>
              </w:rPr>
              <w:t>2.17</w:t>
            </w:r>
          </w:p>
        </w:tc>
        <w:tc>
          <w:tcPr>
            <w:tcW w:w="1304" w:type="dxa"/>
            <w:shd w:val="clear" w:color="auto" w:fill="C4EFCE"/>
            <w:vAlign w:val="center"/>
            <w:hideMark/>
          </w:tcPr>
          <w:p w14:paraId="6200EF9A" w14:textId="77777777" w:rsidR="00F24946" w:rsidRDefault="00613B06">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58F4DB9C"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499C265" w14:textId="77777777" w:rsidR="00F24946" w:rsidRDefault="00613B06">
            <w:pPr>
              <w:pStyle w:val="P68B1DB1-Normal8"/>
              <w:spacing w:after="0" w:line="240" w:lineRule="auto"/>
              <w:jc w:val="center"/>
              <w:rPr>
                <w:rFonts w:eastAsia="Times New Roman" w:cs="Calibri"/>
                <w:noProof/>
              </w:rPr>
            </w:pPr>
            <w:r>
              <w:rPr>
                <w:noProof/>
              </w:rPr>
              <w:t>Ukrepi v javnem stanovanjskem fondu avtonomne regije Azori – gradnja stavb</w:t>
            </w:r>
          </w:p>
        </w:tc>
        <w:tc>
          <w:tcPr>
            <w:tcW w:w="1355" w:type="dxa"/>
            <w:shd w:val="clear" w:color="auto" w:fill="C4EFCE"/>
            <w:vAlign w:val="center"/>
            <w:hideMark/>
          </w:tcPr>
          <w:p w14:paraId="59C3648C"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7F5301E" w14:textId="5FCA7618"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5443BFE5" w14:textId="7DF628DE" w:rsidR="00F24946" w:rsidRDefault="00613B06">
            <w:pPr>
              <w:pStyle w:val="P68B1DB1-Normal8"/>
              <w:spacing w:after="0" w:line="240" w:lineRule="auto"/>
              <w:jc w:val="center"/>
              <w:rPr>
                <w:rFonts w:eastAsia="Times New Roman" w:cs="Calibri"/>
                <w:noProof/>
              </w:rPr>
            </w:pPr>
            <w:r>
              <w:rPr>
                <w:noProof/>
              </w:rPr>
              <w:t>24</w:t>
            </w:r>
          </w:p>
        </w:tc>
        <w:tc>
          <w:tcPr>
            <w:tcW w:w="897" w:type="dxa"/>
            <w:shd w:val="clear" w:color="auto" w:fill="C4EFCE"/>
            <w:vAlign w:val="center"/>
            <w:hideMark/>
          </w:tcPr>
          <w:p w14:paraId="46259B98" w14:textId="678AC6A1" w:rsidR="00F24946" w:rsidRDefault="00613B06">
            <w:pPr>
              <w:pStyle w:val="P68B1DB1-Normal8"/>
              <w:spacing w:after="0" w:line="240" w:lineRule="auto"/>
              <w:jc w:val="center"/>
              <w:rPr>
                <w:rFonts w:eastAsia="Times New Roman" w:cs="Calibri"/>
                <w:noProof/>
              </w:rPr>
            </w:pPr>
            <w:r>
              <w:rPr>
                <w:noProof/>
              </w:rPr>
              <w:t>100</w:t>
            </w:r>
          </w:p>
        </w:tc>
        <w:tc>
          <w:tcPr>
            <w:tcW w:w="473" w:type="dxa"/>
            <w:shd w:val="clear" w:color="auto" w:fill="C4EFCE"/>
            <w:vAlign w:val="center"/>
            <w:hideMark/>
          </w:tcPr>
          <w:p w14:paraId="2BCEE32C"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3AEDD75E" w14:textId="77777777" w:rsidR="00F24946" w:rsidRDefault="00613B06">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516BF675" w14:textId="77777777" w:rsidR="00F24946" w:rsidRDefault="00613B06">
            <w:pPr>
              <w:pStyle w:val="P68B1DB1-Normal8"/>
              <w:spacing w:after="0" w:line="240" w:lineRule="auto"/>
              <w:jc w:val="both"/>
              <w:rPr>
                <w:rFonts w:eastAsia="Times New Roman" w:cs="Calibri"/>
                <w:noProof/>
              </w:rPr>
            </w:pPr>
            <w:r>
              <w:rPr>
                <w:noProof/>
              </w:rPr>
              <w:t xml:space="preserve">Število ukrepov, po potrebi vključno z urbanizacijo zemljišč, z dokončanimi deli za povečanje fonda socialnih stanovanj. </w:t>
            </w:r>
          </w:p>
          <w:p w14:paraId="35DAC105" w14:textId="77777777" w:rsidR="00F24946" w:rsidRDefault="00613B06">
            <w:pPr>
              <w:pStyle w:val="P68B1DB1-Normal8"/>
              <w:spacing w:after="0" w:line="240" w:lineRule="auto"/>
              <w:jc w:val="both"/>
              <w:rPr>
                <w:rFonts w:eastAsia="Times New Roman" w:cs="Calibri"/>
                <w:noProof/>
              </w:rPr>
            </w:pPr>
            <w:r>
              <w:rPr>
                <w:noProof/>
              </w:rPr>
              <w:t>Kadar gre za novo gradnjo, morajo biti potrebe po primarni energiji za vsaj 20 % nižje od potreb po skoraj nič-energijskih stavbah.</w:t>
            </w:r>
          </w:p>
          <w:p w14:paraId="38B842FC" w14:textId="0042F4F2" w:rsidR="00F24946" w:rsidRDefault="00613B06">
            <w:pPr>
              <w:pStyle w:val="P68B1DB1-Normal8"/>
              <w:spacing w:after="0" w:line="240" w:lineRule="auto"/>
              <w:jc w:val="both"/>
              <w:rPr>
                <w:rFonts w:eastAsia="Times New Roman" w:cs="Calibri"/>
                <w:noProof/>
              </w:rPr>
            </w:pPr>
            <w:r>
              <w:rPr>
                <w:noProof/>
              </w:rPr>
              <w:t>Povprečna velikost stanovanj je približno 120 kvadratnih metrov.</w:t>
            </w:r>
          </w:p>
        </w:tc>
      </w:tr>
      <w:tr w:rsidR="00F24946" w14:paraId="25FEA8B5" w14:textId="77777777">
        <w:trPr>
          <w:trHeight w:val="831"/>
        </w:trPr>
        <w:tc>
          <w:tcPr>
            <w:tcW w:w="1134" w:type="dxa"/>
            <w:shd w:val="clear" w:color="auto" w:fill="C5EFCE"/>
            <w:vAlign w:val="center"/>
            <w:hideMark/>
          </w:tcPr>
          <w:p w14:paraId="4DF650DD" w14:textId="77777777" w:rsidR="00F24946" w:rsidRDefault="00613B06">
            <w:pPr>
              <w:pStyle w:val="P68B1DB1-Normal7"/>
              <w:spacing w:after="0" w:line="240" w:lineRule="auto"/>
              <w:jc w:val="center"/>
              <w:rPr>
                <w:rFonts w:eastAsia="Times New Roman" w:cs="Calibri"/>
                <w:noProof/>
              </w:rPr>
            </w:pPr>
            <w:r>
              <w:rPr>
                <w:noProof/>
              </w:rPr>
              <w:t>2.18</w:t>
            </w:r>
          </w:p>
        </w:tc>
        <w:tc>
          <w:tcPr>
            <w:tcW w:w="1304" w:type="dxa"/>
            <w:shd w:val="clear" w:color="auto" w:fill="C4EFCE"/>
            <w:vAlign w:val="center"/>
            <w:hideMark/>
          </w:tcPr>
          <w:p w14:paraId="7D8900A1" w14:textId="77777777" w:rsidR="00F24946" w:rsidRDefault="00613B06">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BEA123C" w14:textId="77777777" w:rsidR="00F24946" w:rsidRDefault="00613B06">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DCA3115" w14:textId="77777777" w:rsidR="00F24946" w:rsidRDefault="00613B06">
            <w:pPr>
              <w:pStyle w:val="P68B1DB1-Normal8"/>
              <w:spacing w:after="0" w:line="240" w:lineRule="auto"/>
              <w:jc w:val="center"/>
              <w:rPr>
                <w:rFonts w:eastAsia="Times New Roman" w:cs="Calibri"/>
                <w:noProof/>
              </w:rPr>
            </w:pPr>
            <w:r>
              <w:rPr>
                <w:noProof/>
              </w:rPr>
              <w:t>Ukrepi v javnem stanovanjskem fondu avtonomne regije Azori – obnova</w:t>
            </w:r>
          </w:p>
        </w:tc>
        <w:tc>
          <w:tcPr>
            <w:tcW w:w="1355" w:type="dxa"/>
            <w:shd w:val="clear" w:color="auto" w:fill="C4EFCE"/>
            <w:vAlign w:val="center"/>
            <w:hideMark/>
          </w:tcPr>
          <w:p w14:paraId="40C9CFB1" w14:textId="77777777" w:rsidR="00F24946" w:rsidRDefault="00613B06">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93183B5" w14:textId="752160E4" w:rsidR="00F24946" w:rsidRDefault="00613B06">
            <w:pPr>
              <w:pStyle w:val="P68B1DB1-Normal8"/>
              <w:spacing w:after="0" w:line="240" w:lineRule="auto"/>
              <w:jc w:val="center"/>
              <w:rPr>
                <w:rFonts w:eastAsia="Times New Roman" w:cs="Calibri"/>
                <w:noProof/>
              </w:rPr>
            </w:pPr>
            <w:r>
              <w:rPr>
                <w:noProof/>
              </w:rPr>
              <w:t>Število</w:t>
            </w:r>
          </w:p>
        </w:tc>
        <w:tc>
          <w:tcPr>
            <w:tcW w:w="1134" w:type="dxa"/>
            <w:shd w:val="clear" w:color="auto" w:fill="C4EFCE"/>
            <w:vAlign w:val="center"/>
            <w:hideMark/>
          </w:tcPr>
          <w:p w14:paraId="1B967865" w14:textId="51F3039A" w:rsidR="00F24946" w:rsidRDefault="00613B06">
            <w:pPr>
              <w:pStyle w:val="P68B1DB1-Normal8"/>
              <w:spacing w:after="0" w:line="240" w:lineRule="auto"/>
              <w:jc w:val="center"/>
              <w:rPr>
                <w:rFonts w:eastAsia="Times New Roman" w:cs="Calibri"/>
                <w:noProof/>
              </w:rPr>
            </w:pPr>
            <w:r>
              <w:rPr>
                <w:noProof/>
              </w:rPr>
              <w:t>101</w:t>
            </w:r>
          </w:p>
        </w:tc>
        <w:tc>
          <w:tcPr>
            <w:tcW w:w="897" w:type="dxa"/>
            <w:shd w:val="clear" w:color="auto" w:fill="C4EFCE"/>
            <w:vAlign w:val="center"/>
            <w:hideMark/>
          </w:tcPr>
          <w:p w14:paraId="769572A9" w14:textId="49DD8B07" w:rsidR="00F24946" w:rsidRDefault="00613B06">
            <w:pPr>
              <w:pStyle w:val="P68B1DB1-Normal8"/>
              <w:spacing w:after="0" w:line="240" w:lineRule="auto"/>
              <w:jc w:val="center"/>
              <w:rPr>
                <w:rFonts w:eastAsia="Times New Roman" w:cs="Calibri"/>
                <w:noProof/>
              </w:rPr>
            </w:pPr>
            <w:r>
              <w:rPr>
                <w:noProof/>
              </w:rPr>
              <w:t>602</w:t>
            </w:r>
          </w:p>
        </w:tc>
        <w:tc>
          <w:tcPr>
            <w:tcW w:w="473" w:type="dxa"/>
            <w:shd w:val="clear" w:color="auto" w:fill="C4EFCE"/>
            <w:vAlign w:val="center"/>
            <w:hideMark/>
          </w:tcPr>
          <w:p w14:paraId="5E5CB188" w14:textId="77777777" w:rsidR="00F24946" w:rsidRDefault="00613B06">
            <w:pPr>
              <w:pStyle w:val="P68B1DB1-Normal8"/>
              <w:spacing w:after="0" w:line="240" w:lineRule="auto"/>
              <w:jc w:val="center"/>
              <w:rPr>
                <w:rFonts w:eastAsia="Times New Roman" w:cs="Calibri"/>
                <w:noProof/>
              </w:rPr>
            </w:pPr>
            <w:r>
              <w:rPr>
                <w:noProof/>
              </w:rPr>
              <w:t>Q4</w:t>
            </w:r>
          </w:p>
        </w:tc>
        <w:tc>
          <w:tcPr>
            <w:tcW w:w="625" w:type="dxa"/>
            <w:shd w:val="clear" w:color="auto" w:fill="C4EFCE"/>
            <w:vAlign w:val="center"/>
            <w:hideMark/>
          </w:tcPr>
          <w:p w14:paraId="25139D3A" w14:textId="77777777" w:rsidR="00F24946" w:rsidRDefault="00613B06">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7C838658" w14:textId="2AF73229" w:rsidR="00F24946" w:rsidRDefault="00613B06">
            <w:pPr>
              <w:pStyle w:val="P68B1DB1-Normal8"/>
              <w:spacing w:after="0" w:line="240" w:lineRule="auto"/>
              <w:jc w:val="both"/>
              <w:rPr>
                <w:rFonts w:eastAsia="Times New Roman" w:cs="Calibri"/>
                <w:noProof/>
              </w:rPr>
            </w:pPr>
            <w:r>
              <w:rPr>
                <w:noProof/>
              </w:rPr>
              <w:t xml:space="preserve">Naložba vključuje obnovo ali dokončanje stavb in stanovanj, merjeno s številom intervencij. </w:t>
            </w:r>
          </w:p>
          <w:p w14:paraId="5CC5DAB9" w14:textId="0CE72A03" w:rsidR="00F24946" w:rsidRDefault="00613B06">
            <w:pPr>
              <w:pStyle w:val="P68B1DB1-Normal8"/>
              <w:spacing w:after="0" w:line="240" w:lineRule="auto"/>
              <w:jc w:val="both"/>
              <w:rPr>
                <w:rFonts w:eastAsia="Times New Roman" w:cs="Calibri"/>
                <w:noProof/>
              </w:rPr>
            </w:pPr>
            <w:r>
              <w:rPr>
                <w:noProof/>
              </w:rPr>
              <w:t>Intervencije lahko vključujejo:</w:t>
            </w:r>
          </w:p>
          <w:p w14:paraId="2D64D5AE" w14:textId="684C0690" w:rsidR="00F24946" w:rsidRDefault="00613B06">
            <w:pPr>
              <w:pStyle w:val="P68B1DB1-Normal8"/>
              <w:spacing w:after="0" w:line="240" w:lineRule="auto"/>
              <w:jc w:val="both"/>
              <w:rPr>
                <w:rFonts w:eastAsia="Times New Roman" w:cs="Calibri"/>
                <w:noProof/>
              </w:rPr>
            </w:pPr>
            <w:r>
              <w:rPr>
                <w:noProof/>
              </w:rPr>
              <w:t xml:space="preserve">preoblikovanje nestanovanjskih javnih stavb v stanovanja, </w:t>
            </w:r>
          </w:p>
          <w:p w14:paraId="10665253" w14:textId="532B6F1F" w:rsidR="00F24946" w:rsidRDefault="00613B06">
            <w:pPr>
              <w:pStyle w:val="P68B1DB1-Normal8"/>
              <w:spacing w:after="0" w:line="240" w:lineRule="auto"/>
              <w:jc w:val="both"/>
              <w:rPr>
                <w:rFonts w:eastAsia="Times New Roman" w:cs="Calibri"/>
                <w:noProof/>
              </w:rPr>
            </w:pPr>
            <w:r>
              <w:rPr>
                <w:noProof/>
              </w:rPr>
              <w:t xml:space="preserve">— operacionalizacija načrta za spodbujanje najemanja mladih (npr. preoblikovanje lokalne nastanitve – Alojamento Local – v dolgoročni najem, rehabilitacija mestnih središč). </w:t>
            </w:r>
          </w:p>
          <w:p w14:paraId="4070F306" w14:textId="0A1C2EF3" w:rsidR="00F24946" w:rsidRDefault="00613B06">
            <w:pPr>
              <w:pStyle w:val="P68B1DB1-Normal8"/>
              <w:spacing w:after="0" w:line="240" w:lineRule="auto"/>
              <w:jc w:val="both"/>
              <w:rPr>
                <w:rFonts w:eastAsia="Times New Roman" w:cs="Calibri"/>
                <w:noProof/>
              </w:rPr>
            </w:pPr>
            <w:r>
              <w:rPr>
                <w:noProof/>
              </w:rPr>
              <w:t>Finančna podpora za preoblikovanje degradiranih socialnih stavb (Bairros Sociais)</w:t>
            </w:r>
          </w:p>
          <w:p w14:paraId="482801D9" w14:textId="77777777" w:rsidR="00F24946" w:rsidRDefault="00613B06">
            <w:pPr>
              <w:pStyle w:val="P68B1DB1-Normal8"/>
              <w:spacing w:after="0" w:line="240" w:lineRule="auto"/>
              <w:jc w:val="both"/>
              <w:rPr>
                <w:rFonts w:eastAsia="Times New Roman" w:cs="Calibri"/>
                <w:noProof/>
              </w:rPr>
            </w:pPr>
            <w:r>
              <w:rPr>
                <w:noProof/>
              </w:rPr>
              <w:t>prenova javnih stanovanj zaradi uskladitve z veljavno stanovanjsko zakonodajo, zlasti z zahtevami glede energijske učinkovitosti.</w:t>
            </w:r>
          </w:p>
          <w:p w14:paraId="41DBC569" w14:textId="77777777" w:rsidR="00F24946" w:rsidRDefault="00613B06">
            <w:pPr>
              <w:pStyle w:val="P68B1DB1-Normal8"/>
              <w:spacing w:after="0" w:line="240" w:lineRule="auto"/>
              <w:jc w:val="both"/>
              <w:rPr>
                <w:rFonts w:eastAsia="Times New Roman" w:cs="Calibri"/>
                <w:noProof/>
              </w:rPr>
            </w:pPr>
            <w:r>
              <w:rPr>
                <w:noProof/>
              </w:rPr>
              <w:t>Prenove za energijsko učinkovitost v povprečju dosežejo vsaj srednje temeljito prenovo, kot je opredeljena v Priporočilu Komisije o prenovi stavb (EU) 2019/786.</w:t>
            </w:r>
          </w:p>
          <w:p w14:paraId="27313658" w14:textId="77777777" w:rsidR="00F24946" w:rsidRDefault="00613B06">
            <w:pPr>
              <w:pStyle w:val="P68B1DB1-Normal8"/>
              <w:spacing w:after="0" w:line="240" w:lineRule="auto"/>
              <w:jc w:val="both"/>
              <w:rPr>
                <w:rFonts w:eastAsia="Times New Roman" w:cs="Calibri"/>
                <w:noProof/>
              </w:rPr>
            </w:pPr>
            <w:r>
              <w:rPr>
                <w:noProof/>
              </w:rPr>
              <w:t>Povprečna velikost zadevnih stanovanj je približno 100 kvadratnih metrov.</w:t>
            </w:r>
          </w:p>
        </w:tc>
      </w:tr>
      <w:tr w:rsidR="00F24946" w14:paraId="347B37FF" w14:textId="77777777">
        <w:trPr>
          <w:trHeight w:val="1897"/>
        </w:trPr>
        <w:tc>
          <w:tcPr>
            <w:tcW w:w="1134" w:type="dxa"/>
            <w:shd w:val="clear" w:color="auto" w:fill="C4EFCE"/>
            <w:vAlign w:val="center"/>
          </w:tcPr>
          <w:p w14:paraId="55D5B2CB" w14:textId="77777777" w:rsidR="00F24946" w:rsidRDefault="00613B06">
            <w:pPr>
              <w:pStyle w:val="P68B1DB1-Normal7"/>
              <w:spacing w:after="0" w:line="240" w:lineRule="auto"/>
              <w:jc w:val="center"/>
              <w:rPr>
                <w:rFonts w:eastAsia="Times New Roman" w:cs="Calibri"/>
                <w:noProof/>
              </w:rPr>
            </w:pPr>
            <w:r>
              <w:rPr>
                <w:noProof/>
              </w:rPr>
              <w:t>2.19</w:t>
            </w:r>
          </w:p>
        </w:tc>
        <w:tc>
          <w:tcPr>
            <w:tcW w:w="1304" w:type="dxa"/>
            <w:shd w:val="clear" w:color="auto" w:fill="C4EFCE"/>
            <w:vAlign w:val="center"/>
          </w:tcPr>
          <w:p w14:paraId="02390AF0" w14:textId="77777777" w:rsidR="00F24946" w:rsidRDefault="00613B06">
            <w:pPr>
              <w:pStyle w:val="P68B1DB1-Normal8"/>
              <w:spacing w:after="0" w:line="240" w:lineRule="auto"/>
              <w:jc w:val="center"/>
              <w:rPr>
                <w:rFonts w:eastAsia="Times New Roman" w:cs="Calibri"/>
                <w:noProof/>
              </w:rPr>
            </w:pPr>
            <w:r>
              <w:rPr>
                <w:noProof/>
              </w:rPr>
              <w:t>Re-C02-r04</w:t>
            </w:r>
          </w:p>
        </w:tc>
        <w:tc>
          <w:tcPr>
            <w:tcW w:w="1077" w:type="dxa"/>
            <w:shd w:val="clear" w:color="auto" w:fill="C4EFCE"/>
            <w:vAlign w:val="center"/>
          </w:tcPr>
          <w:p w14:paraId="61654FF5" w14:textId="77777777" w:rsidR="00F24946" w:rsidRDefault="00613B06">
            <w:pPr>
              <w:pStyle w:val="P68B1DB1-Normal8"/>
              <w:spacing w:after="0" w:line="240" w:lineRule="auto"/>
              <w:jc w:val="center"/>
              <w:rPr>
                <w:rFonts w:eastAsia="Times New Roman" w:cs="Calibri"/>
                <w:noProof/>
              </w:rPr>
            </w:pPr>
            <w:r>
              <w:rPr>
                <w:noProof/>
              </w:rPr>
              <w:t>M</w:t>
            </w:r>
          </w:p>
        </w:tc>
        <w:tc>
          <w:tcPr>
            <w:tcW w:w="2026" w:type="dxa"/>
            <w:shd w:val="clear" w:color="auto" w:fill="C4EFCE"/>
            <w:vAlign w:val="center"/>
          </w:tcPr>
          <w:p w14:paraId="06B961BF" w14:textId="77777777" w:rsidR="00F24946" w:rsidRDefault="00613B06">
            <w:pPr>
              <w:pStyle w:val="P68B1DB1-Normal9"/>
              <w:spacing w:after="0" w:line="240" w:lineRule="auto"/>
              <w:rPr>
                <w:rFonts w:eastAsia="Times New Roman" w:cs="Calibri"/>
                <w:noProof/>
                <w:sz w:val="16"/>
              </w:rPr>
            </w:pPr>
            <w:r>
              <w:rPr>
                <w:noProof/>
                <w:sz w:val="16"/>
              </w:rPr>
              <w:t>Začetek veljavnosti uredbe-zakona o odobritvi pravnega okvira za nacionalni nujni in začasni stanovanjski</w:t>
            </w:r>
            <w:r>
              <w:rPr>
                <w:noProof/>
              </w:rPr>
              <w:t xml:space="preserve"> </w:t>
            </w:r>
            <w:r>
              <w:rPr>
                <w:noProof/>
                <w:sz w:val="16"/>
              </w:rPr>
              <w:t>načrt</w:t>
            </w:r>
          </w:p>
        </w:tc>
        <w:tc>
          <w:tcPr>
            <w:tcW w:w="1355" w:type="dxa"/>
            <w:shd w:val="clear" w:color="auto" w:fill="C4EFCE"/>
            <w:vAlign w:val="center"/>
          </w:tcPr>
          <w:p w14:paraId="10E78A8C" w14:textId="77777777" w:rsidR="00F24946" w:rsidRDefault="00613B06">
            <w:pPr>
              <w:pStyle w:val="P68B1DB1-Normal8"/>
              <w:spacing w:after="0" w:line="240" w:lineRule="auto"/>
              <w:rPr>
                <w:rFonts w:eastAsia="Times New Roman" w:cs="Calibri"/>
                <w:noProof/>
              </w:rPr>
            </w:pPr>
            <w:r>
              <w:rPr>
                <w:noProof/>
              </w:rPr>
              <w:t>Začetek veljavnosti zakonske uredbe</w:t>
            </w:r>
          </w:p>
        </w:tc>
        <w:tc>
          <w:tcPr>
            <w:tcW w:w="1021" w:type="dxa"/>
            <w:shd w:val="clear" w:color="auto" w:fill="C4EFCE"/>
            <w:vAlign w:val="center"/>
          </w:tcPr>
          <w:p w14:paraId="1DBACC24" w14:textId="1C8EF36E" w:rsidR="00F24946" w:rsidRDefault="00F24946">
            <w:pPr>
              <w:spacing w:after="0" w:line="240" w:lineRule="auto"/>
              <w:jc w:val="center"/>
              <w:rPr>
                <w:rFonts w:ascii="Calibri" w:eastAsia="Times New Roman" w:hAnsi="Calibri" w:cs="Calibri"/>
                <w:noProof/>
                <w:sz w:val="16"/>
              </w:rPr>
            </w:pPr>
          </w:p>
        </w:tc>
        <w:tc>
          <w:tcPr>
            <w:tcW w:w="1134" w:type="dxa"/>
            <w:shd w:val="clear" w:color="auto" w:fill="C4EFCE"/>
            <w:vAlign w:val="center"/>
          </w:tcPr>
          <w:p w14:paraId="22364C29" w14:textId="331D8C51" w:rsidR="00F24946" w:rsidRDefault="00F24946">
            <w:pPr>
              <w:spacing w:after="0" w:line="240" w:lineRule="auto"/>
              <w:jc w:val="center"/>
              <w:rPr>
                <w:rFonts w:ascii="Calibri" w:eastAsia="Times New Roman" w:hAnsi="Calibri" w:cs="Calibri"/>
                <w:noProof/>
                <w:sz w:val="16"/>
              </w:rPr>
            </w:pPr>
          </w:p>
        </w:tc>
        <w:tc>
          <w:tcPr>
            <w:tcW w:w="897" w:type="dxa"/>
            <w:shd w:val="clear" w:color="auto" w:fill="C4EFCE"/>
            <w:vAlign w:val="center"/>
          </w:tcPr>
          <w:p w14:paraId="18147486" w14:textId="0F9CD299" w:rsidR="00F24946" w:rsidRDefault="00F24946">
            <w:pPr>
              <w:spacing w:after="0" w:line="240" w:lineRule="auto"/>
              <w:jc w:val="center"/>
              <w:rPr>
                <w:rFonts w:ascii="Calibri" w:eastAsia="Times New Roman" w:hAnsi="Calibri" w:cs="Calibri"/>
                <w:noProof/>
                <w:sz w:val="16"/>
              </w:rPr>
            </w:pPr>
          </w:p>
        </w:tc>
        <w:tc>
          <w:tcPr>
            <w:tcW w:w="473" w:type="dxa"/>
            <w:shd w:val="clear" w:color="auto" w:fill="C4EFCE"/>
            <w:vAlign w:val="center"/>
          </w:tcPr>
          <w:p w14:paraId="63C6F1EC" w14:textId="77777777" w:rsidR="00F24946" w:rsidRDefault="00613B06">
            <w:pPr>
              <w:pStyle w:val="P68B1DB1-Normal8"/>
              <w:spacing w:after="0" w:line="240" w:lineRule="auto"/>
              <w:rPr>
                <w:rFonts w:eastAsia="Times New Roman" w:cs="Calibri"/>
                <w:noProof/>
              </w:rPr>
            </w:pPr>
            <w:r>
              <w:rPr>
                <w:noProof/>
              </w:rPr>
              <w:t>Q2</w:t>
            </w:r>
          </w:p>
        </w:tc>
        <w:tc>
          <w:tcPr>
            <w:tcW w:w="625" w:type="dxa"/>
            <w:shd w:val="clear" w:color="auto" w:fill="C4EFCE"/>
            <w:vAlign w:val="center"/>
          </w:tcPr>
          <w:p w14:paraId="623BE23E" w14:textId="77777777" w:rsidR="00F24946" w:rsidRDefault="00613B06">
            <w:pPr>
              <w:pStyle w:val="P68B1DB1-Normal8"/>
              <w:spacing w:after="0" w:line="240" w:lineRule="auto"/>
              <w:rPr>
                <w:rFonts w:eastAsia="Times New Roman" w:cs="Calibri"/>
                <w:noProof/>
              </w:rPr>
            </w:pPr>
            <w:r>
              <w:rPr>
                <w:noProof/>
              </w:rPr>
              <w:t>2021</w:t>
            </w:r>
          </w:p>
        </w:tc>
        <w:tc>
          <w:tcPr>
            <w:tcW w:w="4969" w:type="dxa"/>
            <w:shd w:val="clear" w:color="auto" w:fill="C4EFCE"/>
            <w:vAlign w:val="center"/>
          </w:tcPr>
          <w:p w14:paraId="2E6359DD" w14:textId="77777777" w:rsidR="00F24946" w:rsidRDefault="00613B06">
            <w:pPr>
              <w:pStyle w:val="P68B1DB1-Normal8"/>
              <w:spacing w:after="0" w:line="240" w:lineRule="auto"/>
              <w:jc w:val="both"/>
              <w:rPr>
                <w:rFonts w:eastAsia="Times New Roman" w:cs="Calibri"/>
                <w:noProof/>
              </w:rPr>
            </w:pPr>
            <w:r>
              <w:rPr>
                <w:noProof/>
              </w:rPr>
              <w:t>Uredba-zakon določa strukturo načrta in stanovanjski fond, zlasti kar zadeva upravičene upravičence, stanovanjske rešitve in model financiranja. Poleg pravnega okvira se nacionalni stanovanjski načrt predloži vladi, ki ga tudi odobri, ki vključuje strateško načrtovanje stanovanjskih rešitev, ki jih je treba spodbujati, in potrebno podporo v ta namen, odvisno od lokalnih potreb in posebnosti ter socialno-teritorialne kohezije.</w:t>
            </w:r>
          </w:p>
        </w:tc>
      </w:tr>
      <w:tr w:rsidR="00F24946" w14:paraId="4A43709F" w14:textId="77777777">
        <w:trPr>
          <w:trHeight w:val="982"/>
        </w:trPr>
        <w:tc>
          <w:tcPr>
            <w:tcW w:w="1134" w:type="dxa"/>
            <w:shd w:val="clear" w:color="auto" w:fill="C4EFCE"/>
            <w:vAlign w:val="center"/>
          </w:tcPr>
          <w:p w14:paraId="4CC0270E" w14:textId="60006A58" w:rsidR="00F24946" w:rsidRDefault="00613B06">
            <w:pPr>
              <w:pStyle w:val="P68B1DB1-Normal11"/>
              <w:spacing w:after="0" w:line="240" w:lineRule="auto"/>
              <w:jc w:val="center"/>
              <w:rPr>
                <w:rFonts w:eastAsia="Times New Roman" w:cstheme="minorHAnsi"/>
                <w:noProof/>
              </w:rPr>
            </w:pPr>
            <w:r>
              <w:rPr>
                <w:noProof/>
              </w:rPr>
              <w:t>2.30</w:t>
            </w:r>
          </w:p>
        </w:tc>
        <w:tc>
          <w:tcPr>
            <w:tcW w:w="1304" w:type="dxa"/>
            <w:shd w:val="clear" w:color="auto" w:fill="C4EFCE"/>
            <w:vAlign w:val="center"/>
          </w:tcPr>
          <w:p w14:paraId="02A729EB" w14:textId="0AFCA7AF" w:rsidR="00F24946" w:rsidRDefault="00613B06">
            <w:pPr>
              <w:pStyle w:val="P68B1DB1-Normal12"/>
              <w:spacing w:after="0" w:line="240" w:lineRule="auto"/>
              <w:jc w:val="center"/>
              <w:rPr>
                <w:rFonts w:eastAsia="Times New Roman" w:cstheme="minorHAnsi"/>
                <w:noProof/>
              </w:rPr>
            </w:pPr>
            <w:r>
              <w:rPr>
                <w:noProof/>
              </w:rPr>
              <w:t>Re-C02-i07-RAA</w:t>
            </w:r>
          </w:p>
        </w:tc>
        <w:tc>
          <w:tcPr>
            <w:tcW w:w="1077" w:type="dxa"/>
            <w:shd w:val="clear" w:color="auto" w:fill="C4EFCE"/>
            <w:vAlign w:val="center"/>
          </w:tcPr>
          <w:p w14:paraId="61FFCA13" w14:textId="7B8D2070" w:rsidR="00F24946" w:rsidRDefault="00613B06">
            <w:pPr>
              <w:pStyle w:val="P68B1DB1-Normal12"/>
              <w:spacing w:after="0" w:line="240" w:lineRule="auto"/>
              <w:jc w:val="center"/>
              <w:rPr>
                <w:rFonts w:eastAsia="Times New Roman" w:cstheme="minorHAnsi"/>
                <w:noProof/>
              </w:rPr>
            </w:pPr>
            <w:r>
              <w:rPr>
                <w:noProof/>
              </w:rPr>
              <w:t>T</w:t>
            </w:r>
          </w:p>
        </w:tc>
        <w:tc>
          <w:tcPr>
            <w:tcW w:w="2026" w:type="dxa"/>
            <w:shd w:val="clear" w:color="auto" w:fill="C4EFCE"/>
            <w:vAlign w:val="center"/>
          </w:tcPr>
          <w:p w14:paraId="2CF83377" w14:textId="702263B8" w:rsidR="00F24946" w:rsidRDefault="00613B06">
            <w:pPr>
              <w:pStyle w:val="P68B1DB1-Normal12"/>
              <w:spacing w:after="0" w:line="240" w:lineRule="auto"/>
              <w:rPr>
                <w:rFonts w:eastAsia="Times New Roman" w:cstheme="minorHAnsi"/>
                <w:noProof/>
              </w:rPr>
            </w:pPr>
            <w:r>
              <w:rPr>
                <w:noProof/>
              </w:rPr>
              <w:t>Infrastruktura zemljiških parcel</w:t>
            </w:r>
          </w:p>
        </w:tc>
        <w:tc>
          <w:tcPr>
            <w:tcW w:w="1355" w:type="dxa"/>
            <w:shd w:val="clear" w:color="auto" w:fill="C4EFCE"/>
            <w:vAlign w:val="center"/>
          </w:tcPr>
          <w:p w14:paraId="48DB30AD" w14:textId="77777777" w:rsidR="00F24946" w:rsidRDefault="00F24946">
            <w:pPr>
              <w:spacing w:after="0" w:line="240" w:lineRule="auto"/>
              <w:rPr>
                <w:rFonts w:eastAsia="Times New Roman" w:cstheme="minorHAnsi"/>
                <w:noProof/>
                <w:sz w:val="16"/>
              </w:rPr>
            </w:pPr>
          </w:p>
        </w:tc>
        <w:tc>
          <w:tcPr>
            <w:tcW w:w="1021" w:type="dxa"/>
            <w:shd w:val="clear" w:color="auto" w:fill="C4EFCE"/>
            <w:vAlign w:val="center"/>
          </w:tcPr>
          <w:p w14:paraId="1BE72B86" w14:textId="72586D92" w:rsidR="00F24946" w:rsidRDefault="00613B06">
            <w:pPr>
              <w:pStyle w:val="P68B1DB1-Normal12"/>
              <w:spacing w:after="0" w:line="240" w:lineRule="auto"/>
              <w:jc w:val="center"/>
              <w:rPr>
                <w:rFonts w:eastAsia="Times New Roman" w:cstheme="minorHAnsi"/>
                <w:noProof/>
              </w:rPr>
            </w:pPr>
            <w:r>
              <w:rPr>
                <w:noProof/>
              </w:rPr>
              <w:t>Število</w:t>
            </w:r>
          </w:p>
        </w:tc>
        <w:tc>
          <w:tcPr>
            <w:tcW w:w="1134" w:type="dxa"/>
            <w:shd w:val="clear" w:color="auto" w:fill="C4EFCE"/>
            <w:vAlign w:val="center"/>
          </w:tcPr>
          <w:p w14:paraId="0E7D82E2" w14:textId="45707140" w:rsidR="00F24946" w:rsidRDefault="00613B06">
            <w:pPr>
              <w:pStyle w:val="P68B1DB1-Normal12"/>
              <w:spacing w:after="0" w:line="240" w:lineRule="auto"/>
              <w:jc w:val="center"/>
              <w:rPr>
                <w:rFonts w:eastAsia="Times New Roman" w:cstheme="minorHAnsi"/>
                <w:noProof/>
              </w:rPr>
            </w:pPr>
            <w:r>
              <w:rPr>
                <w:noProof/>
              </w:rPr>
              <w:t>0</w:t>
            </w:r>
          </w:p>
        </w:tc>
        <w:tc>
          <w:tcPr>
            <w:tcW w:w="897" w:type="dxa"/>
            <w:shd w:val="clear" w:color="auto" w:fill="C4EFCE"/>
            <w:vAlign w:val="center"/>
          </w:tcPr>
          <w:p w14:paraId="0012CB5B" w14:textId="05B57DCB" w:rsidR="00F24946" w:rsidRDefault="00613B06">
            <w:pPr>
              <w:pStyle w:val="P68B1DB1-Normal12"/>
              <w:spacing w:after="0" w:line="240" w:lineRule="auto"/>
              <w:jc w:val="center"/>
              <w:rPr>
                <w:rFonts w:eastAsia="Times New Roman" w:cstheme="minorHAnsi"/>
                <w:noProof/>
              </w:rPr>
            </w:pPr>
            <w:r>
              <w:rPr>
                <w:noProof/>
              </w:rPr>
              <w:t>145</w:t>
            </w:r>
          </w:p>
        </w:tc>
        <w:tc>
          <w:tcPr>
            <w:tcW w:w="473" w:type="dxa"/>
            <w:shd w:val="clear" w:color="auto" w:fill="C4EFCE"/>
            <w:vAlign w:val="center"/>
          </w:tcPr>
          <w:p w14:paraId="6C101ED3" w14:textId="1EA78A8C" w:rsidR="00F24946" w:rsidRDefault="00613B06">
            <w:pPr>
              <w:pStyle w:val="P68B1DB1-Normal12"/>
              <w:spacing w:after="0" w:line="240" w:lineRule="auto"/>
              <w:rPr>
                <w:rFonts w:eastAsia="Times New Roman" w:cstheme="minorHAnsi"/>
                <w:noProof/>
              </w:rPr>
            </w:pPr>
            <w:r>
              <w:rPr>
                <w:noProof/>
              </w:rPr>
              <w:t>Q2</w:t>
            </w:r>
          </w:p>
        </w:tc>
        <w:tc>
          <w:tcPr>
            <w:tcW w:w="625" w:type="dxa"/>
            <w:shd w:val="clear" w:color="auto" w:fill="C4EFCE"/>
            <w:vAlign w:val="center"/>
          </w:tcPr>
          <w:p w14:paraId="417B6A68" w14:textId="1C7AE05F" w:rsidR="00F24946" w:rsidRDefault="00613B06">
            <w:pPr>
              <w:pStyle w:val="P68B1DB1-Normal12"/>
              <w:spacing w:after="0" w:line="240" w:lineRule="auto"/>
              <w:rPr>
                <w:rFonts w:eastAsia="Times New Roman" w:cstheme="minorHAnsi"/>
                <w:noProof/>
              </w:rPr>
            </w:pPr>
            <w:r>
              <w:rPr>
                <w:noProof/>
              </w:rPr>
              <w:t>2026</w:t>
            </w:r>
          </w:p>
        </w:tc>
        <w:tc>
          <w:tcPr>
            <w:tcW w:w="4969" w:type="dxa"/>
            <w:shd w:val="clear" w:color="auto" w:fill="C4EFCE"/>
            <w:vAlign w:val="center"/>
          </w:tcPr>
          <w:p w14:paraId="36ADF2AC" w14:textId="5E49F17C" w:rsidR="00F24946" w:rsidRDefault="00613B06">
            <w:pPr>
              <w:pStyle w:val="P68B1DB1-Normal12"/>
              <w:spacing w:after="0" w:line="240" w:lineRule="auto"/>
              <w:jc w:val="both"/>
              <w:rPr>
                <w:rFonts w:eastAsia="Times New Roman" w:cstheme="minorHAnsi"/>
                <w:noProof/>
              </w:rPr>
            </w:pPr>
            <w:r>
              <w:rPr>
                <w:noProof/>
              </w:rPr>
              <w:t>Število zemljiških parcel z infrastrukturo, ki je bila ustvarjena ali izboljšana in dodeljena izbranim kandidatom po izbirnem postopku, v katerem so bili opredeljeni pogoji in zahteve za izbiro. Mladi imajo prednost, kot je določeno v opisu naložbe.</w:t>
            </w:r>
          </w:p>
        </w:tc>
      </w:tr>
      <w:tr w:rsidR="00F24946" w14:paraId="01719C1D" w14:textId="77777777">
        <w:trPr>
          <w:trHeight w:val="981"/>
        </w:trPr>
        <w:tc>
          <w:tcPr>
            <w:tcW w:w="1134" w:type="dxa"/>
            <w:shd w:val="clear" w:color="auto" w:fill="C4EFCE"/>
            <w:vAlign w:val="center"/>
          </w:tcPr>
          <w:p w14:paraId="364FFF3B" w14:textId="22B6B22B" w:rsidR="00F24946" w:rsidRDefault="00613B06">
            <w:pPr>
              <w:pStyle w:val="P68B1DB1-Normal11"/>
              <w:spacing w:after="0" w:line="240" w:lineRule="auto"/>
              <w:jc w:val="center"/>
              <w:rPr>
                <w:rFonts w:cstheme="minorHAnsi"/>
                <w:noProof/>
              </w:rPr>
            </w:pPr>
            <w:r>
              <w:rPr>
                <w:noProof/>
              </w:rPr>
              <w:t>2.31</w:t>
            </w:r>
          </w:p>
        </w:tc>
        <w:tc>
          <w:tcPr>
            <w:tcW w:w="1304" w:type="dxa"/>
            <w:shd w:val="clear" w:color="auto" w:fill="C4EFCE"/>
            <w:vAlign w:val="center"/>
          </w:tcPr>
          <w:p w14:paraId="35FF57B8" w14:textId="021904BB" w:rsidR="00F24946" w:rsidRDefault="00613B06">
            <w:pPr>
              <w:pStyle w:val="P68B1DB1-Normal12"/>
              <w:spacing w:after="0" w:line="240" w:lineRule="auto"/>
              <w:jc w:val="center"/>
              <w:rPr>
                <w:rFonts w:cstheme="minorHAnsi"/>
                <w:noProof/>
              </w:rPr>
            </w:pPr>
            <w:r>
              <w:rPr>
                <w:noProof/>
              </w:rPr>
              <w:t>Re-C02-i08-RAA</w:t>
            </w:r>
          </w:p>
        </w:tc>
        <w:tc>
          <w:tcPr>
            <w:tcW w:w="1077" w:type="dxa"/>
            <w:shd w:val="clear" w:color="auto" w:fill="C4EFCE"/>
            <w:vAlign w:val="center"/>
          </w:tcPr>
          <w:p w14:paraId="1FD50D28" w14:textId="3A075D13" w:rsidR="00F24946" w:rsidRDefault="00613B06">
            <w:pPr>
              <w:pStyle w:val="P68B1DB1-Normal12"/>
              <w:spacing w:after="0" w:line="240" w:lineRule="auto"/>
              <w:jc w:val="center"/>
              <w:rPr>
                <w:rFonts w:cstheme="minorHAnsi"/>
                <w:noProof/>
              </w:rPr>
            </w:pPr>
            <w:r>
              <w:rPr>
                <w:noProof/>
              </w:rPr>
              <w:t>T</w:t>
            </w:r>
          </w:p>
        </w:tc>
        <w:tc>
          <w:tcPr>
            <w:tcW w:w="2026" w:type="dxa"/>
            <w:shd w:val="clear" w:color="auto" w:fill="C4EFCE"/>
            <w:vAlign w:val="center"/>
          </w:tcPr>
          <w:p w14:paraId="4B666CCE" w14:textId="478A7D51" w:rsidR="00F24946" w:rsidRDefault="00613B06">
            <w:pPr>
              <w:pStyle w:val="P68B1DB1-Normal12"/>
              <w:spacing w:after="0" w:line="240" w:lineRule="auto"/>
              <w:rPr>
                <w:rFonts w:cstheme="minorHAnsi"/>
                <w:noProof/>
              </w:rPr>
            </w:pPr>
            <w:r>
              <w:rPr>
                <w:noProof/>
              </w:rPr>
              <w:t>Okrepitev fonda socialnih stanovanj avtonomne regije Azori – zgrajena stanovanja</w:t>
            </w:r>
          </w:p>
        </w:tc>
        <w:tc>
          <w:tcPr>
            <w:tcW w:w="1355" w:type="dxa"/>
            <w:shd w:val="clear" w:color="auto" w:fill="C4EFCE"/>
            <w:vAlign w:val="center"/>
          </w:tcPr>
          <w:p w14:paraId="3368FA4C" w14:textId="77777777" w:rsidR="00F24946" w:rsidRDefault="00F24946">
            <w:pPr>
              <w:spacing w:after="0" w:line="240" w:lineRule="auto"/>
              <w:rPr>
                <w:rFonts w:eastAsia="Times New Roman" w:cstheme="minorHAnsi"/>
                <w:noProof/>
                <w:sz w:val="16"/>
              </w:rPr>
            </w:pPr>
          </w:p>
        </w:tc>
        <w:tc>
          <w:tcPr>
            <w:tcW w:w="1021" w:type="dxa"/>
            <w:shd w:val="clear" w:color="auto" w:fill="C4EFCE"/>
            <w:vAlign w:val="center"/>
          </w:tcPr>
          <w:p w14:paraId="5D56F8D2" w14:textId="26F656FB" w:rsidR="00F24946" w:rsidRDefault="00613B06">
            <w:pPr>
              <w:pStyle w:val="P68B1DB1-Normal12"/>
              <w:spacing w:after="0" w:line="240" w:lineRule="auto"/>
              <w:jc w:val="center"/>
              <w:rPr>
                <w:rFonts w:cstheme="minorHAnsi"/>
                <w:noProof/>
              </w:rPr>
            </w:pPr>
            <w:r>
              <w:rPr>
                <w:noProof/>
              </w:rPr>
              <w:t>Število</w:t>
            </w:r>
          </w:p>
        </w:tc>
        <w:tc>
          <w:tcPr>
            <w:tcW w:w="1134" w:type="dxa"/>
            <w:shd w:val="clear" w:color="auto" w:fill="C4EFCE"/>
            <w:vAlign w:val="center"/>
          </w:tcPr>
          <w:p w14:paraId="6C946781" w14:textId="5373AAC2" w:rsidR="00F24946" w:rsidRDefault="00613B06">
            <w:pPr>
              <w:pStyle w:val="P68B1DB1-Normal12"/>
              <w:spacing w:after="0" w:line="240" w:lineRule="auto"/>
              <w:jc w:val="center"/>
              <w:rPr>
                <w:rFonts w:cstheme="minorHAnsi"/>
                <w:noProof/>
              </w:rPr>
            </w:pPr>
            <w:r>
              <w:rPr>
                <w:noProof/>
              </w:rPr>
              <w:t>0</w:t>
            </w:r>
          </w:p>
        </w:tc>
        <w:tc>
          <w:tcPr>
            <w:tcW w:w="897" w:type="dxa"/>
            <w:shd w:val="clear" w:color="auto" w:fill="C4EFCE"/>
            <w:vAlign w:val="center"/>
          </w:tcPr>
          <w:p w14:paraId="1453AA31" w14:textId="176AAA92" w:rsidR="00F24946" w:rsidRDefault="00613B06">
            <w:pPr>
              <w:pStyle w:val="P68B1DB1-Normal12"/>
              <w:spacing w:after="0" w:line="240" w:lineRule="auto"/>
              <w:jc w:val="center"/>
              <w:rPr>
                <w:rFonts w:cstheme="minorHAnsi"/>
                <w:noProof/>
              </w:rPr>
            </w:pPr>
            <w:r>
              <w:rPr>
                <w:noProof/>
              </w:rPr>
              <w:t>126</w:t>
            </w:r>
          </w:p>
        </w:tc>
        <w:tc>
          <w:tcPr>
            <w:tcW w:w="473" w:type="dxa"/>
            <w:shd w:val="clear" w:color="auto" w:fill="C4EFCE"/>
            <w:vAlign w:val="center"/>
          </w:tcPr>
          <w:p w14:paraId="68B4C3AF" w14:textId="721E7190" w:rsidR="00F24946" w:rsidRDefault="00613B06">
            <w:pPr>
              <w:pStyle w:val="P68B1DB1-Normal12"/>
              <w:spacing w:after="0" w:line="240" w:lineRule="auto"/>
              <w:rPr>
                <w:rFonts w:cstheme="minorHAnsi"/>
                <w:noProof/>
              </w:rPr>
            </w:pPr>
            <w:r>
              <w:rPr>
                <w:noProof/>
              </w:rPr>
              <w:t>Q4</w:t>
            </w:r>
          </w:p>
        </w:tc>
        <w:tc>
          <w:tcPr>
            <w:tcW w:w="625" w:type="dxa"/>
            <w:shd w:val="clear" w:color="auto" w:fill="C4EFCE"/>
            <w:vAlign w:val="center"/>
          </w:tcPr>
          <w:p w14:paraId="79C3FF04" w14:textId="14F788F1" w:rsidR="00F24946" w:rsidRDefault="00613B06">
            <w:pPr>
              <w:pStyle w:val="P68B1DB1-Normal12"/>
              <w:spacing w:after="0" w:line="240" w:lineRule="auto"/>
              <w:rPr>
                <w:rFonts w:cstheme="minorHAnsi"/>
                <w:noProof/>
              </w:rPr>
            </w:pPr>
            <w:r>
              <w:rPr>
                <w:noProof/>
              </w:rPr>
              <w:t>2025</w:t>
            </w:r>
          </w:p>
        </w:tc>
        <w:tc>
          <w:tcPr>
            <w:tcW w:w="4969" w:type="dxa"/>
            <w:shd w:val="clear" w:color="auto" w:fill="C4EFCE"/>
            <w:vAlign w:val="center"/>
          </w:tcPr>
          <w:p w14:paraId="6F1B329D" w14:textId="70FC1EBF" w:rsidR="00F24946" w:rsidRDefault="00613B06">
            <w:pPr>
              <w:pStyle w:val="P68B1DB1-Normal12"/>
              <w:spacing w:after="0" w:line="240" w:lineRule="auto"/>
              <w:jc w:val="both"/>
              <w:rPr>
                <w:rFonts w:cstheme="minorHAnsi"/>
                <w:noProof/>
              </w:rPr>
            </w:pPr>
            <w:r>
              <w:rPr>
                <w:noProof/>
              </w:rPr>
              <w:t xml:space="preserve">Število dokončanih zgrajenih stanovanj. Potrebe po primarni energiji za nove stavbe so za vsaj 20 % nižje od potreb stavb s skoraj nično porabo energije. Povprečna velikost stanovanj je približno 101 m². </w:t>
            </w:r>
          </w:p>
        </w:tc>
      </w:tr>
    </w:tbl>
    <w:p w14:paraId="4EA37B94" w14:textId="77777777" w:rsidR="00F24946" w:rsidRDefault="00F24946">
      <w:pPr>
        <w:spacing w:before="40" w:after="0" w:line="259" w:lineRule="auto"/>
        <w:jc w:val="both"/>
        <w:rPr>
          <w:rFonts w:ascii="Times New Roman" w:eastAsiaTheme="minorEastAsia" w:hAnsi="Times New Roman" w:cs="Times New Roman"/>
          <w:b/>
          <w:noProof/>
          <w:sz w:val="24"/>
        </w:rPr>
      </w:pPr>
    </w:p>
    <w:p w14:paraId="5E20B4D8" w14:textId="77777777" w:rsidR="00F24946" w:rsidRDefault="00F24946">
      <w:pPr>
        <w:spacing w:before="40" w:after="0" w:line="259" w:lineRule="auto"/>
        <w:jc w:val="both"/>
        <w:rPr>
          <w:rFonts w:ascii="Times New Roman" w:eastAsiaTheme="minorEastAsia" w:hAnsi="Times New Roman" w:cs="Times New Roman"/>
          <w:b/>
          <w:noProof/>
          <w:sz w:val="24"/>
        </w:rPr>
      </w:pPr>
    </w:p>
    <w:p w14:paraId="097E5357" w14:textId="77777777" w:rsidR="00F24946" w:rsidRDefault="00F24946">
      <w:pPr>
        <w:spacing w:before="40" w:after="0" w:line="259" w:lineRule="auto"/>
        <w:jc w:val="both"/>
        <w:rPr>
          <w:rFonts w:ascii="Times New Roman" w:eastAsiaTheme="minorEastAsia" w:hAnsi="Times New Roman" w:cs="Times New Roman"/>
          <w:b/>
          <w:noProof/>
          <w:sz w:val="24"/>
        </w:rPr>
      </w:pPr>
    </w:p>
    <w:p w14:paraId="4E113063" w14:textId="77777777" w:rsidR="00F24946" w:rsidRDefault="00F24946">
      <w:pPr>
        <w:spacing w:before="40" w:after="0" w:line="259" w:lineRule="auto"/>
        <w:jc w:val="both"/>
        <w:rPr>
          <w:rFonts w:ascii="Times New Roman" w:eastAsiaTheme="minorEastAsia" w:hAnsi="Times New Roman" w:cs="Times New Roman"/>
          <w:b/>
          <w:noProof/>
          <w:sz w:val="24"/>
        </w:rPr>
        <w:sectPr w:rsidR="00F24946" w:rsidSect="00E00EDD">
          <w:headerReference w:type="even" r:id="rId54"/>
          <w:headerReference w:type="default" r:id="rId55"/>
          <w:footerReference w:type="even" r:id="rId56"/>
          <w:footerReference w:type="default" r:id="rId57"/>
          <w:headerReference w:type="first" r:id="rId58"/>
          <w:footerReference w:type="first" r:id="rId59"/>
          <w:pgSz w:w="16839" w:h="11907" w:orient="landscape"/>
          <w:pgMar w:top="1134" w:right="1134" w:bottom="1134" w:left="1134" w:header="567" w:footer="567" w:gutter="0"/>
          <w:cols w:space="720"/>
          <w:docGrid w:linePitch="360"/>
        </w:sectPr>
      </w:pPr>
    </w:p>
    <w:p w14:paraId="047A1851" w14:textId="77777777" w:rsidR="00F24946" w:rsidRDefault="00F24946">
      <w:pPr>
        <w:spacing w:before="40" w:after="0" w:line="259" w:lineRule="auto"/>
        <w:jc w:val="both"/>
        <w:rPr>
          <w:rFonts w:ascii="Times New Roman" w:eastAsiaTheme="minorEastAsia" w:hAnsi="Times New Roman" w:cs="Times New Roman"/>
          <w:noProof/>
          <w:sz w:val="24"/>
        </w:rPr>
      </w:pPr>
    </w:p>
    <w:p w14:paraId="5B038070" w14:textId="77777777"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B.3. Opis reform in naložb za posojilo</w:t>
      </w:r>
    </w:p>
    <w:p w14:paraId="30633E8D" w14:textId="77777777" w:rsidR="00F24946" w:rsidRDefault="00613B06">
      <w:pPr>
        <w:pStyle w:val="P68B1DB1-Normal5"/>
        <w:spacing w:before="240" w:after="0" w:line="259" w:lineRule="auto"/>
        <w:ind w:left="851"/>
        <w:jc w:val="both"/>
        <w:outlineLvl w:val="3"/>
        <w:rPr>
          <w:rFonts w:eastAsiaTheme="minorEastAsia" w:cs="Times New Roman"/>
          <w:b/>
          <w:noProof/>
        </w:rPr>
      </w:pPr>
      <w:r>
        <w:rPr>
          <w:noProof/>
        </w:rPr>
        <w:t>Naložba RE-C02-i05: Cenovno dostopna javna stanovanja</w:t>
      </w:r>
    </w:p>
    <w:p w14:paraId="6A637658" w14:textId="77777777" w:rsidR="00F24946" w:rsidRDefault="00613B06">
      <w:pPr>
        <w:pStyle w:val="P68B1DB1-Normal4"/>
        <w:keepNext/>
        <w:spacing w:before="40" w:after="0" w:line="259" w:lineRule="auto"/>
        <w:jc w:val="both"/>
        <w:rPr>
          <w:rFonts w:eastAsia="Times New Roman" w:cs="Times New Roman"/>
          <w:noProof/>
        </w:rPr>
      </w:pPr>
      <w:r>
        <w:rPr>
          <w:noProof/>
        </w:rPr>
        <w:t xml:space="preserve">Cilj naložbe je odzvati se na sedanjo dinamiko cen stanovanjskih nepremičnin glede na ravni dohodkov portugalskih gospodinjstev, zlasti v velikih mestnih okoljih, in sicer z zagotavljanjem javnega fonda hiš, ki se lahko po dostopnih cenah najamejo za določene ciljne skupine. </w:t>
      </w:r>
    </w:p>
    <w:p w14:paraId="04C006FB" w14:textId="77777777" w:rsidR="00F24946" w:rsidRDefault="00613B06">
      <w:pPr>
        <w:pStyle w:val="P68B1DB1-Normal4"/>
        <w:keepNext/>
        <w:spacing w:before="40" w:after="0" w:line="259" w:lineRule="auto"/>
        <w:jc w:val="both"/>
        <w:rPr>
          <w:rFonts w:eastAsia="Times New Roman" w:cs="Times New Roman"/>
          <w:noProof/>
        </w:rPr>
      </w:pPr>
      <w:r>
        <w:rPr>
          <w:noProof/>
        </w:rPr>
        <w:t xml:space="preserve">Naložba zajema gradnjo, vključno z nakupom, novih stavb in sanacijo javnih stanovanj, da se zagotovi 6800 stanovanj, in nato najem po dostopnih cenah za opredeljene ciljne skupine. </w:t>
      </w:r>
    </w:p>
    <w:p w14:paraId="55D88C12"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6F8273EA"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Naložba RE-C02-i06: Študentska nastanitev po dostopnih cenah</w:t>
      </w:r>
    </w:p>
    <w:p w14:paraId="7AA5CEFE"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povečati nacionalno ponudbo cenovno dostopnih študentskih nastanitev, saj je to še vedno ena največjih ovir pri dostopu do terciarnega izobraževanja. Te nastanitve prispevajo k zmanjšanju neposrednih stroškov študentov in njihovih družin, s posebnim poudarkom na socialno in ekonomsko najranljivejših študentih. Obstoječa ponudba podpira le majhen delež (približno 10 %) študentov, ki potrebujejo nastanitev, glede na opazno povečanje stanovanjskih stroškov, zlasti v največjih mestnih središčih, kjer so skoncentrirane visokošolske ustanove. </w:t>
      </w:r>
    </w:p>
    <w:p w14:paraId="4602D132" w14:textId="51E322E5" w:rsidR="00F24946" w:rsidRDefault="00613B06">
      <w:pPr>
        <w:pStyle w:val="P68B1DB1-Normal4"/>
        <w:keepNext/>
        <w:spacing w:before="40" w:after="0" w:line="259" w:lineRule="auto"/>
        <w:jc w:val="both"/>
        <w:rPr>
          <w:rFonts w:eastAsiaTheme="minorEastAsia" w:cs="Times New Roman"/>
          <w:noProof/>
        </w:rPr>
      </w:pPr>
      <w:r>
        <w:rPr>
          <w:noProof/>
        </w:rPr>
        <w:t>Naložba vključuje zagotovitev 18000 novih in obnovljenih postelj z gradnjo novih stavb, sanacijo obstoječih stavb ter posodobitvijo in širitvijo obstoječih študentskih nastanitvenih enot, ki jih bodo študenti prednostno uporabljali. Poleg tega in šele po izpolnitvi potreb študentov se postelje lahko dajo na voljo tudi raziskovalcem, učiteljem in neučiteljskemu osebju visokošolskih ustanov, zlasti v okviru nacionalne ali mednarodne mobilnosti, tudi v okviru programa ERASMUS+, mrež „evropskih univerz“ in drugih mednarodnih sporazumov o mobilnosti s portugalsko državo.</w:t>
      </w:r>
    </w:p>
    <w:p w14:paraId="75204CCB" w14:textId="77777777" w:rsidR="00F24946" w:rsidRDefault="00613B06">
      <w:pPr>
        <w:pStyle w:val="P68B1DB1-Normal4"/>
        <w:keepNext/>
        <w:spacing w:before="40" w:after="0" w:line="259" w:lineRule="auto"/>
        <w:jc w:val="both"/>
        <w:rPr>
          <w:rFonts w:eastAsia="Times New Roman" w:cs="Times New Roman"/>
          <w:noProof/>
        </w:rPr>
      </w:pPr>
      <w:r>
        <w:rPr>
          <w:noProof/>
        </w:rPr>
        <w:t xml:space="preserve">Naložba se izvede do 31. marca 2026. </w:t>
      </w:r>
    </w:p>
    <w:p w14:paraId="1558FB4C" w14:textId="1B1EAE65" w:rsidR="00F24946" w:rsidRDefault="00613B06">
      <w:pPr>
        <w:pStyle w:val="P68B1DB1-Normal5"/>
        <w:spacing w:before="240" w:after="0" w:line="259" w:lineRule="auto"/>
        <w:ind w:left="851"/>
        <w:jc w:val="both"/>
        <w:outlineLvl w:val="3"/>
        <w:rPr>
          <w:rFonts w:eastAsiaTheme="minorEastAsia" w:cs="Times New Roman"/>
          <w:noProof/>
        </w:rPr>
      </w:pPr>
      <w:bookmarkStart w:id="4" w:name="_Hlk143873116"/>
      <w:r>
        <w:rPr>
          <w:noProof/>
        </w:rPr>
        <w:t>Naložba RE-C02-i09: Povečan ukrep: Podporni program za dostop do stanovanj (posojilo)</w:t>
      </w:r>
    </w:p>
    <w:p w14:paraId="11AD560D" w14:textId="5F5C3FC8" w:rsidR="00F24946" w:rsidRDefault="00613B06">
      <w:pPr>
        <w:pStyle w:val="P68B1DB1-Normal4"/>
        <w:keepNext/>
        <w:spacing w:before="40" w:after="0" w:line="259" w:lineRule="auto"/>
        <w:jc w:val="both"/>
        <w:rPr>
          <w:rFonts w:eastAsiaTheme="minorEastAsia" w:cs="Times New Roman"/>
          <w:noProof/>
        </w:rPr>
      </w:pPr>
      <w:r>
        <w:rPr>
          <w:noProof/>
        </w:rPr>
        <w:t>Cilj naložbe je povečati naložbe RE-C02-i01: Podporni program za dostop do stanovanj v okviru komponente 2. Povečani del ukrepa poveča število stanovanj, ki se zagotavljajo gospodinjstvom.</w:t>
      </w:r>
    </w:p>
    <w:p w14:paraId="41CADB9F"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bookmarkEnd w:id="4"/>
    <w:p w14:paraId="3A847D52" w14:textId="77777777" w:rsidR="00F24946" w:rsidRDefault="00F24946">
      <w:pPr>
        <w:keepNext/>
        <w:spacing w:before="40" w:after="0" w:line="259" w:lineRule="auto"/>
        <w:jc w:val="both"/>
        <w:rPr>
          <w:rFonts w:ascii="Times New Roman" w:eastAsia="Times New Roman" w:hAnsi="Times New Roman" w:cs="Times New Roman"/>
          <w:noProof/>
          <w:sz w:val="24"/>
        </w:rPr>
      </w:pPr>
    </w:p>
    <w:p w14:paraId="0CBADF13" w14:textId="77777777" w:rsidR="00F24946" w:rsidRDefault="00F24946">
      <w:pPr>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60"/>
          <w:headerReference w:type="default" r:id="rId61"/>
          <w:footerReference w:type="even" r:id="rId62"/>
          <w:footerReference w:type="default" r:id="rId63"/>
          <w:headerReference w:type="first" r:id="rId64"/>
          <w:footerReference w:type="first" r:id="rId65"/>
          <w:pgSz w:w="11907" w:h="16839"/>
          <w:pgMar w:top="1134" w:right="1134" w:bottom="1134" w:left="1134" w:header="567" w:footer="567" w:gutter="0"/>
          <w:cols w:space="720"/>
          <w:docGrid w:linePitch="360"/>
        </w:sectPr>
      </w:pPr>
    </w:p>
    <w:p w14:paraId="780C899B" w14:textId="77777777" w:rsidR="00F24946" w:rsidRDefault="00613B06">
      <w:pPr>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B.4. </w:t>
      </w:r>
      <w:r>
        <w:rPr>
          <w:noProof/>
        </w:rPr>
        <w:tab/>
      </w:r>
      <w:r>
        <w:rPr>
          <w:rFonts w:ascii="Times New Roman" w:hAnsi="Times New Roman"/>
          <w:b/>
          <w:noProof/>
          <w:sz w:val="24"/>
          <w:u w:val="single"/>
        </w:rPr>
        <w:t>Mejniki, cilji, kazalniki in časovni razpored za spremljanje in izvajanje posojila</w:t>
      </w:r>
    </w:p>
    <w:p w14:paraId="1407F7DF" w14:textId="77777777" w:rsidR="00F24946" w:rsidRDefault="00F24946">
      <w:pPr>
        <w:spacing w:before="40" w:after="0" w:line="259" w:lineRule="auto"/>
        <w:jc w:val="both"/>
        <w:rPr>
          <w:rFonts w:ascii="Times New Roman" w:eastAsiaTheme="minorEastAsia" w:hAnsi="Times New Roman" w:cs="Times New Roman"/>
          <w:noProof/>
          <w:sz w:val="24"/>
        </w:rPr>
      </w:pPr>
    </w:p>
    <w:tbl>
      <w:tblPr>
        <w:tblW w:w="149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259"/>
        <w:gridCol w:w="1119"/>
        <w:gridCol w:w="1677"/>
        <w:gridCol w:w="1258"/>
        <w:gridCol w:w="981"/>
        <w:gridCol w:w="980"/>
        <w:gridCol w:w="701"/>
        <w:gridCol w:w="561"/>
        <w:gridCol w:w="700"/>
        <w:gridCol w:w="4606"/>
      </w:tblGrid>
      <w:tr w:rsidR="00F24946" w14:paraId="4C665869" w14:textId="77777777">
        <w:trPr>
          <w:trHeight w:val="910"/>
          <w:tblHeader/>
        </w:trPr>
        <w:tc>
          <w:tcPr>
            <w:tcW w:w="1121" w:type="dxa"/>
            <w:vMerge w:val="restart"/>
            <w:shd w:val="clear" w:color="auto" w:fill="BDD6EE"/>
            <w:vAlign w:val="center"/>
            <w:hideMark/>
          </w:tcPr>
          <w:p w14:paraId="10BCE388"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59" w:type="dxa"/>
            <w:vMerge w:val="restart"/>
            <w:shd w:val="clear" w:color="auto" w:fill="BDD6EE"/>
            <w:vAlign w:val="center"/>
            <w:hideMark/>
          </w:tcPr>
          <w:p w14:paraId="397190C1"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19" w:type="dxa"/>
            <w:vMerge w:val="restart"/>
            <w:shd w:val="clear" w:color="auto" w:fill="BDD6EE"/>
            <w:vAlign w:val="center"/>
            <w:hideMark/>
          </w:tcPr>
          <w:p w14:paraId="42500290" w14:textId="77777777" w:rsidR="00F24946" w:rsidRDefault="00613B06">
            <w:pPr>
              <w:pStyle w:val="P68B1DB1-Normal6"/>
              <w:spacing w:after="0" w:line="240" w:lineRule="auto"/>
              <w:jc w:val="center"/>
              <w:rPr>
                <w:rFonts w:eastAsia="Times New Roman" w:cs="Times New Roman"/>
                <w:noProof/>
              </w:rPr>
            </w:pPr>
            <w:r>
              <w:rPr>
                <w:noProof/>
              </w:rPr>
              <w:t>Mejnik/</w:t>
            </w:r>
          </w:p>
          <w:p w14:paraId="54CB065E" w14:textId="127F2F46" w:rsidR="00F24946" w:rsidRDefault="00613B06">
            <w:pPr>
              <w:pStyle w:val="P68B1DB1-Normal6"/>
              <w:spacing w:after="0" w:line="240" w:lineRule="auto"/>
              <w:jc w:val="center"/>
              <w:rPr>
                <w:rFonts w:eastAsia="Times New Roman" w:cs="Times New Roman"/>
                <w:noProof/>
              </w:rPr>
            </w:pPr>
            <w:r>
              <w:rPr>
                <w:noProof/>
              </w:rPr>
              <w:t>Tarča</w:t>
            </w:r>
          </w:p>
        </w:tc>
        <w:tc>
          <w:tcPr>
            <w:tcW w:w="1677" w:type="dxa"/>
            <w:vMerge w:val="restart"/>
            <w:shd w:val="clear" w:color="auto" w:fill="BDD6EE"/>
            <w:vAlign w:val="center"/>
            <w:hideMark/>
          </w:tcPr>
          <w:p w14:paraId="0BC01E37" w14:textId="77777777" w:rsidR="00F24946" w:rsidRDefault="00613B06">
            <w:pPr>
              <w:pStyle w:val="P68B1DB1-Normal6"/>
              <w:spacing w:after="0" w:line="240" w:lineRule="auto"/>
              <w:jc w:val="center"/>
              <w:rPr>
                <w:rFonts w:eastAsia="Times New Roman" w:cs="Times New Roman"/>
                <w:noProof/>
              </w:rPr>
            </w:pPr>
            <w:r>
              <w:rPr>
                <w:noProof/>
              </w:rPr>
              <w:t>Ime</w:t>
            </w:r>
          </w:p>
        </w:tc>
        <w:tc>
          <w:tcPr>
            <w:tcW w:w="1258" w:type="dxa"/>
            <w:vMerge w:val="restart"/>
            <w:shd w:val="clear" w:color="auto" w:fill="BDD6EE"/>
            <w:vAlign w:val="center"/>
            <w:hideMark/>
          </w:tcPr>
          <w:p w14:paraId="6453E431"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62" w:type="dxa"/>
            <w:gridSpan w:val="3"/>
            <w:shd w:val="clear" w:color="auto" w:fill="BDD6EE"/>
            <w:vAlign w:val="center"/>
            <w:hideMark/>
          </w:tcPr>
          <w:p w14:paraId="01661F32"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61" w:type="dxa"/>
            <w:gridSpan w:val="2"/>
            <w:shd w:val="clear" w:color="auto" w:fill="BDD6EE"/>
            <w:vAlign w:val="center"/>
            <w:hideMark/>
          </w:tcPr>
          <w:p w14:paraId="45C76A26"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606" w:type="dxa"/>
            <w:vMerge w:val="restart"/>
            <w:shd w:val="clear" w:color="auto" w:fill="BDD6EE"/>
            <w:noWrap/>
            <w:vAlign w:val="center"/>
            <w:hideMark/>
          </w:tcPr>
          <w:p w14:paraId="0E401B5C"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5F9D413E" w14:textId="77777777">
        <w:trPr>
          <w:trHeight w:val="470"/>
          <w:tblHeader/>
        </w:trPr>
        <w:tc>
          <w:tcPr>
            <w:tcW w:w="1121" w:type="dxa"/>
            <w:vMerge/>
            <w:vAlign w:val="center"/>
            <w:hideMark/>
          </w:tcPr>
          <w:p w14:paraId="0D5A92A2" w14:textId="77777777" w:rsidR="00F24946" w:rsidRDefault="00F24946">
            <w:pPr>
              <w:spacing w:after="0" w:line="240" w:lineRule="auto"/>
              <w:rPr>
                <w:rFonts w:ascii="Times New Roman" w:eastAsia="Times New Roman" w:hAnsi="Times New Roman" w:cs="Times New Roman"/>
                <w:b/>
                <w:noProof/>
                <w:sz w:val="18"/>
              </w:rPr>
            </w:pPr>
          </w:p>
        </w:tc>
        <w:tc>
          <w:tcPr>
            <w:tcW w:w="1259" w:type="dxa"/>
            <w:vMerge/>
            <w:vAlign w:val="center"/>
            <w:hideMark/>
          </w:tcPr>
          <w:p w14:paraId="66B80633" w14:textId="77777777" w:rsidR="00F24946" w:rsidRDefault="00F24946">
            <w:pPr>
              <w:spacing w:after="0" w:line="240" w:lineRule="auto"/>
              <w:rPr>
                <w:rFonts w:ascii="Times New Roman" w:eastAsia="Times New Roman" w:hAnsi="Times New Roman" w:cs="Times New Roman"/>
                <w:b/>
                <w:noProof/>
                <w:sz w:val="18"/>
              </w:rPr>
            </w:pPr>
          </w:p>
        </w:tc>
        <w:tc>
          <w:tcPr>
            <w:tcW w:w="1119" w:type="dxa"/>
            <w:vMerge/>
            <w:vAlign w:val="center"/>
            <w:hideMark/>
          </w:tcPr>
          <w:p w14:paraId="3CD2B8F4" w14:textId="5872AC7C" w:rsidR="00F24946" w:rsidRDefault="00F24946">
            <w:pPr>
              <w:spacing w:after="0" w:line="240" w:lineRule="auto"/>
              <w:jc w:val="center"/>
              <w:rPr>
                <w:rFonts w:ascii="Times New Roman" w:eastAsia="Times New Roman" w:hAnsi="Times New Roman" w:cs="Times New Roman"/>
                <w:b/>
                <w:noProof/>
                <w:sz w:val="18"/>
              </w:rPr>
            </w:pPr>
          </w:p>
        </w:tc>
        <w:tc>
          <w:tcPr>
            <w:tcW w:w="1677" w:type="dxa"/>
            <w:vMerge/>
            <w:vAlign w:val="center"/>
            <w:hideMark/>
          </w:tcPr>
          <w:p w14:paraId="7B0E4E17" w14:textId="77777777" w:rsidR="00F24946" w:rsidRDefault="00F24946">
            <w:pPr>
              <w:spacing w:after="0" w:line="240" w:lineRule="auto"/>
              <w:rPr>
                <w:rFonts w:ascii="Times New Roman" w:eastAsia="Times New Roman" w:hAnsi="Times New Roman" w:cs="Times New Roman"/>
                <w:b/>
                <w:noProof/>
                <w:sz w:val="18"/>
              </w:rPr>
            </w:pPr>
          </w:p>
        </w:tc>
        <w:tc>
          <w:tcPr>
            <w:tcW w:w="1258" w:type="dxa"/>
            <w:vMerge/>
            <w:vAlign w:val="center"/>
            <w:hideMark/>
          </w:tcPr>
          <w:p w14:paraId="6ED6C64F" w14:textId="77777777" w:rsidR="00F24946" w:rsidRDefault="00F24946">
            <w:pPr>
              <w:spacing w:after="0" w:line="240" w:lineRule="auto"/>
              <w:rPr>
                <w:rFonts w:ascii="Times New Roman" w:eastAsia="Times New Roman" w:hAnsi="Times New Roman" w:cs="Times New Roman"/>
                <w:b/>
                <w:noProof/>
                <w:sz w:val="18"/>
              </w:rPr>
            </w:pPr>
          </w:p>
        </w:tc>
        <w:tc>
          <w:tcPr>
            <w:tcW w:w="981" w:type="dxa"/>
            <w:shd w:val="clear" w:color="auto" w:fill="BDD6EE"/>
            <w:vAlign w:val="center"/>
            <w:hideMark/>
          </w:tcPr>
          <w:p w14:paraId="4082AB93"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80" w:type="dxa"/>
            <w:shd w:val="clear" w:color="auto" w:fill="BDD6EE"/>
            <w:vAlign w:val="center"/>
            <w:hideMark/>
          </w:tcPr>
          <w:p w14:paraId="6FFD0F60"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1" w:type="dxa"/>
            <w:shd w:val="clear" w:color="auto" w:fill="BDD6EE"/>
            <w:vAlign w:val="center"/>
            <w:hideMark/>
          </w:tcPr>
          <w:p w14:paraId="5A43C212"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1" w:type="dxa"/>
            <w:shd w:val="clear" w:color="auto" w:fill="BDD6EE"/>
            <w:vAlign w:val="center"/>
            <w:hideMark/>
          </w:tcPr>
          <w:p w14:paraId="74791177" w14:textId="77777777" w:rsidR="00F24946" w:rsidRDefault="00613B06">
            <w:pPr>
              <w:pStyle w:val="P68B1DB1-Normal6"/>
              <w:spacing w:after="0" w:line="240" w:lineRule="auto"/>
              <w:jc w:val="center"/>
              <w:rPr>
                <w:rFonts w:eastAsia="Times New Roman" w:cs="Times New Roman"/>
                <w:noProof/>
              </w:rPr>
            </w:pPr>
            <w:r>
              <w:rPr>
                <w:noProof/>
              </w:rPr>
              <w:t>Q</w:t>
            </w:r>
          </w:p>
        </w:tc>
        <w:tc>
          <w:tcPr>
            <w:tcW w:w="700" w:type="dxa"/>
            <w:shd w:val="clear" w:color="auto" w:fill="BDD6EE"/>
            <w:vAlign w:val="center"/>
            <w:hideMark/>
          </w:tcPr>
          <w:p w14:paraId="639FF5C5" w14:textId="77777777" w:rsidR="00F24946" w:rsidRDefault="00613B06">
            <w:pPr>
              <w:pStyle w:val="P68B1DB1-Normal6"/>
              <w:spacing w:after="0" w:line="240" w:lineRule="auto"/>
              <w:jc w:val="center"/>
              <w:rPr>
                <w:rFonts w:eastAsia="Times New Roman" w:cs="Times New Roman"/>
                <w:noProof/>
              </w:rPr>
            </w:pPr>
            <w:r>
              <w:rPr>
                <w:noProof/>
              </w:rPr>
              <w:t>Leto</w:t>
            </w:r>
          </w:p>
        </w:tc>
        <w:tc>
          <w:tcPr>
            <w:tcW w:w="4606" w:type="dxa"/>
            <w:vMerge/>
            <w:vAlign w:val="center"/>
            <w:hideMark/>
          </w:tcPr>
          <w:p w14:paraId="0AA46401" w14:textId="77777777" w:rsidR="00F24946" w:rsidRDefault="00F24946">
            <w:pPr>
              <w:spacing w:after="0" w:line="240" w:lineRule="auto"/>
              <w:rPr>
                <w:rFonts w:ascii="Times New Roman" w:eastAsia="Times New Roman" w:hAnsi="Times New Roman" w:cs="Times New Roman"/>
                <w:b/>
                <w:noProof/>
                <w:sz w:val="18"/>
              </w:rPr>
            </w:pPr>
          </w:p>
        </w:tc>
      </w:tr>
      <w:tr w:rsidR="00F24946" w14:paraId="6365BE4E" w14:textId="77777777">
        <w:trPr>
          <w:trHeight w:val="1260"/>
        </w:trPr>
        <w:tc>
          <w:tcPr>
            <w:tcW w:w="1121" w:type="dxa"/>
            <w:shd w:val="clear" w:color="auto" w:fill="C4EFCE"/>
            <w:vAlign w:val="center"/>
            <w:hideMark/>
          </w:tcPr>
          <w:p w14:paraId="2EDCE149" w14:textId="77777777" w:rsidR="00F24946" w:rsidRDefault="00613B06">
            <w:pPr>
              <w:pStyle w:val="P68B1DB1-Normal7"/>
              <w:spacing w:after="0" w:line="240" w:lineRule="auto"/>
              <w:jc w:val="center"/>
              <w:rPr>
                <w:rFonts w:eastAsia="Times New Roman" w:cs="Calibri"/>
                <w:noProof/>
              </w:rPr>
            </w:pPr>
            <w:r>
              <w:rPr>
                <w:noProof/>
              </w:rPr>
              <w:t>2.20</w:t>
            </w:r>
          </w:p>
        </w:tc>
        <w:tc>
          <w:tcPr>
            <w:tcW w:w="1259" w:type="dxa"/>
            <w:shd w:val="clear" w:color="auto" w:fill="C4EFCE"/>
            <w:vAlign w:val="center"/>
            <w:hideMark/>
          </w:tcPr>
          <w:p w14:paraId="6ABB675D" w14:textId="77777777" w:rsidR="00F24946" w:rsidRDefault="00613B06">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2793D51"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03220CB" w14:textId="5E5D9102" w:rsidR="00F24946" w:rsidRDefault="00613B06">
            <w:pPr>
              <w:pStyle w:val="P68B1DB1-Normal8"/>
              <w:spacing w:after="0" w:line="240" w:lineRule="auto"/>
              <w:jc w:val="center"/>
              <w:rPr>
                <w:rFonts w:eastAsia="Times New Roman" w:cs="Calibri"/>
                <w:noProof/>
              </w:rPr>
            </w:pPr>
            <w:r>
              <w:rPr>
                <w:noProof/>
              </w:rPr>
              <w:t>Cenovno dostopna javna stanovanja – stanovanja z začetnim delom (zgrajena z visoko energijsko učinkovitostjo ali sanirana z izboljšano energijsko učinkovitostjo)</w:t>
            </w:r>
          </w:p>
        </w:tc>
        <w:tc>
          <w:tcPr>
            <w:tcW w:w="1258" w:type="dxa"/>
            <w:shd w:val="clear" w:color="auto" w:fill="C4EFCE"/>
            <w:vAlign w:val="center"/>
            <w:hideMark/>
          </w:tcPr>
          <w:p w14:paraId="4E20F9D1"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621C9A52"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7E591BFE" w14:textId="77777777" w:rsidR="00F24946" w:rsidRDefault="00613B06">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3B93E82B" w14:textId="77777777" w:rsidR="00F24946" w:rsidRDefault="00613B06">
            <w:pPr>
              <w:pStyle w:val="P68B1DB1-Normal8"/>
              <w:spacing w:after="0" w:line="240" w:lineRule="auto"/>
              <w:jc w:val="center"/>
              <w:rPr>
                <w:rFonts w:eastAsia="Times New Roman" w:cs="Calibri"/>
                <w:noProof/>
              </w:rPr>
            </w:pPr>
            <w:r>
              <w:rPr>
                <w:noProof/>
              </w:rPr>
              <w:t>520</w:t>
            </w:r>
          </w:p>
        </w:tc>
        <w:tc>
          <w:tcPr>
            <w:tcW w:w="561" w:type="dxa"/>
            <w:shd w:val="clear" w:color="auto" w:fill="C4EFCE"/>
            <w:vAlign w:val="center"/>
            <w:hideMark/>
          </w:tcPr>
          <w:p w14:paraId="343E8E11"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5EDCF0D9" w14:textId="77777777" w:rsidR="00F24946" w:rsidRDefault="00613B06">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5D10AA65" w14:textId="77777777" w:rsidR="00F24946" w:rsidRDefault="00613B06">
            <w:pPr>
              <w:pStyle w:val="P68B1DB1-Normal8"/>
              <w:spacing w:after="0" w:line="240" w:lineRule="auto"/>
              <w:jc w:val="both"/>
              <w:rPr>
                <w:rFonts w:eastAsia="Times New Roman" w:cs="Calibri"/>
                <w:noProof/>
              </w:rPr>
            </w:pPr>
            <w:r>
              <w:rPr>
                <w:noProof/>
              </w:rPr>
              <w:t>Število stanovanj, za katera se po razpisnem postopku in podpisu pogodbe začnejo delati. Kadar gre za novo gradnjo, morajo biti potrebe po primarni energiji za vsaj 20 % nižje od potreb po skoraj nič-energijskih stavbah.</w:t>
            </w:r>
          </w:p>
        </w:tc>
      </w:tr>
      <w:tr w:rsidR="00F24946" w14:paraId="33B4307F" w14:textId="77777777">
        <w:trPr>
          <w:trHeight w:val="1066"/>
        </w:trPr>
        <w:tc>
          <w:tcPr>
            <w:tcW w:w="1121" w:type="dxa"/>
            <w:shd w:val="clear" w:color="auto" w:fill="C4EFCE"/>
            <w:vAlign w:val="center"/>
            <w:hideMark/>
          </w:tcPr>
          <w:p w14:paraId="0EA394FE" w14:textId="77777777" w:rsidR="00F24946" w:rsidRDefault="00613B06">
            <w:pPr>
              <w:pStyle w:val="P68B1DB1-Normal7"/>
              <w:spacing w:after="0" w:line="240" w:lineRule="auto"/>
              <w:jc w:val="center"/>
              <w:rPr>
                <w:rFonts w:eastAsia="Times New Roman" w:cs="Calibri"/>
                <w:noProof/>
              </w:rPr>
            </w:pPr>
            <w:r>
              <w:rPr>
                <w:noProof/>
              </w:rPr>
              <w:t>2.21</w:t>
            </w:r>
          </w:p>
        </w:tc>
        <w:tc>
          <w:tcPr>
            <w:tcW w:w="1259" w:type="dxa"/>
            <w:shd w:val="clear" w:color="auto" w:fill="C4EFCE"/>
            <w:vAlign w:val="center"/>
            <w:hideMark/>
          </w:tcPr>
          <w:p w14:paraId="34979C95" w14:textId="77777777" w:rsidR="00F24946" w:rsidRDefault="00613B06">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75EBE78"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8BDE03A" w14:textId="7879BBFF" w:rsidR="00F24946" w:rsidRDefault="00613B06">
            <w:pPr>
              <w:pStyle w:val="P68B1DB1-Normal8"/>
              <w:spacing w:after="0" w:line="240" w:lineRule="auto"/>
              <w:jc w:val="center"/>
              <w:rPr>
                <w:rFonts w:eastAsia="Times New Roman" w:cs="Calibri"/>
                <w:noProof/>
              </w:rPr>
            </w:pPr>
            <w:r>
              <w:rPr>
                <w:noProof/>
              </w:rPr>
              <w:t>Cenovno dostopna javna stanovanja – stanovanja z začetnim delom (zgrajena z visoko energijsko učinkovitostjo ali sanirana z izboljšano energijsko učinkovitostjo)</w:t>
            </w:r>
          </w:p>
        </w:tc>
        <w:tc>
          <w:tcPr>
            <w:tcW w:w="1258" w:type="dxa"/>
            <w:shd w:val="clear" w:color="auto" w:fill="C4EFCE"/>
            <w:vAlign w:val="center"/>
            <w:hideMark/>
          </w:tcPr>
          <w:p w14:paraId="374FFAB8"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2524308"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78E249BE" w14:textId="77777777" w:rsidR="00F24946" w:rsidRDefault="00613B06">
            <w:pPr>
              <w:pStyle w:val="P68B1DB1-Normal8"/>
              <w:spacing w:after="0" w:line="240" w:lineRule="auto"/>
              <w:jc w:val="center"/>
              <w:rPr>
                <w:rFonts w:eastAsia="Times New Roman" w:cs="Calibri"/>
                <w:noProof/>
              </w:rPr>
            </w:pPr>
            <w:r>
              <w:rPr>
                <w:noProof/>
              </w:rPr>
              <w:t>520</w:t>
            </w:r>
          </w:p>
        </w:tc>
        <w:tc>
          <w:tcPr>
            <w:tcW w:w="701" w:type="dxa"/>
            <w:shd w:val="clear" w:color="auto" w:fill="C4EFCE"/>
            <w:vAlign w:val="center"/>
            <w:hideMark/>
          </w:tcPr>
          <w:p w14:paraId="1C33F4F0" w14:textId="11BE8C74" w:rsidR="00F24946" w:rsidRDefault="00613B06">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104858DB"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42858FD7" w14:textId="77777777" w:rsidR="00F24946" w:rsidRDefault="00613B06">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18EC137C" w14:textId="77777777" w:rsidR="00F24946" w:rsidRDefault="00613B06">
            <w:pPr>
              <w:pStyle w:val="P68B1DB1-Normal8"/>
              <w:spacing w:after="0" w:line="240" w:lineRule="auto"/>
              <w:jc w:val="both"/>
              <w:rPr>
                <w:rFonts w:eastAsia="Times New Roman" w:cs="Calibri"/>
                <w:noProof/>
              </w:rPr>
            </w:pPr>
            <w:r>
              <w:rPr>
                <w:noProof/>
              </w:rPr>
              <w:t>Število stanovanj, za katera se po razpisnem postopku in podpisu pogodbe začnejo delati. Kadar gre za novo gradnjo, morajo biti potrebe po primarni energiji za vsaj 20 % nižje od potreb po skoraj nič-energijskih stavbah.</w:t>
            </w:r>
          </w:p>
        </w:tc>
      </w:tr>
      <w:tr w:rsidR="00F24946" w14:paraId="367756BF" w14:textId="77777777">
        <w:trPr>
          <w:trHeight w:val="1050"/>
        </w:trPr>
        <w:tc>
          <w:tcPr>
            <w:tcW w:w="1121" w:type="dxa"/>
            <w:shd w:val="clear" w:color="auto" w:fill="C4EFCE"/>
            <w:vAlign w:val="center"/>
            <w:hideMark/>
          </w:tcPr>
          <w:p w14:paraId="06EC68F7" w14:textId="77777777" w:rsidR="00F24946" w:rsidRDefault="00613B06">
            <w:pPr>
              <w:pStyle w:val="P68B1DB1-Normal7"/>
              <w:spacing w:after="0" w:line="240" w:lineRule="auto"/>
              <w:jc w:val="center"/>
              <w:rPr>
                <w:rFonts w:eastAsia="Times New Roman" w:cs="Calibri"/>
                <w:noProof/>
              </w:rPr>
            </w:pPr>
            <w:r>
              <w:rPr>
                <w:noProof/>
              </w:rPr>
              <w:t>2.22</w:t>
            </w:r>
          </w:p>
        </w:tc>
        <w:tc>
          <w:tcPr>
            <w:tcW w:w="1259" w:type="dxa"/>
            <w:shd w:val="clear" w:color="auto" w:fill="C4EFCE"/>
            <w:vAlign w:val="center"/>
            <w:hideMark/>
          </w:tcPr>
          <w:p w14:paraId="36837DB5" w14:textId="77777777" w:rsidR="00F24946" w:rsidRDefault="00613B06">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D7A6883"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0C0848AD" w14:textId="599D6981" w:rsidR="00F24946" w:rsidRDefault="00613B06">
            <w:pPr>
              <w:pStyle w:val="P68B1DB1-Normal8"/>
              <w:spacing w:after="0" w:line="240" w:lineRule="auto"/>
              <w:jc w:val="center"/>
              <w:rPr>
                <w:rFonts w:eastAsia="Times New Roman" w:cs="Calibri"/>
                <w:noProof/>
              </w:rPr>
            </w:pPr>
            <w:r>
              <w:rPr>
                <w:noProof/>
              </w:rPr>
              <w:t>Cenovno dostopna javna stanovanja – dodeljena stanovanja (zgrajena z visoko energijsko učinkovitostjo ali obnovljena z izboljšano energijsko učinkovitostjo)</w:t>
            </w:r>
          </w:p>
        </w:tc>
        <w:tc>
          <w:tcPr>
            <w:tcW w:w="1258" w:type="dxa"/>
            <w:shd w:val="clear" w:color="auto" w:fill="C4EFCE"/>
            <w:vAlign w:val="center"/>
            <w:hideMark/>
          </w:tcPr>
          <w:p w14:paraId="34D8DBA8"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E6F8874"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17D2D4D6" w14:textId="77777777" w:rsidR="00F24946" w:rsidRDefault="00613B06">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0E3BD19D" w14:textId="561EE8C6" w:rsidR="00F24946" w:rsidRDefault="00613B06">
            <w:pPr>
              <w:pStyle w:val="P68B1DB1-Normal8"/>
              <w:spacing w:after="0" w:line="240" w:lineRule="auto"/>
              <w:jc w:val="center"/>
              <w:rPr>
                <w:rFonts w:eastAsia="Calibri" w:cs="Calibri"/>
                <w:noProof/>
              </w:rPr>
            </w:pPr>
            <w:r>
              <w:rPr>
                <w:noProof/>
              </w:rPr>
              <w:t>520</w:t>
            </w:r>
          </w:p>
        </w:tc>
        <w:tc>
          <w:tcPr>
            <w:tcW w:w="561" w:type="dxa"/>
            <w:shd w:val="clear" w:color="auto" w:fill="C4EFCE"/>
            <w:vAlign w:val="center"/>
            <w:hideMark/>
          </w:tcPr>
          <w:p w14:paraId="27E52C88"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1DEA3599" w14:textId="77777777" w:rsidR="00F24946" w:rsidRDefault="00613B06">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3D170067" w14:textId="77777777" w:rsidR="00F24946" w:rsidRDefault="00613B06">
            <w:pPr>
              <w:pStyle w:val="P68B1DB1-Normal8"/>
              <w:spacing w:after="0" w:line="240" w:lineRule="auto"/>
              <w:jc w:val="both"/>
              <w:rPr>
                <w:rFonts w:eastAsia="Times New Roman" w:cs="Calibri"/>
                <w:noProof/>
              </w:rPr>
            </w:pPr>
            <w:r>
              <w:rPr>
                <w:noProof/>
              </w:rPr>
              <w:t>Število stanovanj, dobavljenih upravičenim gospodinjstvom prek stanovanjske borze po dostopnih cenah (DL 82/2020 z dne 2. oktobra) ali prek občinskega programa. Cenovno dostopna stanovanja so opredeljena kot stanovanja, ki so dana na voljo v skladu s programom zakupa dostopa, vzpostavljenim z uredbo-zakonom št. 68/2019 z dne 22. maja, s podprtim sistemom najema, vzpostavljenim z zakonom št. 81/2014 z dne 19. decembra, kakor je bil spremenjen, shemo pogojne najemnine, vzpostavljeno z zakonom št. 80/2014 z dne 19. decembra 2014, sistema nadzorovanih stroškov, ki ga ureja ministrski izvedbeni odlok št. 65/2019 z dne 19. februarja, ali posebnih občinskih programov. Kadar gre za novo gradnjo, morajo biti potrebe po primarni energiji za vsaj 20 % nižje od potreb po skoraj nič-energijskih stavbah.</w:t>
            </w:r>
          </w:p>
        </w:tc>
      </w:tr>
      <w:tr w:rsidR="00F24946" w14:paraId="3D12978B" w14:textId="77777777">
        <w:trPr>
          <w:trHeight w:val="1050"/>
        </w:trPr>
        <w:tc>
          <w:tcPr>
            <w:tcW w:w="1121" w:type="dxa"/>
            <w:shd w:val="clear" w:color="auto" w:fill="C4EFCE"/>
            <w:vAlign w:val="center"/>
            <w:hideMark/>
          </w:tcPr>
          <w:p w14:paraId="1C8AA54B" w14:textId="77777777" w:rsidR="00F24946" w:rsidRDefault="00613B06">
            <w:pPr>
              <w:pStyle w:val="P68B1DB1-Normal7"/>
              <w:spacing w:after="0" w:line="240" w:lineRule="auto"/>
              <w:jc w:val="center"/>
              <w:rPr>
                <w:rFonts w:eastAsia="Times New Roman" w:cs="Calibri"/>
                <w:noProof/>
              </w:rPr>
            </w:pPr>
            <w:r>
              <w:rPr>
                <w:noProof/>
              </w:rPr>
              <w:t>2.23</w:t>
            </w:r>
          </w:p>
        </w:tc>
        <w:tc>
          <w:tcPr>
            <w:tcW w:w="1259" w:type="dxa"/>
            <w:shd w:val="clear" w:color="auto" w:fill="C4EFCE"/>
            <w:vAlign w:val="center"/>
            <w:hideMark/>
          </w:tcPr>
          <w:p w14:paraId="0DF3ED6A" w14:textId="77777777" w:rsidR="00F24946" w:rsidRDefault="00613B06">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1E7B3B4"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10E5E313" w14:textId="292E0959" w:rsidR="00F24946" w:rsidRDefault="00613B06">
            <w:pPr>
              <w:pStyle w:val="P68B1DB1-Normal8"/>
              <w:spacing w:after="0" w:line="240" w:lineRule="auto"/>
              <w:jc w:val="center"/>
              <w:rPr>
                <w:rFonts w:eastAsia="Times New Roman" w:cs="Calibri"/>
                <w:noProof/>
              </w:rPr>
            </w:pPr>
            <w:r>
              <w:rPr>
                <w:noProof/>
              </w:rPr>
              <w:t>Cenovno dostopna javna stanovanja – dodeljena stanovanja (zgrajena z visoko energijsko učinkovitostjo ali obnovljena z izboljšano energijsko učinkovitostjo)</w:t>
            </w:r>
          </w:p>
        </w:tc>
        <w:tc>
          <w:tcPr>
            <w:tcW w:w="1258" w:type="dxa"/>
            <w:shd w:val="clear" w:color="auto" w:fill="C4EFCE"/>
            <w:vAlign w:val="center"/>
            <w:hideMark/>
          </w:tcPr>
          <w:p w14:paraId="5E450BD8"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9E4434D"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64F68EAD" w14:textId="7AD4DB54" w:rsidR="00F24946" w:rsidRDefault="00613B06">
            <w:pPr>
              <w:pStyle w:val="P68B1DB1-Normal8"/>
              <w:spacing w:after="0" w:line="240" w:lineRule="auto"/>
              <w:jc w:val="center"/>
              <w:rPr>
                <w:rFonts w:eastAsia="Calibri" w:cs="Calibri"/>
                <w:noProof/>
              </w:rPr>
            </w:pPr>
            <w:r>
              <w:rPr>
                <w:noProof/>
              </w:rPr>
              <w:t>520</w:t>
            </w:r>
          </w:p>
        </w:tc>
        <w:tc>
          <w:tcPr>
            <w:tcW w:w="701" w:type="dxa"/>
            <w:shd w:val="clear" w:color="auto" w:fill="C4EFCE"/>
            <w:vAlign w:val="center"/>
            <w:hideMark/>
          </w:tcPr>
          <w:p w14:paraId="61CC7B68" w14:textId="52EF18D4" w:rsidR="00F24946" w:rsidRDefault="00613B06">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7CA72895"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33CCDA3C" w14:textId="77777777" w:rsidR="00F24946" w:rsidRDefault="00613B06">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54DCFE3F" w14:textId="77777777" w:rsidR="00F24946" w:rsidRDefault="00613B06">
            <w:pPr>
              <w:pStyle w:val="P68B1DB1-Normal8"/>
              <w:spacing w:after="0" w:line="240" w:lineRule="auto"/>
              <w:jc w:val="both"/>
              <w:rPr>
                <w:rFonts w:eastAsia="Times New Roman" w:cs="Calibri"/>
                <w:noProof/>
              </w:rPr>
            </w:pPr>
            <w:r>
              <w:rPr>
                <w:noProof/>
              </w:rPr>
              <w:t>Število stanovanj, dobavljenih upravičenim gospodinjstvom prek stanovanjske borze po dostopnih cenah (DL 82/2020 z dne 2. oktobra) ali prek občinskega programa. Cenovno dostopna stanovanja so opredeljena kot stanovanja, ki so dana na voljo v skladu s programom zakupa dostopa, vzpostavljenim z uredbo-zakonom št. 68/2019 z dne 22. maja, s podprtim sistemom najema, vzpostavljenim z zakonom št. 81/2014 z dne 19. decembra, kakor je bil spremenjen, shemo pogojne najemnine, vzpostavljeno z zakonom št. 80/2014 z dne 19. decembra 2014, sistema nadzorovanih stroškov, ki ga ureja ministrski izvedbeni odlok št. 65/2019 z dne 19. februarja, ali posebnih občinskih programov. Kadar gre za novo gradnjo, morajo biti potrebe po primarni energiji za vsaj 20 % nižje od potreb po skoraj nič-energijskih stavbah.</w:t>
            </w:r>
          </w:p>
        </w:tc>
      </w:tr>
      <w:tr w:rsidR="00F24946" w14:paraId="609C4778" w14:textId="77777777">
        <w:trPr>
          <w:trHeight w:val="1050"/>
        </w:trPr>
        <w:tc>
          <w:tcPr>
            <w:tcW w:w="1121" w:type="dxa"/>
            <w:shd w:val="clear" w:color="auto" w:fill="C4EFCE"/>
            <w:vAlign w:val="center"/>
            <w:hideMark/>
          </w:tcPr>
          <w:p w14:paraId="30CCA252" w14:textId="77777777" w:rsidR="00F24946" w:rsidRDefault="00613B06">
            <w:pPr>
              <w:pStyle w:val="P68B1DB1-Normal7"/>
              <w:spacing w:after="0" w:line="240" w:lineRule="auto"/>
              <w:jc w:val="center"/>
              <w:rPr>
                <w:rFonts w:eastAsia="Times New Roman" w:cs="Calibri"/>
                <w:noProof/>
              </w:rPr>
            </w:pPr>
            <w:r>
              <w:rPr>
                <w:noProof/>
              </w:rPr>
              <w:t>2.24</w:t>
            </w:r>
          </w:p>
        </w:tc>
        <w:tc>
          <w:tcPr>
            <w:tcW w:w="1259" w:type="dxa"/>
            <w:shd w:val="clear" w:color="auto" w:fill="C4EFCE"/>
            <w:vAlign w:val="center"/>
            <w:hideMark/>
          </w:tcPr>
          <w:p w14:paraId="357BE13B" w14:textId="77777777" w:rsidR="00F24946" w:rsidRDefault="00613B06">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C7C6C2C"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C4EC8B8" w14:textId="7569987A" w:rsidR="00F24946" w:rsidRDefault="00613B06">
            <w:pPr>
              <w:pStyle w:val="P68B1DB1-Normal8"/>
              <w:spacing w:after="0" w:line="240" w:lineRule="auto"/>
              <w:jc w:val="center"/>
              <w:rPr>
                <w:rFonts w:eastAsia="Times New Roman" w:cs="Calibri"/>
                <w:noProof/>
              </w:rPr>
            </w:pPr>
            <w:r>
              <w:rPr>
                <w:noProof/>
              </w:rPr>
              <w:t>Cenovno dostopna javna stanovanja – dodeljena stanovanja (zgrajena z visoko energijsko učinkovitostjo ali obnovljena z izboljšano energijsko učinkovitostjo)</w:t>
            </w:r>
          </w:p>
        </w:tc>
        <w:tc>
          <w:tcPr>
            <w:tcW w:w="1258" w:type="dxa"/>
            <w:shd w:val="clear" w:color="auto" w:fill="C4EFCE"/>
            <w:vAlign w:val="center"/>
            <w:hideMark/>
          </w:tcPr>
          <w:p w14:paraId="75773B0B"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A210D1A"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6100A53D" w14:textId="39986BD6" w:rsidR="00F24946" w:rsidRDefault="00613B06">
            <w:pPr>
              <w:pStyle w:val="P68B1DB1-Normal8"/>
              <w:spacing w:after="0" w:line="240" w:lineRule="auto"/>
              <w:jc w:val="center"/>
              <w:rPr>
                <w:rFonts w:eastAsia="Calibri" w:cs="Calibri"/>
                <w:noProof/>
              </w:rPr>
            </w:pPr>
            <w:r>
              <w:rPr>
                <w:noProof/>
              </w:rPr>
              <w:t>1400</w:t>
            </w:r>
          </w:p>
        </w:tc>
        <w:tc>
          <w:tcPr>
            <w:tcW w:w="701" w:type="dxa"/>
            <w:shd w:val="clear" w:color="auto" w:fill="C4EFCE"/>
            <w:vAlign w:val="center"/>
            <w:hideMark/>
          </w:tcPr>
          <w:p w14:paraId="70D00CAB" w14:textId="77777777" w:rsidR="00F24946" w:rsidRDefault="00613B06">
            <w:pPr>
              <w:pStyle w:val="P68B1DB1-Normal8"/>
              <w:spacing w:after="0" w:line="240" w:lineRule="auto"/>
              <w:jc w:val="center"/>
              <w:rPr>
                <w:rFonts w:eastAsia="Times New Roman" w:cs="Calibri"/>
                <w:noProof/>
              </w:rPr>
            </w:pPr>
            <w:r>
              <w:rPr>
                <w:noProof/>
              </w:rPr>
              <w:t>6 800</w:t>
            </w:r>
          </w:p>
        </w:tc>
        <w:tc>
          <w:tcPr>
            <w:tcW w:w="561" w:type="dxa"/>
            <w:shd w:val="clear" w:color="auto" w:fill="C4EFCE"/>
            <w:vAlign w:val="center"/>
            <w:hideMark/>
          </w:tcPr>
          <w:p w14:paraId="7882F175" w14:textId="77777777" w:rsidR="00F24946" w:rsidRDefault="00613B06">
            <w:pPr>
              <w:pStyle w:val="P68B1DB1-Normal8"/>
              <w:spacing w:after="0" w:line="240" w:lineRule="auto"/>
              <w:jc w:val="center"/>
              <w:rPr>
                <w:rFonts w:eastAsia="Times New Roman" w:cs="Calibri"/>
                <w:noProof/>
              </w:rPr>
            </w:pPr>
            <w:r>
              <w:rPr>
                <w:noProof/>
              </w:rPr>
              <w:t>Q2</w:t>
            </w:r>
          </w:p>
        </w:tc>
        <w:tc>
          <w:tcPr>
            <w:tcW w:w="700" w:type="dxa"/>
            <w:shd w:val="clear" w:color="auto" w:fill="C4EFCE"/>
            <w:vAlign w:val="center"/>
            <w:hideMark/>
          </w:tcPr>
          <w:p w14:paraId="527600BA" w14:textId="77777777" w:rsidR="00F24946" w:rsidRDefault="00613B06">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1406B6B7" w14:textId="77777777" w:rsidR="00F24946" w:rsidRDefault="00613B06">
            <w:pPr>
              <w:pStyle w:val="P68B1DB1-Normal8"/>
              <w:spacing w:after="0" w:line="240" w:lineRule="auto"/>
              <w:jc w:val="both"/>
              <w:rPr>
                <w:rFonts w:eastAsia="Times New Roman" w:cs="Calibri"/>
                <w:noProof/>
              </w:rPr>
            </w:pPr>
            <w:r>
              <w:rPr>
                <w:noProof/>
              </w:rPr>
              <w:t>Število stanovanj, dobavljenih upravičenim gospodinjstvom prek stanovanjske borze po dostopnih cenah (DL 82/2020 z dne 2. oktobra) ali prek občinskega programa. Cenovno dostopna stanovanja so opredeljena kot stanovanja, ki so dana na voljo v skladu s programom zakupa dostopa, vzpostavljenim z uredbo-zakonom št. 68/2019 z dne 22. maja, s podprtim sistemom najema, vzpostavljenim z zakonom št. 81/2014 z dne 19. decembra, kakor je bil spremenjen, shemo pogojne najemnine, vzpostavljeno z zakonom št. 80/2014 z dne 19. decembra 2014, sistema nadzorovanih stroškov, ki ga ureja ministrski izvedbeni odlok št. 65/2019 z dne 19. februarja, ali posebnih občinskih programov. Kadar gre za novo gradnjo, morajo biti potrebe po primarni energiji za vsaj 20 % nižje od potreb po skoraj nič-energijskih stavbah.</w:t>
            </w:r>
          </w:p>
        </w:tc>
      </w:tr>
      <w:tr w:rsidR="00F24946" w14:paraId="0C0D0EA3" w14:textId="77777777">
        <w:trPr>
          <w:trHeight w:val="2254"/>
        </w:trPr>
        <w:tc>
          <w:tcPr>
            <w:tcW w:w="1121" w:type="dxa"/>
            <w:shd w:val="clear" w:color="auto" w:fill="C4EFCE"/>
            <w:vAlign w:val="center"/>
            <w:hideMark/>
          </w:tcPr>
          <w:p w14:paraId="4DFAE66D" w14:textId="77777777" w:rsidR="00F24946" w:rsidRDefault="00613B06">
            <w:pPr>
              <w:pStyle w:val="P68B1DB1-Normal7"/>
              <w:spacing w:after="0" w:line="240" w:lineRule="auto"/>
              <w:jc w:val="center"/>
              <w:rPr>
                <w:rFonts w:eastAsia="Times New Roman" w:cs="Calibri"/>
                <w:noProof/>
              </w:rPr>
            </w:pPr>
            <w:r>
              <w:rPr>
                <w:noProof/>
              </w:rPr>
              <w:t>2.25</w:t>
            </w:r>
          </w:p>
        </w:tc>
        <w:tc>
          <w:tcPr>
            <w:tcW w:w="1259" w:type="dxa"/>
            <w:shd w:val="clear" w:color="auto" w:fill="C4EFCE"/>
            <w:vAlign w:val="center"/>
            <w:hideMark/>
          </w:tcPr>
          <w:p w14:paraId="2D66C9F3" w14:textId="77777777" w:rsidR="00F24946" w:rsidRDefault="00613B06">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B5E4DC3"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05985C2" w14:textId="52462DC9" w:rsidR="00F24946" w:rsidRDefault="00613B06">
            <w:pPr>
              <w:pStyle w:val="P68B1DB1-Normal8"/>
              <w:spacing w:after="0" w:line="240" w:lineRule="auto"/>
              <w:jc w:val="center"/>
              <w:rPr>
                <w:rFonts w:eastAsia="Times New Roman" w:cs="Calibri"/>
                <w:noProof/>
              </w:rPr>
            </w:pPr>
            <w:r>
              <w:rPr>
                <w:noProof/>
              </w:rPr>
              <w:t>Študentska nastanitev po dostopnih cenah – število študentskih nastanitvenih mest z objavljenimi razpisi</w:t>
            </w:r>
          </w:p>
        </w:tc>
        <w:tc>
          <w:tcPr>
            <w:tcW w:w="1258" w:type="dxa"/>
            <w:shd w:val="clear" w:color="auto" w:fill="C4EFCE"/>
            <w:vAlign w:val="center"/>
            <w:hideMark/>
          </w:tcPr>
          <w:p w14:paraId="456D3B11"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0A7FE1FB"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670D15C0" w14:textId="77777777" w:rsidR="00F24946" w:rsidRDefault="00613B06">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7C085019" w14:textId="77777777" w:rsidR="00F24946" w:rsidRDefault="00613B06">
            <w:pPr>
              <w:pStyle w:val="P68B1DB1-Normal8"/>
              <w:spacing w:after="0" w:line="240" w:lineRule="auto"/>
              <w:jc w:val="center"/>
              <w:rPr>
                <w:rFonts w:eastAsia="Times New Roman" w:cs="Calibri"/>
                <w:noProof/>
              </w:rPr>
            </w:pPr>
            <w:r>
              <w:rPr>
                <w:noProof/>
              </w:rPr>
              <w:t>7000</w:t>
            </w:r>
          </w:p>
        </w:tc>
        <w:tc>
          <w:tcPr>
            <w:tcW w:w="561" w:type="dxa"/>
            <w:shd w:val="clear" w:color="auto" w:fill="C4EFCE"/>
            <w:vAlign w:val="center"/>
            <w:hideMark/>
          </w:tcPr>
          <w:p w14:paraId="65F5B7C1"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1E975DE1" w14:textId="77777777" w:rsidR="00F24946" w:rsidRDefault="00613B06">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2FF93065" w14:textId="787D3203" w:rsidR="00F24946" w:rsidRDefault="00613B06">
            <w:pPr>
              <w:pStyle w:val="P68B1DB1-Normal8"/>
              <w:spacing w:after="0" w:line="240" w:lineRule="auto"/>
              <w:jc w:val="both"/>
              <w:rPr>
                <w:rFonts w:eastAsia="Times New Roman" w:cs="Calibri"/>
                <w:noProof/>
              </w:rPr>
            </w:pPr>
            <w:r>
              <w:rPr>
                <w:noProof/>
              </w:rPr>
              <w:t>Število novih in prenovljenih nastanitvenih mest za predvsem visokošolske študente, za katere so bili objavljeni javni razpisi.</w:t>
            </w:r>
          </w:p>
          <w:p w14:paraId="05C25A40" w14:textId="77777777" w:rsidR="00F24946" w:rsidRDefault="00613B06">
            <w:pPr>
              <w:pStyle w:val="P68B1DB1-Normal8"/>
              <w:spacing w:after="0" w:line="240" w:lineRule="auto"/>
              <w:jc w:val="both"/>
              <w:rPr>
                <w:rFonts w:eastAsia="Times New Roman" w:cs="Calibri"/>
                <w:noProof/>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0D33B44C" w14:textId="77777777">
        <w:trPr>
          <w:trHeight w:val="543"/>
        </w:trPr>
        <w:tc>
          <w:tcPr>
            <w:tcW w:w="1121" w:type="dxa"/>
            <w:shd w:val="clear" w:color="auto" w:fill="C4EFCE"/>
            <w:vAlign w:val="center"/>
            <w:hideMark/>
          </w:tcPr>
          <w:p w14:paraId="6BF73E55" w14:textId="77777777" w:rsidR="00F24946" w:rsidRDefault="00613B06">
            <w:pPr>
              <w:pStyle w:val="P68B1DB1-Normal7"/>
              <w:spacing w:after="0" w:line="240" w:lineRule="auto"/>
              <w:jc w:val="center"/>
              <w:rPr>
                <w:rFonts w:eastAsia="Times New Roman" w:cs="Calibri"/>
                <w:noProof/>
              </w:rPr>
            </w:pPr>
            <w:r>
              <w:rPr>
                <w:noProof/>
              </w:rPr>
              <w:t>2.26</w:t>
            </w:r>
          </w:p>
        </w:tc>
        <w:tc>
          <w:tcPr>
            <w:tcW w:w="1259" w:type="dxa"/>
            <w:shd w:val="clear" w:color="auto" w:fill="C4EFCE"/>
            <w:vAlign w:val="center"/>
            <w:hideMark/>
          </w:tcPr>
          <w:p w14:paraId="071F28C9" w14:textId="77777777" w:rsidR="00F24946" w:rsidRDefault="00613B06">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16C5BB2"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50689BD" w14:textId="77777777" w:rsidR="00F24946" w:rsidRDefault="00613B06">
            <w:pPr>
              <w:pStyle w:val="P68B1DB1-Normal8"/>
              <w:spacing w:after="0" w:line="240" w:lineRule="auto"/>
              <w:jc w:val="center"/>
              <w:rPr>
                <w:rFonts w:eastAsia="Times New Roman" w:cs="Calibri"/>
                <w:noProof/>
              </w:rPr>
            </w:pPr>
            <w:r>
              <w:rPr>
                <w:noProof/>
              </w:rPr>
              <w:t xml:space="preserve">Študentska nastanitev po dostopnih cenah </w:t>
            </w:r>
          </w:p>
        </w:tc>
        <w:tc>
          <w:tcPr>
            <w:tcW w:w="1258" w:type="dxa"/>
            <w:shd w:val="clear" w:color="auto" w:fill="C4EFCE"/>
            <w:vAlign w:val="center"/>
            <w:hideMark/>
          </w:tcPr>
          <w:p w14:paraId="26DEFBD7"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53703B53"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13A0BF4A" w14:textId="77777777" w:rsidR="00F24946" w:rsidRDefault="00613B06">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18D72F16" w14:textId="276DBD05" w:rsidR="00F24946" w:rsidRDefault="00613B06">
            <w:pPr>
              <w:pStyle w:val="P68B1DB1-Normal8"/>
              <w:spacing w:after="0" w:line="240" w:lineRule="auto"/>
              <w:jc w:val="center"/>
              <w:rPr>
                <w:rFonts w:eastAsia="Times New Roman" w:cs="Calibri"/>
                <w:noProof/>
              </w:rPr>
            </w:pPr>
            <w:r>
              <w:rPr>
                <w:noProof/>
              </w:rPr>
              <w:t>7 200</w:t>
            </w:r>
          </w:p>
        </w:tc>
        <w:tc>
          <w:tcPr>
            <w:tcW w:w="561" w:type="dxa"/>
            <w:shd w:val="clear" w:color="auto" w:fill="C4EFCE"/>
            <w:vAlign w:val="center"/>
            <w:hideMark/>
          </w:tcPr>
          <w:p w14:paraId="1236111F"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3F3B9998" w14:textId="37F93F36" w:rsidR="00F24946" w:rsidRDefault="00613B06">
            <w:pPr>
              <w:pStyle w:val="P68B1DB1-Normal8"/>
              <w:spacing w:after="0" w:line="240" w:lineRule="auto"/>
              <w:jc w:val="both"/>
              <w:rPr>
                <w:rFonts w:eastAsia="Times New Roman" w:cs="Calibri"/>
                <w:noProof/>
              </w:rPr>
            </w:pPr>
            <w:r>
              <w:rPr>
                <w:noProof/>
              </w:rPr>
              <w:t>2024</w:t>
            </w:r>
          </w:p>
        </w:tc>
        <w:tc>
          <w:tcPr>
            <w:tcW w:w="4606" w:type="dxa"/>
            <w:shd w:val="clear" w:color="auto" w:fill="C4EFCE"/>
            <w:vAlign w:val="center"/>
            <w:hideMark/>
          </w:tcPr>
          <w:p w14:paraId="778022FF" w14:textId="62E05FA1" w:rsidR="00F24946" w:rsidRDefault="00613B06">
            <w:pPr>
              <w:pStyle w:val="P68B1DB1-Normal8"/>
              <w:spacing w:after="0" w:line="240" w:lineRule="auto"/>
              <w:jc w:val="both"/>
              <w:rPr>
                <w:rFonts w:eastAsia="Times New Roman" w:cs="Calibri"/>
                <w:noProof/>
              </w:rPr>
            </w:pPr>
            <w:r>
              <w:rPr>
                <w:noProof/>
              </w:rPr>
              <w:t xml:space="preserve">Število novih in prenovljenih mest, ki so na voljo predvsem visokošolskim študentom v mestnih ali mešanih stavbah, ki so v celoti ali delno namenjeni za začasno nastanitev študentov, ki študirajo v kraju, ki ni njihovo stalno prebivališče, in potrebujejo nastanitev za namene visokošolskega izobraževanja, vključno s študentskimi bivališči v visokošolskem izobraževanju, ki nujno vključujejo spalnice, kopalnice, kuhinje in prostore za obroke ter lahko vključujejo študijske in bivalne prostore, parkirišče in opremo; </w:t>
            </w:r>
          </w:p>
          <w:p w14:paraId="6C80330F" w14:textId="606400D0" w:rsidR="00F24946" w:rsidRDefault="00613B06">
            <w:pPr>
              <w:pStyle w:val="P68B1DB1-Normal8"/>
              <w:spacing w:after="0" w:line="240" w:lineRule="auto"/>
              <w:jc w:val="both"/>
              <w:rPr>
                <w:rFonts w:eastAsia="Times New Roman" w:cs="Calibri"/>
                <w:noProof/>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6E7A4C44" w14:textId="77777777">
        <w:trPr>
          <w:trHeight w:val="543"/>
        </w:trPr>
        <w:tc>
          <w:tcPr>
            <w:tcW w:w="1121" w:type="dxa"/>
            <w:shd w:val="clear" w:color="auto" w:fill="C4EFCE"/>
            <w:vAlign w:val="center"/>
            <w:hideMark/>
          </w:tcPr>
          <w:p w14:paraId="2FE553C4" w14:textId="77777777" w:rsidR="00F24946" w:rsidRDefault="00613B06">
            <w:pPr>
              <w:pStyle w:val="P68B1DB1-Normal7"/>
              <w:spacing w:after="0" w:line="240" w:lineRule="auto"/>
              <w:jc w:val="center"/>
              <w:rPr>
                <w:rFonts w:eastAsia="Times New Roman" w:cs="Calibri"/>
                <w:noProof/>
              </w:rPr>
            </w:pPr>
            <w:r>
              <w:rPr>
                <w:noProof/>
              </w:rPr>
              <w:t>2.27</w:t>
            </w:r>
          </w:p>
        </w:tc>
        <w:tc>
          <w:tcPr>
            <w:tcW w:w="1259" w:type="dxa"/>
            <w:shd w:val="clear" w:color="auto" w:fill="C4EFCE"/>
            <w:vAlign w:val="center"/>
            <w:hideMark/>
          </w:tcPr>
          <w:p w14:paraId="0BCB48BE" w14:textId="77777777" w:rsidR="00F24946" w:rsidRDefault="00613B06">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10B25FE4"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26157084" w14:textId="77777777" w:rsidR="00F24946" w:rsidRDefault="00613B06">
            <w:pPr>
              <w:pStyle w:val="P68B1DB1-Normal8"/>
              <w:spacing w:after="0" w:line="240" w:lineRule="auto"/>
              <w:jc w:val="center"/>
              <w:rPr>
                <w:rFonts w:eastAsia="Times New Roman" w:cs="Calibri"/>
                <w:noProof/>
              </w:rPr>
            </w:pPr>
            <w:r>
              <w:rPr>
                <w:noProof/>
              </w:rPr>
              <w:t xml:space="preserve">Študentska nastanitev po dostopnih cenah </w:t>
            </w:r>
          </w:p>
        </w:tc>
        <w:tc>
          <w:tcPr>
            <w:tcW w:w="1258" w:type="dxa"/>
            <w:shd w:val="clear" w:color="auto" w:fill="C4EFCE"/>
            <w:vAlign w:val="center"/>
            <w:hideMark/>
          </w:tcPr>
          <w:p w14:paraId="1F8A44C2"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67C80EC" w14:textId="77777777" w:rsidR="00F24946" w:rsidRDefault="00613B06">
            <w:pPr>
              <w:pStyle w:val="P68B1DB1-Normal8"/>
              <w:spacing w:after="0" w:line="240" w:lineRule="auto"/>
              <w:jc w:val="center"/>
              <w:rPr>
                <w:rFonts w:eastAsia="Times New Roman" w:cs="Calibri"/>
                <w:noProof/>
              </w:rPr>
            </w:pPr>
            <w:r>
              <w:rPr>
                <w:noProof/>
              </w:rPr>
              <w:t>Število</w:t>
            </w:r>
          </w:p>
        </w:tc>
        <w:tc>
          <w:tcPr>
            <w:tcW w:w="980" w:type="dxa"/>
            <w:shd w:val="clear" w:color="auto" w:fill="C4EFCE"/>
            <w:vAlign w:val="center"/>
            <w:hideMark/>
          </w:tcPr>
          <w:p w14:paraId="416AAB49" w14:textId="54C17EC0" w:rsidR="00F24946" w:rsidRDefault="00613B06">
            <w:pPr>
              <w:pStyle w:val="P68B1DB1-Normal8"/>
              <w:spacing w:after="0" w:line="240" w:lineRule="auto"/>
              <w:jc w:val="center"/>
              <w:rPr>
                <w:rFonts w:eastAsia="Times New Roman" w:cs="Calibri"/>
                <w:noProof/>
              </w:rPr>
            </w:pPr>
            <w:r>
              <w:rPr>
                <w:noProof/>
              </w:rPr>
              <w:t>7 200</w:t>
            </w:r>
          </w:p>
        </w:tc>
        <w:tc>
          <w:tcPr>
            <w:tcW w:w="701" w:type="dxa"/>
            <w:shd w:val="clear" w:color="auto" w:fill="C4EFCE"/>
            <w:vAlign w:val="center"/>
            <w:hideMark/>
          </w:tcPr>
          <w:p w14:paraId="3439E949" w14:textId="1E287A32" w:rsidR="00F24946" w:rsidRDefault="00613B06">
            <w:pPr>
              <w:pStyle w:val="P68B1DB1-Normal8"/>
              <w:spacing w:after="0" w:line="240" w:lineRule="auto"/>
              <w:jc w:val="center"/>
              <w:rPr>
                <w:rFonts w:eastAsia="Times New Roman" w:cs="Calibri"/>
                <w:noProof/>
              </w:rPr>
            </w:pPr>
            <w:r>
              <w:rPr>
                <w:noProof/>
              </w:rPr>
              <w:t>13 300</w:t>
            </w:r>
          </w:p>
        </w:tc>
        <w:tc>
          <w:tcPr>
            <w:tcW w:w="561" w:type="dxa"/>
            <w:shd w:val="clear" w:color="auto" w:fill="C4EFCE"/>
            <w:vAlign w:val="center"/>
            <w:hideMark/>
          </w:tcPr>
          <w:p w14:paraId="2CB76039" w14:textId="77777777" w:rsidR="00F24946" w:rsidRDefault="00613B06">
            <w:pPr>
              <w:pStyle w:val="P68B1DB1-Normal8"/>
              <w:spacing w:after="0" w:line="240" w:lineRule="auto"/>
              <w:jc w:val="center"/>
              <w:rPr>
                <w:rFonts w:eastAsia="Times New Roman" w:cs="Calibri"/>
                <w:noProof/>
              </w:rPr>
            </w:pPr>
            <w:r>
              <w:rPr>
                <w:noProof/>
              </w:rPr>
              <w:t>Q3</w:t>
            </w:r>
          </w:p>
        </w:tc>
        <w:tc>
          <w:tcPr>
            <w:tcW w:w="700" w:type="dxa"/>
            <w:shd w:val="clear" w:color="auto" w:fill="C4EFCE"/>
            <w:vAlign w:val="center"/>
            <w:hideMark/>
          </w:tcPr>
          <w:p w14:paraId="11F34838" w14:textId="11E49FF7" w:rsidR="00F24946" w:rsidRDefault="00613B06">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3D265A32" w14:textId="56C4574F" w:rsidR="00F24946" w:rsidRDefault="00613B06">
            <w:pPr>
              <w:pStyle w:val="P68B1DB1-Normal8"/>
              <w:spacing w:after="0" w:line="240" w:lineRule="auto"/>
              <w:jc w:val="both"/>
              <w:rPr>
                <w:rFonts w:eastAsia="Times New Roman" w:cs="Calibri"/>
                <w:noProof/>
              </w:rPr>
            </w:pPr>
            <w:r>
              <w:rPr>
                <w:noProof/>
              </w:rPr>
              <w:t>Število novih in prenovljenih mest, ki so na voljo predvsem visokošolskim študentom v mestnih ali mešanih stavbah, ki so v celoti ali delno namenjena za začasno nastanitev študentov, ki študirajo v kraju, ki ni njihovo stalno prebivališče, in potrebujejo nastanitev za namene visokošolskega izobraževanja, vključno s študentskimi bivališči v visokošolskem izobraževanju, ki nujno vključujejo spalnice, kopalnice, kuhinje in prostore za obroke ter lahko vključujejo študijske in bivalne prostore, parkirišče in opremo;</w:t>
            </w:r>
          </w:p>
          <w:p w14:paraId="035EFF71" w14:textId="77777777" w:rsidR="00F24946" w:rsidRDefault="00613B06">
            <w:pPr>
              <w:pStyle w:val="P68B1DB1-Normal8"/>
              <w:spacing w:after="0" w:line="240" w:lineRule="auto"/>
              <w:jc w:val="both"/>
              <w:rPr>
                <w:rFonts w:eastAsia="Times New Roman" w:cs="Calibri"/>
                <w:noProof/>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3787F6D4" w14:textId="77777777">
        <w:trPr>
          <w:trHeight w:val="1050"/>
        </w:trPr>
        <w:tc>
          <w:tcPr>
            <w:tcW w:w="1121" w:type="dxa"/>
            <w:shd w:val="clear" w:color="auto" w:fill="C4EFCE"/>
            <w:vAlign w:val="center"/>
            <w:hideMark/>
          </w:tcPr>
          <w:p w14:paraId="64CCD213" w14:textId="77777777" w:rsidR="00F24946" w:rsidRDefault="00613B06">
            <w:pPr>
              <w:pStyle w:val="P68B1DB1-Normal7"/>
              <w:spacing w:after="0" w:line="240" w:lineRule="auto"/>
              <w:jc w:val="center"/>
              <w:rPr>
                <w:rFonts w:eastAsia="Times New Roman" w:cs="Calibri"/>
                <w:noProof/>
              </w:rPr>
            </w:pPr>
            <w:r>
              <w:rPr>
                <w:noProof/>
              </w:rPr>
              <w:t>2.28</w:t>
            </w:r>
          </w:p>
        </w:tc>
        <w:tc>
          <w:tcPr>
            <w:tcW w:w="1259" w:type="dxa"/>
            <w:shd w:val="clear" w:color="auto" w:fill="C4EFCE"/>
            <w:vAlign w:val="center"/>
            <w:hideMark/>
          </w:tcPr>
          <w:p w14:paraId="20A40908" w14:textId="77777777" w:rsidR="00F24946" w:rsidRDefault="00613B06">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4FFB417C" w14:textId="77777777" w:rsidR="00F24946" w:rsidRDefault="00613B06">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50C1A1F" w14:textId="77777777" w:rsidR="00F24946" w:rsidRDefault="00613B06">
            <w:pPr>
              <w:pStyle w:val="P68B1DB1-Normal8"/>
              <w:spacing w:after="0" w:line="240" w:lineRule="auto"/>
              <w:jc w:val="center"/>
              <w:rPr>
                <w:rFonts w:eastAsia="Times New Roman" w:cs="Calibri"/>
                <w:noProof/>
              </w:rPr>
            </w:pPr>
            <w:r>
              <w:rPr>
                <w:noProof/>
              </w:rPr>
              <w:t xml:space="preserve">Študentska nastanitev po dostopnih cenah </w:t>
            </w:r>
          </w:p>
        </w:tc>
        <w:tc>
          <w:tcPr>
            <w:tcW w:w="1258" w:type="dxa"/>
            <w:shd w:val="clear" w:color="auto" w:fill="C4EFCE"/>
            <w:vAlign w:val="center"/>
            <w:hideMark/>
          </w:tcPr>
          <w:p w14:paraId="6C52FC90" w14:textId="77777777" w:rsidR="00F24946" w:rsidRDefault="00613B06">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46B01055"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80" w:type="dxa"/>
            <w:shd w:val="clear" w:color="auto" w:fill="C4EFCE"/>
            <w:vAlign w:val="center"/>
            <w:hideMark/>
          </w:tcPr>
          <w:p w14:paraId="6B6F55A2" w14:textId="430D0E78" w:rsidR="00F24946" w:rsidRDefault="00613B06">
            <w:pPr>
              <w:pStyle w:val="P68B1DB1-Normal8"/>
              <w:spacing w:after="0" w:line="240" w:lineRule="auto"/>
              <w:jc w:val="center"/>
              <w:rPr>
                <w:rFonts w:eastAsia="Times New Roman" w:cs="Calibri"/>
                <w:noProof/>
              </w:rPr>
            </w:pPr>
            <w:r>
              <w:rPr>
                <w:noProof/>
              </w:rPr>
              <w:t>13 300</w:t>
            </w:r>
          </w:p>
        </w:tc>
        <w:tc>
          <w:tcPr>
            <w:tcW w:w="701" w:type="dxa"/>
            <w:shd w:val="clear" w:color="auto" w:fill="C4EFCE"/>
            <w:vAlign w:val="center"/>
            <w:hideMark/>
          </w:tcPr>
          <w:p w14:paraId="29351001" w14:textId="66F0DDA5" w:rsidR="00F24946" w:rsidRDefault="00613B06">
            <w:pPr>
              <w:pStyle w:val="P68B1DB1-Normal8"/>
              <w:spacing w:after="0" w:line="240" w:lineRule="auto"/>
              <w:jc w:val="center"/>
              <w:rPr>
                <w:rFonts w:eastAsia="Times New Roman" w:cs="Calibri"/>
                <w:noProof/>
              </w:rPr>
            </w:pPr>
            <w:r>
              <w:rPr>
                <w:noProof/>
              </w:rPr>
              <w:t>18 000</w:t>
            </w:r>
          </w:p>
        </w:tc>
        <w:tc>
          <w:tcPr>
            <w:tcW w:w="561" w:type="dxa"/>
            <w:shd w:val="clear" w:color="auto" w:fill="C4EFCE"/>
            <w:vAlign w:val="center"/>
            <w:hideMark/>
          </w:tcPr>
          <w:p w14:paraId="73B3BC6B"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0" w:type="dxa"/>
            <w:shd w:val="clear" w:color="auto" w:fill="C4EFCE"/>
            <w:vAlign w:val="center"/>
            <w:hideMark/>
          </w:tcPr>
          <w:p w14:paraId="51504EB4" w14:textId="77777777" w:rsidR="00F24946" w:rsidRDefault="00613B06">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41184E03" w14:textId="7273E775" w:rsidR="00F24946" w:rsidRDefault="00613B06">
            <w:pPr>
              <w:pStyle w:val="P68B1DB1-Normal8"/>
              <w:spacing w:after="0" w:line="240" w:lineRule="auto"/>
              <w:jc w:val="both"/>
              <w:rPr>
                <w:rFonts w:eastAsia="Times New Roman" w:cs="Calibri"/>
                <w:noProof/>
              </w:rPr>
            </w:pPr>
            <w:r>
              <w:rPr>
                <w:noProof/>
              </w:rPr>
              <w:t xml:space="preserve">Število novih in prenovljenih mest, ki so na voljo predvsem visokošolskim študentom v mestnih ali mešanih stavbah, ki so v celoti ali delno namenjena za začasno nastanitev študentov, ki študirajo v kraju, ki ni njihovo stalno prebivališče, in potrebujejo nastanitev za namene visokošolskega izobraževanja, vključno s študentskimi bivališči v visokošolskem izobraževanju, ki nujno vključujejo spalnice, kopalnice, kuhinje in prostore za obroke ter lahko vključujejo študijske in bivalne prostore, parkirišče in opremo; </w:t>
            </w:r>
          </w:p>
          <w:p w14:paraId="10E836B8" w14:textId="26AC752F" w:rsidR="00F24946" w:rsidRDefault="00613B06">
            <w:pPr>
              <w:pStyle w:val="P68B1DB1-Normal8"/>
              <w:spacing w:after="0" w:line="240" w:lineRule="auto"/>
              <w:jc w:val="both"/>
              <w:rPr>
                <w:rFonts w:eastAsia="Times New Roman" w:cs="Calibri"/>
                <w:noProof/>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60C698ED" w14:textId="77777777">
        <w:trPr>
          <w:trHeight w:val="1050"/>
        </w:trPr>
        <w:tc>
          <w:tcPr>
            <w:tcW w:w="1121" w:type="dxa"/>
            <w:shd w:val="clear" w:color="auto" w:fill="C4EFCE"/>
            <w:vAlign w:val="center"/>
          </w:tcPr>
          <w:p w14:paraId="4705E034" w14:textId="4AC666D2" w:rsidR="00F24946" w:rsidRDefault="00613B06">
            <w:pPr>
              <w:pStyle w:val="P68B1DB1-Normal11"/>
              <w:spacing w:after="0" w:line="240" w:lineRule="auto"/>
              <w:jc w:val="center"/>
              <w:rPr>
                <w:rFonts w:eastAsia="Times New Roman" w:cstheme="minorHAnsi"/>
                <w:noProof/>
              </w:rPr>
            </w:pPr>
            <w:r>
              <w:rPr>
                <w:noProof/>
              </w:rPr>
              <w:t>2.32</w:t>
            </w:r>
          </w:p>
        </w:tc>
        <w:tc>
          <w:tcPr>
            <w:tcW w:w="1259" w:type="dxa"/>
            <w:shd w:val="clear" w:color="auto" w:fill="C4EFCE"/>
            <w:vAlign w:val="center"/>
          </w:tcPr>
          <w:p w14:paraId="4776F9DD" w14:textId="58DFAFA4" w:rsidR="00F24946" w:rsidRDefault="00613B06">
            <w:pPr>
              <w:pStyle w:val="P68B1DB1-Normal12"/>
              <w:spacing w:after="0" w:line="240" w:lineRule="auto"/>
              <w:jc w:val="center"/>
              <w:rPr>
                <w:rFonts w:eastAsia="Times New Roman" w:cstheme="minorHAnsi"/>
                <w:noProof/>
              </w:rPr>
            </w:pPr>
            <w:r>
              <w:rPr>
                <w:noProof/>
              </w:rPr>
              <w:t>Re-C02-i09</w:t>
            </w:r>
          </w:p>
        </w:tc>
        <w:tc>
          <w:tcPr>
            <w:tcW w:w="1119" w:type="dxa"/>
            <w:shd w:val="clear" w:color="auto" w:fill="C4EFCE"/>
            <w:vAlign w:val="center"/>
          </w:tcPr>
          <w:p w14:paraId="3A5C7E5C" w14:textId="2BCC6FAF" w:rsidR="00F24946" w:rsidRDefault="00613B06">
            <w:pPr>
              <w:pStyle w:val="P68B1DB1-Normal12"/>
              <w:spacing w:after="0" w:line="240" w:lineRule="auto"/>
              <w:jc w:val="center"/>
              <w:rPr>
                <w:rFonts w:eastAsia="Times New Roman" w:cstheme="minorHAnsi"/>
                <w:noProof/>
              </w:rPr>
            </w:pPr>
            <w:r>
              <w:rPr>
                <w:noProof/>
              </w:rPr>
              <w:t>T</w:t>
            </w:r>
          </w:p>
        </w:tc>
        <w:tc>
          <w:tcPr>
            <w:tcW w:w="1677" w:type="dxa"/>
            <w:shd w:val="clear" w:color="auto" w:fill="C4EFCE"/>
            <w:vAlign w:val="center"/>
          </w:tcPr>
          <w:p w14:paraId="0968588E" w14:textId="5CE5582D" w:rsidR="00F24946" w:rsidRDefault="00613B06">
            <w:pPr>
              <w:pStyle w:val="P68B1DB1-Normal12"/>
              <w:spacing w:after="0" w:line="240" w:lineRule="auto"/>
              <w:jc w:val="center"/>
              <w:rPr>
                <w:rFonts w:eastAsia="Times New Roman" w:cstheme="minorHAnsi"/>
                <w:noProof/>
              </w:rPr>
            </w:pPr>
            <w:r>
              <w:rPr>
                <w:noProof/>
              </w:rPr>
              <w:t>Program podpore za dostop do stanovanj (posojila) – kupljena, zgrajena (visoka energijska učinkovitost) ali sanirana (z izboljšano energijsko učinkovitostjo) stanovanja za gospodinjstva</w:t>
            </w:r>
          </w:p>
        </w:tc>
        <w:tc>
          <w:tcPr>
            <w:tcW w:w="1258" w:type="dxa"/>
            <w:shd w:val="clear" w:color="auto" w:fill="C4EFCE"/>
            <w:vAlign w:val="center"/>
          </w:tcPr>
          <w:p w14:paraId="0319FDDB" w14:textId="77777777" w:rsidR="00F24946" w:rsidRDefault="00F24946">
            <w:pPr>
              <w:spacing w:after="0" w:line="240" w:lineRule="auto"/>
              <w:jc w:val="center"/>
              <w:rPr>
                <w:rFonts w:eastAsia="Times New Roman" w:cstheme="minorHAnsi"/>
                <w:noProof/>
                <w:sz w:val="16"/>
              </w:rPr>
            </w:pPr>
          </w:p>
        </w:tc>
        <w:tc>
          <w:tcPr>
            <w:tcW w:w="981" w:type="dxa"/>
            <w:shd w:val="clear" w:color="auto" w:fill="C4EFCE"/>
            <w:vAlign w:val="center"/>
          </w:tcPr>
          <w:p w14:paraId="172C6BDD" w14:textId="4AB1B921" w:rsidR="00F24946" w:rsidRDefault="00613B06">
            <w:pPr>
              <w:pStyle w:val="P68B1DB1-Normal12"/>
              <w:spacing w:after="0" w:line="240" w:lineRule="auto"/>
              <w:jc w:val="center"/>
              <w:rPr>
                <w:rFonts w:eastAsia="Times New Roman" w:cstheme="minorHAnsi"/>
                <w:noProof/>
              </w:rPr>
            </w:pPr>
            <w:r>
              <w:rPr>
                <w:noProof/>
              </w:rPr>
              <w:t>Število</w:t>
            </w:r>
          </w:p>
        </w:tc>
        <w:tc>
          <w:tcPr>
            <w:tcW w:w="980" w:type="dxa"/>
            <w:shd w:val="clear" w:color="auto" w:fill="C4EFCE"/>
            <w:vAlign w:val="center"/>
          </w:tcPr>
          <w:p w14:paraId="1E32C4B2" w14:textId="13724816" w:rsidR="00F24946" w:rsidRDefault="00613B06">
            <w:pPr>
              <w:pStyle w:val="P68B1DB1-Normal12"/>
              <w:spacing w:after="0" w:line="240" w:lineRule="auto"/>
              <w:jc w:val="center"/>
              <w:rPr>
                <w:rFonts w:eastAsia="Times New Roman" w:cstheme="minorHAnsi"/>
                <w:noProof/>
              </w:rPr>
            </w:pPr>
            <w:r>
              <w:rPr>
                <w:noProof/>
              </w:rPr>
              <w:t>22 360</w:t>
            </w:r>
          </w:p>
        </w:tc>
        <w:tc>
          <w:tcPr>
            <w:tcW w:w="701" w:type="dxa"/>
            <w:shd w:val="clear" w:color="auto" w:fill="C4EFCE"/>
            <w:vAlign w:val="center"/>
          </w:tcPr>
          <w:p w14:paraId="1CB0AF1E" w14:textId="43D15A0F" w:rsidR="00F24946" w:rsidRDefault="00613B06">
            <w:pPr>
              <w:pStyle w:val="P68B1DB1-Normal12"/>
              <w:spacing w:after="0" w:line="240" w:lineRule="auto"/>
              <w:jc w:val="center"/>
              <w:rPr>
                <w:rFonts w:eastAsia="Times New Roman" w:cstheme="minorHAnsi"/>
                <w:noProof/>
              </w:rPr>
            </w:pPr>
            <w:r>
              <w:rPr>
                <w:noProof/>
              </w:rPr>
              <w:t>26 000</w:t>
            </w:r>
          </w:p>
        </w:tc>
        <w:tc>
          <w:tcPr>
            <w:tcW w:w="561" w:type="dxa"/>
            <w:shd w:val="clear" w:color="auto" w:fill="C4EFCE"/>
            <w:vAlign w:val="center"/>
          </w:tcPr>
          <w:p w14:paraId="413ACC31" w14:textId="3CB9F2B6" w:rsidR="00F24946" w:rsidRDefault="00613B06">
            <w:pPr>
              <w:pStyle w:val="P68B1DB1-Normal12"/>
              <w:spacing w:after="0" w:line="240" w:lineRule="auto"/>
              <w:jc w:val="center"/>
              <w:rPr>
                <w:rFonts w:eastAsia="Times New Roman" w:cstheme="minorHAnsi"/>
                <w:noProof/>
              </w:rPr>
            </w:pPr>
            <w:r>
              <w:rPr>
                <w:noProof/>
              </w:rPr>
              <w:t>Q2</w:t>
            </w:r>
          </w:p>
        </w:tc>
        <w:tc>
          <w:tcPr>
            <w:tcW w:w="700" w:type="dxa"/>
            <w:shd w:val="clear" w:color="auto" w:fill="C4EFCE"/>
            <w:vAlign w:val="center"/>
          </w:tcPr>
          <w:p w14:paraId="07B859C8" w14:textId="44A10FA7" w:rsidR="00F24946" w:rsidRDefault="00613B06">
            <w:pPr>
              <w:pStyle w:val="P68B1DB1-Normal12"/>
              <w:spacing w:after="0" w:line="240" w:lineRule="auto"/>
              <w:jc w:val="center"/>
              <w:rPr>
                <w:rFonts w:eastAsia="Times New Roman" w:cstheme="minorHAnsi"/>
                <w:noProof/>
              </w:rPr>
            </w:pPr>
            <w:r>
              <w:rPr>
                <w:noProof/>
              </w:rPr>
              <w:t>2026</w:t>
            </w:r>
          </w:p>
        </w:tc>
        <w:tc>
          <w:tcPr>
            <w:tcW w:w="4606" w:type="dxa"/>
            <w:shd w:val="clear" w:color="auto" w:fill="C4EFCE"/>
            <w:vAlign w:val="center"/>
          </w:tcPr>
          <w:p w14:paraId="4659094D" w14:textId="2882B7AB" w:rsidR="00F24946" w:rsidRDefault="00613B06">
            <w:pPr>
              <w:pStyle w:val="P68B1DB1-Normal12"/>
              <w:spacing w:after="0" w:line="240" w:lineRule="auto"/>
              <w:jc w:val="both"/>
              <w:rPr>
                <w:rFonts w:eastAsia="Times New Roman" w:cstheme="minorHAnsi"/>
                <w:noProof/>
              </w:rPr>
            </w:pPr>
            <w:r>
              <w:rPr>
                <w:noProof/>
              </w:rPr>
              <w:t xml:space="preserve">Število stanovanj, dobavljenih upravičenim gospodinjstvom v okviru programa. Potrebe po primarni energiji za nove stavbe so za vsaj 20 % nižje od potreb stavb s skoraj nično porabo energije. Za sanacijo je referenčna enota na stanovanje 73 kvadratnih metrov, za nove gradnje pa 95 kvadratnih metrov za 3640 stanovanj.  </w:t>
            </w:r>
          </w:p>
        </w:tc>
      </w:tr>
    </w:tbl>
    <w:p w14:paraId="3369A928" w14:textId="77777777" w:rsidR="00F24946" w:rsidRDefault="00F24946">
      <w:pPr>
        <w:spacing w:before="40" w:after="0" w:line="259" w:lineRule="auto"/>
        <w:jc w:val="both"/>
        <w:rPr>
          <w:rFonts w:ascii="Times New Roman" w:eastAsiaTheme="minorEastAsia" w:hAnsi="Times New Roman" w:cs="Times New Roman"/>
          <w:noProof/>
          <w:sz w:val="24"/>
        </w:rPr>
        <w:sectPr w:rsidR="00F24946" w:rsidSect="00E00EDD">
          <w:headerReference w:type="even" r:id="rId66"/>
          <w:headerReference w:type="default" r:id="rId67"/>
          <w:footerReference w:type="even" r:id="rId68"/>
          <w:footerReference w:type="default" r:id="rId69"/>
          <w:headerReference w:type="first" r:id="rId70"/>
          <w:footerReference w:type="first" r:id="rId71"/>
          <w:pgSz w:w="16839" w:h="11907" w:orient="landscape"/>
          <w:pgMar w:top="1134" w:right="1134" w:bottom="1134" w:left="1134" w:header="567" w:footer="567" w:gutter="0"/>
          <w:cols w:space="720"/>
          <w:docGrid w:linePitch="360"/>
        </w:sectPr>
      </w:pPr>
    </w:p>
    <w:p w14:paraId="778B2B3C"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C. KOMPONENTA 3: Socialni odzivi</w:t>
      </w:r>
    </w:p>
    <w:p w14:paraId="3106967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Portugalska se že več let sooča s pomembnimi demografskimi in socialno-ekonomskimi izzivi, ki jih je pandemija COVID-19 še povečala. Ta komponenta portugalskega načrta za okrevanje in odpornost obravnava naslednje izzive: staranje prebivalstva, pravice invalidov in drugih odvisnih oseb ter oseb z revščino in socialno izključenostjo med prikrajšanimi skupnostmi in skupinami. </w:t>
      </w:r>
    </w:p>
    <w:p w14:paraId="64C7C5E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V zvezi s tem ta komponenta obravnava izzive, povezane s strukturno socialno politiko, in pomanjkanje pokritosti s socialnimi storitvami za prebivalstvo/regije, ki potrebujejo pomoč, tako v celinski Portugalski kot v avtonomnih regijah Azori in Madeira. </w:t>
      </w:r>
    </w:p>
    <w:p w14:paraId="5F00D562" w14:textId="77777777" w:rsidR="00F24946" w:rsidRDefault="00613B06">
      <w:pPr>
        <w:pStyle w:val="P68B1DB1-Normal4"/>
        <w:keepNext/>
        <w:spacing w:before="40" w:after="0" w:line="259" w:lineRule="auto"/>
        <w:jc w:val="both"/>
        <w:rPr>
          <w:rFonts w:eastAsiaTheme="minorEastAsia" w:cs="Times New Roman"/>
          <w:noProof/>
        </w:rPr>
      </w:pPr>
      <w:r>
        <w:rPr>
          <w:noProof/>
        </w:rPr>
        <w:t>Glavni cilji komponente so: I) izboljšanje ustanov socialnega varstva in zagotavljanje boljše ozemeljske pokritosti; II) krepitev in razširitev mreže družbenih odzivov z inovativnimi rešitvami ter pilotnimi projekti in ukrepi; razvoj novih podpornih odzivov na ravni skupnosti, ki prispevajo k spodbujanju neodvisnega življenja, preprečevanju odvisnosti in razvoju odzivov za neinstitucionalizacijo v skladu s Konvencijo Združenih narodov o pravicah invalidov; zagotavljanje dostopnosti do vključujočega življenja in udeležbe v družbi in gospodarstvu za invalide; in v) spodbujanje izkoreninjenja revščine z razvojem vseobsegajoče nacionalne strategije, ki se osredotoča na najbolj ranljive in prikrajšane skupnosti.</w:t>
      </w:r>
    </w:p>
    <w:p w14:paraId="3E070AF6" w14:textId="6383616C" w:rsidR="00F24946" w:rsidRDefault="00613B06">
      <w:pPr>
        <w:pStyle w:val="P68B1DB1-Normal4"/>
        <w:keepNext/>
        <w:spacing w:before="40" w:after="0" w:line="259" w:lineRule="auto"/>
        <w:jc w:val="both"/>
        <w:rPr>
          <w:rFonts w:eastAsiaTheme="minorEastAsia" w:cs="Times New Roman"/>
          <w:noProof/>
        </w:rPr>
      </w:pPr>
      <w:r>
        <w:rPr>
          <w:noProof/>
        </w:rPr>
        <w:t>Komponenta podpira obravnavanje priporočila za posamezne države o krepitvi odpornosti zdravstvenega sistema in zagotavljanju enakega dostopa do kakovostnega zdravstvenega varstva in dolgotrajne oskrbe (priporočilo za posamezno državo št. 1 2020). Poleg tega prispeva k obravnavi priporočila za posamezne države o izboljšanju učinkovitosti in ustreznosti mreže socialne varnosti ter izboljšanju ravni znanj in spretnosti prebivalstva (priporočilo za posamezno državo št. 2 iz leta 2019), zagotavljanju zadostne socialne zaščite in dohodkovne podpore ter zagotavljanju enakega dostopa do kakovostnega izobraževanja in usposabljanja (priporočilo za posamezno državo št. 2 2020) ter izboljšanju učinkovitosti portugalskega sistema socialne zaščite, zlasti s poenostavitvijo njegovega okvira (priporočili za posamezne države št. 1 2022 in 2023). Komponenta posredno podpira tudi obravnavanje priporočila za posamezne države o osredotočanju naložb na zeleni in digitalni prehod (priporočilo za posamezno državo št. 3 2020).</w:t>
      </w:r>
    </w:p>
    <w:p w14:paraId="2F3C4A99"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naj bi prispevala k zelenemu in digitalnemu prehodu. Projekti, povezani z gradnjo, širitvijo in obnovo objektov za socialne odzive, se osredotočajo na energijsko učinkovitost, uporabo energije iz obnovljivih virov za lastno porabo ter zmanjšanje stroškov energije in goriva. Vključijo se okoljske razsežnosti s spodbujanjem nove gradnje z visokimi standardi energetske učinkovitosti. Poleg tega so vključeni subjekti opremljeni z brezemisijskimi lahkimi vozili. Ta komponenta vključuje tudi ukrepe, ki krepijo uporabo digitalnih orodij, zlasti s socialnimi storitvami, ki zagotavljajo podporo starejšim, in s strani vlade z oblikovanjem orodij IKT in e-storitev, namenjenih invalidom. </w:t>
      </w:r>
    </w:p>
    <w:p w14:paraId="37069125"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11FB0FD0"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679A4A18"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C.1 Opis reform in naložb za nepovratno finančno podporo</w:t>
      </w:r>
    </w:p>
    <w:p w14:paraId="25196904"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 xml:space="preserve">Reforma RE-r05: Reforma ponudbe zmogljivosti in socialnih odzivov </w:t>
      </w:r>
    </w:p>
    <w:p w14:paraId="5ADE8050" w14:textId="77777777" w:rsidR="00F24946" w:rsidRDefault="00613B06">
      <w:pPr>
        <w:pStyle w:val="P68B1DB1-Normal4"/>
        <w:keepNext/>
        <w:spacing w:before="40" w:after="0" w:line="259" w:lineRule="auto"/>
        <w:jc w:val="both"/>
        <w:rPr>
          <w:rFonts w:eastAsia="Times New Roman" w:cs="Times New Roman"/>
          <w:noProof/>
        </w:rPr>
      </w:pPr>
      <w:r>
        <w:rPr>
          <w:noProof/>
        </w:rPr>
        <w:t>Cilj tega ukrepa je razširiti, nadgraditi in sanirati omrežje socialnih storitev in zmogljivosti, ki jih zagotavljajo javne in zasebne socialne ustanove. Ukrep je namenjen zlasti ranljivim skupinam z gospodarskega, socialnega in zdravstvenega vidika, kot so ljudje in družine, ki živijo v revščini ali imajo nizke dohodke, starejši in odvisni ljudje, invalidi ter otroci in mladi. Poleg tega celostni zdravstveni in socialni podporni ukrepi, predvideni s tem ukrepom, spodbujajo avtonomijo vzdrževanih oseb z njihovo rehabilitacijo in ponovno vključitvijo v družbo v skladu s Konvencijo Združenih narodov o pravicah invalidov</w:t>
      </w:r>
      <w:r>
        <w:rPr>
          <w:noProof/>
        </w:rPr>
        <w:footnoteReference w:id="2"/>
      </w:r>
      <w:r>
        <w:rPr>
          <w:noProof/>
        </w:rPr>
        <w:t xml:space="preserve"> in evropsko strategijo o pravicah invalidov za obdobje 2021–2030</w:t>
      </w:r>
      <w:r>
        <w:rPr>
          <w:noProof/>
        </w:rPr>
        <w:footnoteReference w:id="3"/>
      </w:r>
      <w:r>
        <w:rPr>
          <w:noProof/>
        </w:rPr>
        <w:t xml:space="preserve"> ter zeleno knjigo o staranju – spodbujanje solidarnosti in odgovornosti med generacijami</w:t>
      </w:r>
      <w:r>
        <w:rPr>
          <w:noProof/>
        </w:rPr>
        <w:footnoteReference w:id="4"/>
      </w:r>
      <w:r>
        <w:rPr>
          <w:noProof/>
        </w:rPr>
        <w:t xml:space="preserve">. </w:t>
      </w:r>
    </w:p>
    <w:p w14:paraId="036C6475" w14:textId="77777777" w:rsidR="00F24946" w:rsidRDefault="00613B06">
      <w:pPr>
        <w:pStyle w:val="P68B1DB1-Normal4"/>
        <w:keepNext/>
        <w:spacing w:before="40" w:after="0" w:line="259" w:lineRule="auto"/>
        <w:jc w:val="both"/>
        <w:rPr>
          <w:rFonts w:eastAsia="Times New Roman" w:cs="Times New Roman"/>
          <w:noProof/>
        </w:rPr>
      </w:pPr>
      <w:r>
        <w:rPr>
          <w:noProof/>
        </w:rPr>
        <w:t xml:space="preserve">Ta reforma vključuje začetek izvajanja programa nove generacije opreme in socialnih odzivov z začetkom veljavnosti ureditve za namestitev socialne opreme. Program se osredotoča na ukrepe, kot so: </w:t>
      </w:r>
    </w:p>
    <w:p w14:paraId="70568603"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Izboljšanje socialne oskrbe in prilagojenih storitev v domovih za oskrbo starejših (ERPI) na podlagi ocene potreb;</w:t>
      </w:r>
    </w:p>
    <w:p w14:paraId="4260130E"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Spodbujanje licenciranja in/ali ureditve ERPI zunaj uradnega sistema;</w:t>
      </w:r>
    </w:p>
    <w:p w14:paraId="7AC7E490"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 xml:space="preserve">Pregled zakonodajnega okvira za izdajanje dovoljenj za socialne ustanove, </w:t>
      </w:r>
    </w:p>
    <w:p w14:paraId="61985867"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Spodbujanje inovativnih socialnih odzivov, kot so sodelovalna stanovanja majhnega obsega;</w:t>
      </w:r>
    </w:p>
    <w:p w14:paraId="2C845D6E"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Razvoj inovativnega modela podpore na domu;</w:t>
      </w:r>
    </w:p>
    <w:p w14:paraId="6D012205"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Krepitev socialne podpore za ljudi, ki živijo v socialni izolaciji, z oblikovanjem večdisciplinarnih skupin in mehanizma za kartiranje in spremljanje socialno ranljivih razmer (socialni projekti Radar);</w:t>
      </w:r>
    </w:p>
    <w:p w14:paraId="5F830A95"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Povečanje ravni delovne sile in kakovosti zagotavljanja storitev socialnih odzivov, zlasti na območjih z nizko stopnjo pokritosti;</w:t>
      </w:r>
    </w:p>
    <w:p w14:paraId="4139DE34" w14:textId="77777777" w:rsidR="00F24946" w:rsidRDefault="00613B06">
      <w:pPr>
        <w:pStyle w:val="P68B1DB1-Normal4"/>
        <w:keepNext/>
        <w:numPr>
          <w:ilvl w:val="0"/>
          <w:numId w:val="62"/>
        </w:numPr>
        <w:spacing w:before="40" w:after="160" w:line="259" w:lineRule="auto"/>
        <w:contextualSpacing/>
        <w:jc w:val="both"/>
        <w:rPr>
          <w:rFonts w:eastAsia="Times New Roman" w:cs="Times New Roman"/>
          <w:noProof/>
        </w:rPr>
      </w:pPr>
      <w:r>
        <w:rPr>
          <w:noProof/>
        </w:rPr>
        <w:t>Krepitev socialnih storitev in podpore, namenjenih invalidom ali osebam z odvisnostjo, ter spodbujanje njihove samostojnosti in neodvisnega življenja.</w:t>
      </w:r>
    </w:p>
    <w:p w14:paraId="640E5631" w14:textId="77777777" w:rsidR="00F24946" w:rsidRDefault="00613B06">
      <w:pPr>
        <w:pStyle w:val="P68B1DB1-Normal4"/>
        <w:keepNext/>
        <w:spacing w:before="40" w:after="0" w:line="259" w:lineRule="auto"/>
        <w:jc w:val="both"/>
        <w:rPr>
          <w:rFonts w:eastAsia="Times New Roman" w:cs="Times New Roman"/>
          <w:noProof/>
        </w:rPr>
      </w:pPr>
      <w:r>
        <w:rPr>
          <w:noProof/>
        </w:rPr>
        <w:t xml:space="preserve">Naložba RE-C03-i01 – Nova generacija opreme in socialni odzivi bodo prispevali k izvajanju reforme. </w:t>
      </w:r>
    </w:p>
    <w:p w14:paraId="150D85D2" w14:textId="77777777" w:rsidR="00F24946" w:rsidRDefault="00613B06">
      <w:pPr>
        <w:pStyle w:val="P68B1DB1-Normal4"/>
        <w:keepNext/>
        <w:spacing w:before="40" w:after="0" w:line="259" w:lineRule="auto"/>
        <w:jc w:val="both"/>
        <w:rPr>
          <w:rFonts w:eastAsia="Times New Roman" w:cs="Times New Roman"/>
          <w:noProof/>
        </w:rPr>
      </w:pPr>
      <w:r>
        <w:rPr>
          <w:noProof/>
        </w:rPr>
        <w:t>Mejnik v zvezi z izvajanjem reforme se zaključi do 31. decembra 2021.</w:t>
      </w:r>
    </w:p>
    <w:p w14:paraId="42D391F8"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RE-r06: Nacionalna strategija za vključevanje invalidov za obdobje 2021–2025</w:t>
      </w:r>
    </w:p>
    <w:p w14:paraId="4993B847" w14:textId="77777777" w:rsidR="00F24946" w:rsidRDefault="00613B06">
      <w:pPr>
        <w:pStyle w:val="P68B1DB1-Normal4"/>
        <w:keepNext/>
        <w:spacing w:before="40" w:after="0" w:line="259" w:lineRule="auto"/>
        <w:jc w:val="both"/>
        <w:rPr>
          <w:rFonts w:eastAsia="Times New Roman" w:cs="Times New Roman"/>
          <w:noProof/>
        </w:rPr>
      </w:pPr>
      <w:r>
        <w:rPr>
          <w:noProof/>
        </w:rPr>
        <w:t>Cilj tega ukrepa je olajšati in poglobiti vključevanje invalidov na vsa področja življenja, spodbujati njihovo samostojnost, neodvisnost in samoodločanje ter zagotoviti enake možnosti za vse državljane, ne glede na njihove zmožnosti.</w:t>
      </w:r>
    </w:p>
    <w:p w14:paraId="431145D2" w14:textId="77777777" w:rsidR="00F24946" w:rsidRDefault="00613B06">
      <w:pPr>
        <w:pStyle w:val="P68B1DB1-Normal4"/>
        <w:keepNext/>
        <w:spacing w:before="40" w:after="0" w:line="259" w:lineRule="auto"/>
        <w:jc w:val="both"/>
        <w:rPr>
          <w:rFonts w:eastAsia="Times New Roman" w:cs="Times New Roman"/>
          <w:noProof/>
        </w:rPr>
      </w:pPr>
      <w:r>
        <w:rPr>
          <w:noProof/>
        </w:rPr>
        <w:t>Ta reforma vključuje sprejetje nacionalne strategije za vključevanje invalidov za obdobje 2021–2025. Strategija odraža zaveze Konvencije Združenih narodov o pravicah invalidov</w:t>
      </w:r>
      <w:r>
        <w:rPr>
          <w:noProof/>
        </w:rPr>
        <w:footnoteReference w:id="5"/>
      </w:r>
      <w:r>
        <w:rPr>
          <w:noProof/>
        </w:rPr>
        <w:t xml:space="preserve"> in omogoča uvedbo sklopa ukrepov, kot so:</w:t>
      </w:r>
    </w:p>
    <w:p w14:paraId="747E1C23"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 xml:space="preserve">Preoblikovanje sedanjega regulativnega okvira, kadar je to potrebno; </w:t>
      </w:r>
    </w:p>
    <w:p w14:paraId="250A5CFC"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Preoblikovanje sistema ocenjevanja invalidnosti in certificiranja;</w:t>
      </w:r>
    </w:p>
    <w:p w14:paraId="199DE32D"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Celovita diagnoza invalidov z razvojem sistemov za zbiranje podatkov in spremljanje kazalnikov v podporo odločanju;</w:t>
      </w:r>
    </w:p>
    <w:p w14:paraId="5920EE97"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Posegi na javnih mestih za lažji dostop invalidov;</w:t>
      </w:r>
    </w:p>
    <w:p w14:paraId="5F6E0E5D"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Prilagoditev sistemov usposabljanja, zaposlovanja in kvalifikacij za invalide;</w:t>
      </w:r>
    </w:p>
    <w:p w14:paraId="1C29FB20"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Razvoj inovativnih socialnih storitev in pristopov, ki temeljijo na skupnosti;</w:t>
      </w:r>
    </w:p>
    <w:p w14:paraId="1193BF56"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Sodelovanje invalidov v športu, kulturi in prostočasnih dejavnostih.</w:t>
      </w:r>
    </w:p>
    <w:p w14:paraId="6C200F5F" w14:textId="77777777" w:rsidR="00F24946" w:rsidRDefault="00613B06">
      <w:pPr>
        <w:pStyle w:val="P68B1DB1-Normal4"/>
        <w:keepNext/>
        <w:numPr>
          <w:ilvl w:val="0"/>
          <w:numId w:val="63"/>
        </w:numPr>
        <w:spacing w:before="40" w:after="160" w:line="259" w:lineRule="auto"/>
        <w:contextualSpacing/>
        <w:jc w:val="both"/>
        <w:rPr>
          <w:rFonts w:eastAsia="Times New Roman" w:cs="Times New Roman"/>
          <w:noProof/>
        </w:rPr>
      </w:pPr>
      <w:r>
        <w:rPr>
          <w:noProof/>
        </w:rPr>
        <w:t>Razširitev podpornega modela za samostojno življenje, ki zagotavlja osebno pomoč invalidom;</w:t>
      </w:r>
    </w:p>
    <w:p w14:paraId="24FA9424" w14:textId="77777777" w:rsidR="00F24946" w:rsidRDefault="00613B06">
      <w:pPr>
        <w:pStyle w:val="P68B1DB1-Normal4"/>
        <w:keepNext/>
        <w:spacing w:before="40" w:after="0" w:line="259" w:lineRule="auto"/>
        <w:jc w:val="both"/>
        <w:rPr>
          <w:rFonts w:eastAsia="Times New Roman" w:cs="Times New Roman"/>
          <w:noProof/>
        </w:rPr>
      </w:pPr>
      <w:r>
        <w:rPr>
          <w:noProof/>
        </w:rPr>
        <w:t xml:space="preserve">Naložbe RE-C03-i02: Dostopnost 360° in RE-C03-i05: Platforma in dostop ter naložba RE-C01-i02: K izvajanju reforme prispevata nacionalna mreža integrirane stalne oskrbe in nacionalna mreža za paliativno oskrbo. </w:t>
      </w:r>
    </w:p>
    <w:p w14:paraId="3C1200D2" w14:textId="77777777" w:rsidR="00F24946" w:rsidRDefault="00613B06">
      <w:pPr>
        <w:pStyle w:val="P68B1DB1-Normal4"/>
        <w:keepNext/>
        <w:spacing w:before="40" w:after="0" w:line="259" w:lineRule="auto"/>
        <w:jc w:val="both"/>
        <w:rPr>
          <w:rFonts w:eastAsia="Times New Roman" w:cs="Times New Roman"/>
          <w:noProof/>
        </w:rPr>
      </w:pPr>
      <w:r>
        <w:rPr>
          <w:noProof/>
        </w:rPr>
        <w:t>Mejnik v zvezi z izvajanjem reforme se zaključi do 31. decembra 2021.</w:t>
      </w:r>
    </w:p>
    <w:p w14:paraId="19B646AB"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RE-r07: Sklepanje pogodb za integrirane podporne programe za prikrajšane skupnosti na metropolitanskih območjih</w:t>
      </w:r>
    </w:p>
    <w:p w14:paraId="00C1C17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boj proti revščini in socialni izključenosti v najbolj prikrajšanih občinah metropolitanskih območij Lizbone in Porta. </w:t>
      </w:r>
    </w:p>
    <w:p w14:paraId="24271C84"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reforma je sestavljena iz sklopa integriranih pilotnih ukrepov, ki jih je treba razviti na podlagi ocene in opredelitve posebnih potreb Skupnosti. Po tej fazi diagnoze bodo integrirani ukrepi zasnovani in osredotočeni na dve področji: </w:t>
      </w:r>
    </w:p>
    <w:p w14:paraId="0B7DAF3A" w14:textId="77777777"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Posegi v javni prostor in socialno infrastrukturo, kot so jasli in osnovne šole, zdravstvene ustanove in ustanove za družabne in kulturne prireditve, delavnice in/ali tečaji usposabljanja; in</w:t>
      </w:r>
    </w:p>
    <w:p w14:paraId="6FB7F6AF" w14:textId="423D580E"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Nematerialne ukrepe za spodbujanje socialne kohezije, kot so dejavno vključevanje skupnosti v njihovo oblikovanje in izvajanje, spodbujanje podjetništva malih, lokalnih podjetij, oblikovanje projektov za boj proti šolskemu neuspehu in osipu, zagotavljanje poklicnega usposabljanja in spodbujanje športa. </w:t>
      </w:r>
    </w:p>
    <w:p w14:paraId="7F7F7904"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reforma bo podprta in strukturirana v skladu s prvo portugalsko nacionalno strategijo za boj proti revščini (ENCP) in tematskimi ukrepi za posebne skupine, opredeljene v njej. </w:t>
      </w:r>
    </w:p>
    <w:p w14:paraId="5852842A" w14:textId="77777777" w:rsidR="00F24946" w:rsidRDefault="00613B06">
      <w:pPr>
        <w:pStyle w:val="P68B1DB1-Normal4"/>
        <w:keepNext/>
        <w:spacing w:before="40" w:after="0" w:line="259" w:lineRule="auto"/>
        <w:jc w:val="both"/>
        <w:rPr>
          <w:rFonts w:eastAsiaTheme="minorEastAsia" w:cs="Times New Roman"/>
          <w:noProof/>
        </w:rPr>
      </w:pPr>
      <w:r>
        <w:rPr>
          <w:noProof/>
        </w:rPr>
        <w:t>Reforma se izvaja z naložbo RE-C03-i06 – Integrirane dejavnosti v prikrajšanih skupnostih na metropolitanskih območjih Lizbone in Porta.</w:t>
      </w:r>
    </w:p>
    <w:p w14:paraId="70A526E2" w14:textId="77777777" w:rsidR="00F24946" w:rsidRDefault="00613B06">
      <w:pPr>
        <w:pStyle w:val="P68B1DB1-Normal4"/>
        <w:keepNext/>
        <w:spacing w:before="40" w:after="0" w:line="259" w:lineRule="auto"/>
        <w:jc w:val="both"/>
        <w:rPr>
          <w:rFonts w:eastAsiaTheme="minorEastAsia" w:cs="Times New Roman"/>
          <w:noProof/>
        </w:rPr>
      </w:pPr>
      <w:r>
        <w:rPr>
          <w:noProof/>
        </w:rPr>
        <w:t>Mejnik v zvezi z izvajanjem reforme se zaključi do 31. decembra 2021.</w:t>
      </w:r>
    </w:p>
    <w:p w14:paraId="0AD18DF6"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RE-r08: Nacionalna strategija za boj proti revščini</w:t>
      </w:r>
    </w:p>
    <w:p w14:paraId="243FD289" w14:textId="77777777" w:rsidR="00F24946" w:rsidRDefault="00613B06">
      <w:pPr>
        <w:pStyle w:val="P68B1DB1-Normal4"/>
        <w:keepNext/>
        <w:spacing w:before="40" w:after="0" w:line="259" w:lineRule="auto"/>
        <w:jc w:val="both"/>
        <w:rPr>
          <w:rFonts w:eastAsia="Times New Roman" w:cs="Times New Roman"/>
          <w:noProof/>
        </w:rPr>
      </w:pPr>
      <w:r>
        <w:rPr>
          <w:noProof/>
        </w:rPr>
        <w:t>Cilj tega ukrepa je boj proti revščini z razvojem večdimenzionalnega, celostnega, srednje- in dolgoročnega pristopa.</w:t>
      </w:r>
    </w:p>
    <w:p w14:paraId="3F7CA624" w14:textId="77777777" w:rsidR="00F24946" w:rsidRDefault="00613B06">
      <w:pPr>
        <w:pStyle w:val="P68B1DB1-Normal4"/>
        <w:keepNext/>
        <w:spacing w:before="40" w:after="0" w:line="259" w:lineRule="auto"/>
        <w:jc w:val="both"/>
        <w:rPr>
          <w:rFonts w:eastAsia="Times New Roman" w:cs="Times New Roman"/>
          <w:noProof/>
        </w:rPr>
      </w:pPr>
      <w:r>
        <w:rPr>
          <w:noProof/>
        </w:rPr>
        <w:t>Reforma vključuje sprejetje nacionalne strategije za boj proti revščini (ENCP). Strategija zagotavlja okvir za tematske ukrepe, namenjene posebnim skupinam, od otrok do starejših, vključno z najranljivejšimi skupinami. Določa pogoje za razvoj in izvajanje celostnih politik, ki se osredotočajo na posebnosti socialne izključenosti in revščine na lokalni ravni. Poleg tega določi tudi vzpostavitev enotnega okvira za spremljanje kazalnikov, povezanih z revščino.</w:t>
      </w:r>
    </w:p>
    <w:p w14:paraId="2BFE7AC9" w14:textId="77777777" w:rsidR="00F24946" w:rsidRDefault="00613B06">
      <w:pPr>
        <w:pStyle w:val="P68B1DB1-Normal4"/>
        <w:keepNext/>
        <w:spacing w:before="40" w:after="0" w:line="259" w:lineRule="auto"/>
        <w:jc w:val="both"/>
        <w:rPr>
          <w:rFonts w:eastAsia="Times New Roman" w:cs="Times New Roman"/>
          <w:noProof/>
        </w:rPr>
      </w:pPr>
      <w:r>
        <w:rPr>
          <w:noProof/>
        </w:rPr>
        <w:t>InvestmentRE-C03-i06 – Integrirane dejavnosti v prikrajšanih skupnostih na metropolitanskih območjih Lizbone in Porta prispevajo k izvajanju reforme.</w:t>
      </w:r>
    </w:p>
    <w:p w14:paraId="5CB94457" w14:textId="77777777" w:rsidR="00F24946" w:rsidRDefault="00613B06">
      <w:pPr>
        <w:pStyle w:val="P68B1DB1-Normal4"/>
        <w:keepNext/>
        <w:spacing w:before="40" w:after="0" w:line="259" w:lineRule="auto"/>
        <w:jc w:val="both"/>
        <w:rPr>
          <w:rFonts w:eastAsiaTheme="minorEastAsia" w:cs="Times New Roman"/>
          <w:noProof/>
          <w:highlight w:val="yellow"/>
        </w:rPr>
      </w:pPr>
      <w:r>
        <w:rPr>
          <w:noProof/>
        </w:rPr>
        <w:t>Mejnik v zvezi z izvajanjem reforme se zaključi do 30. septembra 2021.</w:t>
      </w:r>
    </w:p>
    <w:p w14:paraId="4A7F96D8"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RE-C03-i01: Nova generacija opreme in družbeni odzivi</w:t>
      </w:r>
    </w:p>
    <w:p w14:paraId="1BCAC31F" w14:textId="77777777" w:rsidR="00F24946" w:rsidRDefault="00613B06">
      <w:pPr>
        <w:pStyle w:val="P68B1DB1-Normal4"/>
        <w:keepNext/>
        <w:spacing w:before="40" w:after="0" w:line="259" w:lineRule="auto"/>
        <w:jc w:val="both"/>
        <w:rPr>
          <w:rFonts w:eastAsiaTheme="minorEastAsia" w:cs="Times New Roman"/>
          <w:noProof/>
        </w:rPr>
      </w:pPr>
      <w:r>
        <w:rPr>
          <w:noProof/>
        </w:rPr>
        <w:t>Cilj tega ukrepa je nadgraditi in razširiti mrežo storitev socialnega varstva, da se razvijejo učinkovitejše metode zagotavljanja storitev, doseže širša nacionalna ozemeljska pokritost ter izboljšajo delovni pogoji strokovnjakov v teh strukturah in kakovost oskrbe, ki se zagotavlja uporabnikom.</w:t>
      </w:r>
    </w:p>
    <w:p w14:paraId="4CAC5042" w14:textId="77777777" w:rsidR="00F24946" w:rsidRDefault="00613B06">
      <w:pPr>
        <w:pStyle w:val="P68B1DB1-Normal4"/>
        <w:keepNext/>
        <w:spacing w:before="40" w:after="0" w:line="259" w:lineRule="auto"/>
        <w:jc w:val="both"/>
        <w:rPr>
          <w:rFonts w:eastAsiaTheme="minorEastAsia" w:cs="Times New Roman"/>
          <w:noProof/>
        </w:rPr>
      </w:pPr>
      <w:r>
        <w:rPr>
          <w:noProof/>
        </w:rPr>
        <w:t>To naložbo sestavljajo:</w:t>
      </w:r>
    </w:p>
    <w:p w14:paraId="098FBF35" w14:textId="77777777"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obnovo in razširitev obstoječih socialnih storitev ter gradnjo novih, kot so jasli, domovi za oskrbo starejših (ERPI) in centri za dejavnosti in krepitev vloge za vključevanje;</w:t>
      </w:r>
    </w:p>
    <w:p w14:paraId="6AA715D0" w14:textId="4667F989"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razširitev mrež za socialne odzive rezidentov za avtonomijo in vključevanje ter podpornih storitev na domu s povečanjem števila uporabnikov, ki bi jih lahko zajeli; </w:t>
      </w:r>
    </w:p>
    <w:p w14:paraId="26FCCA4B" w14:textId="77777777"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razširitev mreže družbenih odzivov z novimi tipologijami, kot je sonastanitev;</w:t>
      </w:r>
    </w:p>
    <w:p w14:paraId="4AE97124" w14:textId="77777777"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nakup tehnične in digitalne opreme, vključno z nakupom električnih vozil; in </w:t>
      </w:r>
    </w:p>
    <w:p w14:paraId="78A6605F" w14:textId="1354886C" w:rsidR="00F24946" w:rsidRDefault="00613B06">
      <w:pPr>
        <w:pStyle w:val="P68B1DB1-Normal4"/>
        <w:keepNext/>
        <w:numPr>
          <w:ilvl w:val="0"/>
          <w:numId w:val="52"/>
        </w:numPr>
        <w:spacing w:before="40" w:after="160" w:line="259" w:lineRule="auto"/>
        <w:contextualSpacing/>
        <w:jc w:val="both"/>
        <w:rPr>
          <w:rFonts w:eastAsiaTheme="minorEastAsia" w:cs="Times New Roman"/>
          <w:noProof/>
        </w:rPr>
      </w:pPr>
      <w:r>
        <w:rPr>
          <w:noProof/>
        </w:rPr>
        <w:t>začetek pilotnega projekta, imenovanega „Radar Social“, katerega cilj je na nacionalni ravni preskusiti skoraj proaktiven in inovativen model integrirane socialne podpore. Ta model je bil v občini Lizbona že preizkušen in zajema le eno ciljno skupino (starejše), zdaj pa naj bi zajel celotno celino s širšim področjem uporabe glede na ciljno skupino (vsako osebo, ki ji grozi socialna izključenost, brez zadostne socialne in/ali družinske podpore). Projekt vključuje ugotavljanje in evidentiranje potreb ter druge ukrepe, kot so spodbujanje državljanske udeležbe, spodbujanje uporabe digitalnih in informacijskih orodij za dostop do osnovnih storitev skupnosti in spodbujanje športa. V ta namen se v občinah celinske Portugalske ustanovi 278 skupin za socialno posredovanje. Skupine so odgovorne za prepoznavanje starejših in drugih ranljivih oseb, ki jim grozi socialna izključenost, ter zagotavljanje podpore glede na njihove individualne potrebe.</w:t>
      </w:r>
    </w:p>
    <w:p w14:paraId="21CC04BD"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2ADE939D"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RE-C03-i02: Dostopnost 360°</w:t>
      </w:r>
    </w:p>
    <w:p w14:paraId="37D1B66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izboljšati pogoje dostopnosti za invalide na javnih mestih, javnih stavbah in stanovanjih na celotnem ozemlju. </w:t>
      </w:r>
    </w:p>
    <w:p w14:paraId="034FEC2F" w14:textId="77777777" w:rsidR="00F24946" w:rsidRDefault="00613B06">
      <w:pPr>
        <w:pStyle w:val="P68B1DB1-Normal4"/>
        <w:keepNext/>
        <w:spacing w:before="40" w:after="0" w:line="259" w:lineRule="auto"/>
        <w:jc w:val="both"/>
        <w:rPr>
          <w:rFonts w:eastAsiaTheme="minorEastAsia" w:cs="Times New Roman"/>
          <w:noProof/>
        </w:rPr>
      </w:pPr>
      <w:r>
        <w:rPr>
          <w:noProof/>
        </w:rPr>
        <w:t>Ta naložba je v celoti skladna z evropsko strategijo o pravicah invalidov za obdobje 2021–2030</w:t>
      </w:r>
      <w:r>
        <w:rPr>
          <w:noProof/>
        </w:rPr>
        <w:footnoteReference w:id="6"/>
      </w:r>
      <w:r>
        <w:rPr>
          <w:noProof/>
        </w:rPr>
        <w:t xml:space="preserve"> in je sestavljena iz treh sklopov:</w:t>
      </w:r>
    </w:p>
    <w:p w14:paraId="0E9823BC" w14:textId="1DDCDE8E"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intervencijski program za javno pot za obdobje 2021–2025 (PIVP), ki vključuje operacije in gradbena dela na vsaj 200 000 m² javnega prostora, kot so stranski sprehodi in kvadrati; </w:t>
      </w:r>
    </w:p>
    <w:p w14:paraId="7D9FAE99"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intervencijski program v javnih stavbah za obdobje 2021–2025 (PiEP), ki vključuje dejavnosti in gradbena dela v vsaj 1500 stavbah javnih služb; in</w:t>
      </w:r>
    </w:p>
    <w:p w14:paraId="71FA1279"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stanovanjski intervencijski program 2021–2025 (PIH), ki vključuje obnovo in gradbena dela v vsaj 1000 obstoječih stanovanjih invalidov. </w:t>
      </w:r>
    </w:p>
    <w:p w14:paraId="21A3A591"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1E137E06"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RE-C03-i03-RAM: Krepitev socialnih odzivov v avtonomni regiji Madeira (ARM)</w:t>
      </w:r>
    </w:p>
    <w:p w14:paraId="6CD6778E" w14:textId="77777777" w:rsidR="00F24946" w:rsidRDefault="00613B06">
      <w:pPr>
        <w:pStyle w:val="P68B1DB1-Normal4"/>
        <w:keepNext/>
        <w:spacing w:before="40" w:after="0" w:line="259" w:lineRule="auto"/>
        <w:jc w:val="both"/>
        <w:rPr>
          <w:rFonts w:eastAsiaTheme="minorEastAsia" w:cs="Times New Roman"/>
          <w:noProof/>
        </w:rPr>
      </w:pPr>
      <w:r>
        <w:rPr>
          <w:noProof/>
        </w:rPr>
        <w:t>Cilj tega ukrepa je okrepiti mrežo socialnih storitev v avtonomni regiji Madeira.</w:t>
      </w:r>
    </w:p>
    <w:p w14:paraId="7AB5787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ukrepe v domovih za oskrbo starejših (ERPI) in razširitev struktur socialne podpore za brezdomce. Ti ukrepi vključujejo gradnjo novih ter prenovo in nadgradnjo obstoječih objektov ter nakup potrebne tehnične in digitalne opreme ter opreme IT, vključno z nakupom električnih vozil, da se olajša in izboljša doseg strokovnjakov na področju socialnih storitev na oddaljenih območjih. </w:t>
      </w:r>
    </w:p>
    <w:p w14:paraId="1EDAA2FB" w14:textId="263611C5" w:rsidR="00F24946" w:rsidRDefault="00613B06">
      <w:pPr>
        <w:pStyle w:val="P68B1DB1-Normal4"/>
        <w:keepNext/>
        <w:spacing w:before="40" w:after="0" w:line="259" w:lineRule="auto"/>
        <w:jc w:val="both"/>
        <w:rPr>
          <w:rFonts w:eastAsiaTheme="minorEastAsia" w:cs="Times New Roman"/>
          <w:noProof/>
        </w:rPr>
      </w:pPr>
      <w:r>
        <w:rPr>
          <w:noProof/>
        </w:rPr>
        <w:t xml:space="preserve">Ukrepi vključujejo rehabilitacijo in razširitev stanovanjskih in nestanovanjskih struktur za starejše, ki so namenjene osebam, starim 65 let in več, ki ne morejo ostati v svojem prebivališču. V ustrezno utemeljenih izjemnih primerih lahko sprejmejo tudi odrasle osebe, mlajše od 65 let. </w:t>
      </w:r>
    </w:p>
    <w:p w14:paraId="44AB2A82" w14:textId="4A6664DB" w:rsidR="00F24946" w:rsidRDefault="00613B06">
      <w:pPr>
        <w:pStyle w:val="P68B1DB1-Normal4"/>
        <w:keepNext/>
        <w:spacing w:before="40" w:after="0" w:line="259" w:lineRule="auto"/>
        <w:jc w:val="both"/>
        <w:rPr>
          <w:rFonts w:eastAsiaTheme="minorEastAsia" w:cs="Times New Roman"/>
          <w:noProof/>
        </w:rPr>
      </w:pPr>
      <w:r>
        <w:rPr>
          <w:noProof/>
        </w:rPr>
        <w:t xml:space="preserve">Ukrepi, namenjeni brezdomcem, vključujejo vzpostavitev nočnega sprejema za reševanje izrednih razmer in zagotovitev nastanitve, vzpostavitev kopalnih sob in pralnice za spodbujanje osebne higiene, obnovo prostora za zagotavljanje obrokov in dejavnosti delavnic za razvoj socialnih spretnosti in kompetenc med upravičenci. </w:t>
      </w:r>
    </w:p>
    <w:p w14:paraId="758AA752" w14:textId="5537FE59" w:rsidR="00F24946" w:rsidRDefault="00613B06">
      <w:pPr>
        <w:pStyle w:val="P68B1DB1-Normal4"/>
        <w:keepNext/>
        <w:spacing w:before="40" w:after="0" w:line="259" w:lineRule="auto"/>
        <w:jc w:val="both"/>
        <w:rPr>
          <w:rFonts w:eastAsiaTheme="minorEastAsia" w:cs="Times New Roman"/>
          <w:noProof/>
        </w:rPr>
      </w:pPr>
      <w:r>
        <w:rPr>
          <w:noProof/>
        </w:rPr>
        <w:t>Naložba se izvede do 30. decembra 2025.</w:t>
      </w:r>
    </w:p>
    <w:p w14:paraId="6341FCC8"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RE-C03-i04-RAA: Izvajanje regionalne strategije za boj proti revščini in socialni izključenosti – mreže za socialno podporo (ARA)</w:t>
      </w:r>
    </w:p>
    <w:p w14:paraId="758B789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izvajanje prednostnih nalog regionalne strategije za boj proti revščini in socialni izključenosti za obdobje 2018–2028 (ERCPES) avtonomne regije Azori. V strategiji so opredeljene štiri strateške prednostne naloge, ki se medsebojno dopolnjujejo: </w:t>
      </w:r>
    </w:p>
    <w:p w14:paraId="029D52CF"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P1 – Zagotavljanje celovitega in vključujočega razvojnega procesa za vse otroke in mlade od začetka življenja; </w:t>
      </w:r>
    </w:p>
    <w:p w14:paraId="687E73B0"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P2 – Krepitev socialne kohezije v regiji; </w:t>
      </w:r>
    </w:p>
    <w:p w14:paraId="56291263"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P3 – Spodbujanje teritorializirane intervencije; in</w:t>
      </w:r>
    </w:p>
    <w:p w14:paraId="00B33C95"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P4 – Zagotoviti ustrezno poznavanje pojava revščine v regiji.</w:t>
      </w:r>
    </w:p>
    <w:p w14:paraId="7727C0B8" w14:textId="5AB285C1" w:rsidR="00F24946" w:rsidRDefault="00613B06">
      <w:pPr>
        <w:pStyle w:val="P68B1DB1-Normal4"/>
        <w:keepNext/>
        <w:spacing w:before="40" w:after="0" w:line="259" w:lineRule="auto"/>
        <w:jc w:val="both"/>
        <w:rPr>
          <w:rFonts w:eastAsiaTheme="minorEastAsia" w:cs="Times New Roman"/>
          <w:noProof/>
        </w:rPr>
      </w:pPr>
      <w:r>
        <w:rPr>
          <w:noProof/>
        </w:rPr>
        <w:t xml:space="preserve">Te naložbe so sestavljene iz sklopa ukrepov za povečanje dostopa otrok in mladih do socialnih in izobraževalnih storitev ter za krepitev socialne kohezije s podpiranjem družin v stiski in invalidov pri njihovem vključevanju v družbo in na trg dela. Ti vključujejo vsaj oblikovanje točk za podporo študiju za boj proti osipu, subvencije gospodinjstvom z nizkimi dohodki kot spodbudo za udeležbo v vrtcih, ustvarjanje dodatnih (fizičnih) mest v vrtcih in centrih za dnevno varstvo, ustvarjanje novih mest za invalide v centrih za podporo invalidom, nakup avtomobilov za obnovo voznega parka socialnih avtomobilov Instituições Particulares de Solidariedade in usposabljanje za posameznike iz družin, za katere velja dohodek za socialno vključenost, da se jim zagotovijo dodatna osnovna znanja in spretnosti, ki jim omogočajo vstop na trg dela. </w:t>
      </w:r>
    </w:p>
    <w:p w14:paraId="4B19539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Te naložbe vključujejo tudi začetek pilotnega programa z naslovom „Obstoječe staranje“, katerega cilj je spodbujanje neinstitucionalne oskrbe starejših in/ali invalidov. </w:t>
      </w:r>
    </w:p>
    <w:p w14:paraId="25A7EFAB" w14:textId="3AA9570B"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36A22E9D"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RE-C03-i05: Platforma + dostop</w:t>
      </w:r>
    </w:p>
    <w:p w14:paraId="06E31F6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spodbujati vključevanje invalidov z zagotavljanjem sklopa digitalnih informacijskih orodij in storitev, ki bodo olajšali prilagajanje njihovim potrebam in olajšali njihovo udeležbo v družbi. </w:t>
      </w:r>
    </w:p>
    <w:p w14:paraId="5239124E" w14:textId="77777777" w:rsidR="00F24946" w:rsidRDefault="00613B06">
      <w:pPr>
        <w:pStyle w:val="P68B1DB1-Normal4"/>
        <w:keepNext/>
        <w:spacing w:before="40" w:after="0" w:line="259" w:lineRule="auto"/>
        <w:jc w:val="both"/>
        <w:rPr>
          <w:rFonts w:eastAsiaTheme="minorEastAsia" w:cs="Times New Roman"/>
          <w:noProof/>
        </w:rPr>
      </w:pPr>
      <w:r>
        <w:rPr>
          <w:noProof/>
        </w:rPr>
        <w:t>Naložbo sestavlja pet programov:</w:t>
      </w:r>
    </w:p>
    <w:p w14:paraId="72800A48"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Geografsko določanje lokacije in pogojev dostopnosti javnih stavb; </w:t>
      </w:r>
    </w:p>
    <w:p w14:paraId="35176517"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Globalni informacijski sistemi in sistemi za določanje položaja (GPS) za velike javne stavbe, ki omogočajo vključitev zasebnih stavb; </w:t>
      </w:r>
    </w:p>
    <w:p w14:paraId="5D8E03C9"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Geografsko določanje parkirnih mest za osebe z omejeno mobilnostjo; </w:t>
      </w:r>
    </w:p>
    <w:p w14:paraId="2C342D75"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Digitalno informacijsko platformo; </w:t>
      </w:r>
    </w:p>
    <w:p w14:paraId="68C0A982" w14:textId="77777777" w:rsidR="00F24946" w:rsidRDefault="00613B06">
      <w:pPr>
        <w:pStyle w:val="P68B1DB1-Normal4"/>
        <w:keepNext/>
        <w:numPr>
          <w:ilvl w:val="0"/>
          <w:numId w:val="20"/>
        </w:numPr>
        <w:spacing w:before="40" w:after="160" w:line="259" w:lineRule="auto"/>
        <w:contextualSpacing/>
        <w:jc w:val="both"/>
        <w:rPr>
          <w:rFonts w:eastAsiaTheme="minorEastAsia" w:cs="Times New Roman"/>
          <w:noProof/>
        </w:rPr>
      </w:pPr>
      <w:r>
        <w:rPr>
          <w:noProof/>
        </w:rPr>
        <w:t>Oblikovanje klicnega centra za tolmačenje portugalskega znakovnega jezika.</w:t>
      </w:r>
    </w:p>
    <w:p w14:paraId="4233CF6C" w14:textId="1521E268" w:rsidR="00F24946" w:rsidRDefault="00613B06">
      <w:pPr>
        <w:pStyle w:val="P68B1DB1-Normal4"/>
        <w:keepNext/>
        <w:spacing w:before="40" w:after="0" w:line="259" w:lineRule="auto"/>
        <w:jc w:val="both"/>
        <w:rPr>
          <w:rFonts w:eastAsiaTheme="minorEastAsia" w:cs="Times New Roman"/>
          <w:noProof/>
        </w:rPr>
      </w:pPr>
      <w:r>
        <w:rPr>
          <w:noProof/>
        </w:rPr>
        <w:t xml:space="preserve">Ti programi so zasnovani tako, da se osebam z omejeno mobilnostjo zagotovijo georeferenčne rešitve za pogoje dostopnosti na javnih cestah, javnih in zasebnih stavbah ter parkiriščih, vzpostavi digitalna informacijska platforma, ki združuje in poenostavlja informacije o ustrezni zakonodaji in podpira vire za invalide, ter gluhim državljanom zagotavlja klicni center, ki zagotavlja tolmačenje v realnem času v portugalskem znakovnem jeziku, ki je na voljo vsem javnim upravam. </w:t>
      </w:r>
    </w:p>
    <w:p w14:paraId="58A92AFD"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6CE3140F"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RE-C03-i06: Integrirane operacije v prikrajšanih skupnostih na metropolitanskih območjih Lizbone in Porta</w:t>
      </w:r>
    </w:p>
    <w:p w14:paraId="5E856FB8" w14:textId="77777777" w:rsidR="00F24946" w:rsidRDefault="00613B06">
      <w:pPr>
        <w:pStyle w:val="P68B1DB1-Normal4"/>
        <w:keepNext/>
        <w:spacing w:before="40" w:after="0" w:line="259" w:lineRule="auto"/>
        <w:jc w:val="both"/>
        <w:rPr>
          <w:rFonts w:eastAsiaTheme="minorEastAsia" w:cs="Times New Roman"/>
          <w:noProof/>
        </w:rPr>
      </w:pPr>
      <w:r>
        <w:rPr>
          <w:noProof/>
        </w:rPr>
        <w:t>Cilj tega obsežnega in inovativnega pilotnega ukrepa je boj proti revščini in socialni izključenosti v najbolj prikrajšanih občinah metropolitanskih območij Lizbone in Porta. Če so intervencije uspešne, se lahko povečajo.</w:t>
      </w:r>
    </w:p>
    <w:p w14:paraId="401BD1D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naložba je sestavljena iz sklopa ukrepov, povezanih s posebnimi potrebami teh občin. Ti ukrepi vključujejo krepitev vloge skupnosti, razvoj novih in inovativnih pristopov k socialni koheziji ter posege v javni prostor, socialno in športno infrastrukturo ter stanovanja. Glavni cilji teh ukrepov so: </w:t>
      </w:r>
    </w:p>
    <w:p w14:paraId="064D0EF4"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Spodbujanje zdravja in kakovosti življenja skupnosti s podpiranjem projektov, ki jih predložijo združenja lokalnih organov, nevladne organizacije, civilna gibanja in organizacije prebivalcev, zdravstveni organi ali drugi javni organi; </w:t>
      </w:r>
    </w:p>
    <w:p w14:paraId="554359D1"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Fizična nadgradnja javnega prostora ter socialne, zdravstvene, stanovanjske ali športne infrastrukture; </w:t>
      </w:r>
    </w:p>
    <w:p w14:paraId="13D98317"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Obnova socialno prikrajšanih območij s spodbujanjem socialne kohezije na metropolitanskih območjih; </w:t>
      </w:r>
    </w:p>
    <w:p w14:paraId="1A86CCDE"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Spodbujanje podjetništva malih, lokalnih podjetij; </w:t>
      </w:r>
    </w:p>
    <w:p w14:paraId="406E2D60"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Izboljšanje dostopa do zdravja in boj proti odvisnosti;</w:t>
      </w:r>
    </w:p>
    <w:p w14:paraId="5DCF95B6"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Razvoj programov aktivnega in zdravega staranja; </w:t>
      </w:r>
    </w:p>
    <w:p w14:paraId="7FAF5F26"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Oblikovanje projektov za boj proti šolskemu neuspehu in osipu;</w:t>
      </w:r>
    </w:p>
    <w:p w14:paraId="05E23490"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Izboljšanje kvalifikacij odraslih in potrjevanje njihovih znanj in spretnosti; </w:t>
      </w:r>
    </w:p>
    <w:p w14:paraId="52072040"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Ugotavljanje potreb prebivalstva in razvoj pismenosti odraslih, portugalskega učenja jezikov in programov digitalnega vključevanja; </w:t>
      </w:r>
    </w:p>
    <w:p w14:paraId="766D09F8"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Poklicno usposabljanje in politike za spodbujanje zaposljivosti, prilagojene lokalnim razmeram in dinamiki; </w:t>
      </w:r>
    </w:p>
    <w:p w14:paraId="50245D50"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Dostop do kulture in ustvarjalnosti ter vrednotenje medkulturnosti; </w:t>
      </w:r>
    </w:p>
    <w:p w14:paraId="1E1CA766"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Spodbujanje sodelovanja skupnosti pri upravljanju samega programa; </w:t>
      </w:r>
    </w:p>
    <w:p w14:paraId="4C4EA5A8"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Krepitev vloge lokalnih akterjev v partnerskih mrežah; </w:t>
      </w:r>
    </w:p>
    <w:p w14:paraId="00360151"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Rešitve za boj proti revščini in socialni izključenosti; </w:t>
      </w:r>
    </w:p>
    <w:p w14:paraId="32DD2764"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Spodbujanje športa kot enega od socialnih instrumentov, ki združuje člane skupnosti, spodbuja vrednote in odpravlja socialne neenakosti; </w:t>
      </w:r>
    </w:p>
    <w:p w14:paraId="693CEC30" w14:textId="77777777" w:rsidR="00F24946" w:rsidRDefault="00613B06">
      <w:pPr>
        <w:pStyle w:val="P68B1DB1-Normal4"/>
        <w:keepNext/>
        <w:numPr>
          <w:ilvl w:val="0"/>
          <w:numId w:val="21"/>
        </w:numPr>
        <w:spacing w:before="40" w:after="160" w:line="259" w:lineRule="auto"/>
        <w:contextualSpacing/>
        <w:jc w:val="both"/>
        <w:rPr>
          <w:rFonts w:eastAsiaTheme="minorEastAsia" w:cs="Times New Roman"/>
          <w:noProof/>
        </w:rPr>
      </w:pPr>
      <w:r>
        <w:rPr>
          <w:noProof/>
        </w:rPr>
        <w:t>Državljanstvo ter dostop do pravic in državljanska udeležba.</w:t>
      </w:r>
    </w:p>
    <w:p w14:paraId="613DD2E4" w14:textId="77777777" w:rsidR="00F24946" w:rsidRDefault="00613B06">
      <w:pPr>
        <w:pStyle w:val="P68B1DB1-Normal4"/>
        <w:keepNext/>
        <w:spacing w:before="40" w:after="0" w:line="259" w:lineRule="auto"/>
        <w:jc w:val="both"/>
        <w:rPr>
          <w:rFonts w:eastAsiaTheme="minorEastAsia" w:cs="Times New Roman"/>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7"/>
      </w:r>
      <w:r>
        <w:rPr>
          <w:noProof/>
        </w:rPr>
        <w:t>; II) dejavnosti v okviru sistema EU za trgovanje z emisijami (ETS), s katerimi se dosegajo predvidene emisije toplogrednih plinov, ki niso nižje od ustreznih referenčnih vrednosti</w:t>
      </w:r>
      <w:r>
        <w:rPr>
          <w:noProof/>
        </w:rPr>
        <w:footnoteReference w:id="8"/>
      </w:r>
      <w:r>
        <w:rPr>
          <w:noProof/>
        </w:rPr>
        <w:t>; III) dejavnosti, povezane z odlagališči odpadkov, sežigalnicami</w:t>
      </w:r>
      <w:r>
        <w:rPr>
          <w:noProof/>
        </w:rPr>
        <w:footnoteReference w:id="9"/>
      </w:r>
      <w:r>
        <w:rPr>
          <w:noProof/>
        </w:rPr>
        <w:t xml:space="preserve"> in napravami za mehansko-biološko obdelavo</w:t>
      </w:r>
      <w:r>
        <w:rPr>
          <w:noProof/>
        </w:rPr>
        <w:footnoteReference w:id="10"/>
      </w:r>
      <w:r>
        <w:rPr>
          <w:noProof/>
        </w:rPr>
        <w:t xml:space="preserve">; in iv) dejavnosti, pri katerih lahko dolgoročno odstranjevanje odpadkov škoduje okolju. Poleg tega se zahteva, da se lahko izberejo samo dejavnosti, ki so skladne z ustrezno okoljsko zakonodajo EU in nacionalno okoljsko zakonodajo. </w:t>
      </w:r>
    </w:p>
    <w:p w14:paraId="1112183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365B9857" w14:textId="03150B32" w:rsidR="00F24946" w:rsidRDefault="00613B06">
      <w:pPr>
        <w:pStyle w:val="P68B1DB1-Normal5"/>
        <w:keepNext/>
        <w:spacing w:before="240" w:after="0" w:line="259" w:lineRule="auto"/>
        <w:ind w:left="851"/>
        <w:jc w:val="both"/>
        <w:outlineLvl w:val="3"/>
        <w:rPr>
          <w:rFonts w:eastAsiaTheme="minorEastAsia" w:cs="Times New Roman"/>
          <w:noProof/>
        </w:rPr>
      </w:pPr>
      <w:bookmarkStart w:id="5" w:name="_Toc137472441"/>
      <w:r>
        <w:rPr>
          <w:noProof/>
        </w:rPr>
        <w:t>Naložba RE-C03-i07-RAA: Nadgradnja in razširitev mreže domov za oskrbo starejših (ERPI)</w:t>
      </w:r>
      <w:bookmarkEnd w:id="5"/>
      <w:r>
        <w:rPr>
          <w:noProof/>
        </w:rPr>
        <w:t xml:space="preserve"> </w:t>
      </w:r>
    </w:p>
    <w:p w14:paraId="72F021BC" w14:textId="06996ABE"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zagotoviti podporo starejšim v avtonomni regiji Azori. </w:t>
      </w:r>
    </w:p>
    <w:p w14:paraId="014B2B3A" w14:textId="3DD1A0F6"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intervencije v domovih za oskrbo starejših (ERPI). Ti posegi vključujejo razširitev in obnovo obstoječih objektov, ki zajemajo 91 mest v domovih za bivalne domove. </w:t>
      </w:r>
    </w:p>
    <w:p w14:paraId="3BC60259" w14:textId="69F9FA5D" w:rsidR="00F24946" w:rsidRDefault="00613B06">
      <w:pPr>
        <w:pStyle w:val="P68B1DB1-Normal4"/>
        <w:keepNext/>
        <w:spacing w:before="40" w:after="0" w:line="259" w:lineRule="auto"/>
        <w:jc w:val="both"/>
        <w:rPr>
          <w:rFonts w:eastAsiaTheme="minorEastAsia" w:cs="Times New Roman"/>
          <w:noProof/>
        </w:rPr>
      </w:pPr>
      <w:r>
        <w:rPr>
          <w:noProof/>
        </w:rPr>
        <w:t xml:space="preserve">Naložba prispeva k zagotavljanju specializirane in stalne oskrbe tistim, ki so odvisni ali živijo v negotovih razmerah, ki jim ne omogočajo prejemanja podpornih storitev na domu. Infrastruktura se izogiba oviram in oviram za fizično dostopnost v skladu s Konvencijo Združenih narodov o pravicah invalidov in nacionalno zakonodajo, zlasti nacionalno strategijo za vključevanje invalidov. </w:t>
      </w:r>
    </w:p>
    <w:p w14:paraId="3654E59A"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4C31BC3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65F48950" w14:textId="595B40F9" w:rsidR="00F24946" w:rsidRDefault="00613B06">
      <w:pPr>
        <w:pStyle w:val="P68B1DB1-Heading214"/>
        <w:rPr>
          <w:noProof/>
        </w:rPr>
      </w:pPr>
      <w:bookmarkStart w:id="6" w:name="_Toc137472442"/>
      <w:r>
        <w:rPr>
          <w:noProof/>
        </w:rPr>
        <w:t>Reforma RE-C03-r38: Poenostavitev in učinkovitost sistema socialne varnosti</w:t>
      </w:r>
    </w:p>
    <w:p w14:paraId="7144A198" w14:textId="0CEAF0E9" w:rsidR="00F24946" w:rsidRDefault="00613B06">
      <w:pPr>
        <w:pStyle w:val="P68B1DB1-Normal4"/>
        <w:keepNext/>
        <w:spacing w:before="40" w:after="0" w:line="259" w:lineRule="auto"/>
        <w:jc w:val="both"/>
        <w:rPr>
          <w:rFonts w:eastAsiaTheme="minorEastAsia" w:cs="Times New Roman"/>
          <w:noProof/>
        </w:rPr>
      </w:pPr>
      <w:r>
        <w:rPr>
          <w:noProof/>
        </w:rPr>
        <w:t>Cilj te reforme je poenostaviti portugalski sistem socialne varnosti (Sistema de Segurança Social), da bi se povečala njegova učinkovitost v boju proti revščini in socialni izključenosti z izboljšanjem ustreznosti, kritja in uporabe socialnih prejemkov. Cilj reforme je prispevati k nacionalnim ciljem akcijskega načrta za evropski steber socialnih pravic, in sicer cilju zmanjšanja revščine za 765000 ljudi do leta 2030, in k izvajanju načel iz priporočila Sveta o ustreznem minimalnem dohodku, ki zagotavlja aktivno vključevanje.</w:t>
      </w:r>
    </w:p>
    <w:p w14:paraId="70F834C2" w14:textId="77777777" w:rsidR="00F24946" w:rsidRDefault="00613B06">
      <w:pPr>
        <w:pStyle w:val="P68B1DB1-Normal4"/>
        <w:keepNext/>
        <w:spacing w:before="40" w:after="0" w:line="259" w:lineRule="auto"/>
        <w:jc w:val="both"/>
        <w:rPr>
          <w:rFonts w:eastAsiaTheme="minorEastAsia" w:cs="Times New Roman"/>
          <w:noProof/>
        </w:rPr>
      </w:pPr>
      <w:r>
        <w:rPr>
          <w:noProof/>
        </w:rPr>
        <w:t>Portugalski sistem socialne varnosti zajema tri podsisteme: sistem socialne zaščite na podlagi državljanstva („Proteção Social de Cidadania“) ali režim, za katerega se ne plačujejo prispevki; (II) sistem zavarovanja, ki temelji na prispevkih zaposlenih in delodajalcev („Sistema Previdencial“) ali sistem plačevanja prispevkov; ter (iii) dopolnilni sistem („Sistema Complementar“), ki je prostovoljen ter vključuje javne in zasebne dopolnilne sheme.</w:t>
      </w:r>
    </w:p>
    <w:p w14:paraId="7D0CF015" w14:textId="77777777" w:rsidR="00F24946" w:rsidRDefault="00613B06">
      <w:pPr>
        <w:pStyle w:val="P68B1DB1-Normal4"/>
        <w:keepNext/>
        <w:spacing w:before="40" w:after="0" w:line="259" w:lineRule="auto"/>
        <w:jc w:val="both"/>
        <w:rPr>
          <w:rFonts w:eastAsiaTheme="minorEastAsia" w:cs="Times New Roman"/>
          <w:noProof/>
        </w:rPr>
      </w:pPr>
      <w:r>
        <w:rPr>
          <w:noProof/>
        </w:rPr>
        <w:t>Reforma upošteva poročilo, ki ga pripravi strokovna delovna skupina in ustrezna posvetovanja z zainteresiranimi stranmi, ter določa naslednje elemente:</w:t>
      </w:r>
    </w:p>
    <w:p w14:paraId="74634E56" w14:textId="77777777" w:rsidR="00F24946" w:rsidRDefault="00613B06">
      <w:pPr>
        <w:pStyle w:val="ListParagraph"/>
        <w:keepNext w:val="0"/>
        <w:numPr>
          <w:ilvl w:val="0"/>
          <w:numId w:val="73"/>
        </w:numPr>
        <w:spacing w:before="120" w:after="120" w:line="240" w:lineRule="auto"/>
        <w:rPr>
          <w:noProof/>
        </w:rPr>
      </w:pPr>
      <w:r>
        <w:rPr>
          <w:noProof/>
        </w:rPr>
        <w:t>Enotna socialna dajatev. S tem se konsolidira najmanj osem socialnih dajatev, za katere se ne plačujejo prispevki, v okviru sistema socialne zaščite na podlagi državljanstva, vključno s sistemom minimalnega dohodka (</w:t>
      </w:r>
      <w:r>
        <w:rPr>
          <w:i/>
          <w:noProof/>
        </w:rPr>
        <w:t>„Rendimento Social de Inserção“</w:t>
      </w:r>
      <w:r>
        <w:rPr>
          <w:noProof/>
        </w:rPr>
        <w:t>). V primerjavi s socialnimi prejemki, ki jih je treba utrditi, enotna socialna dajatev zagotavlja vsaj enakovredno kritje ljudem, ki so ekonomsko in socialno zelo ranljivi. Enotna socialna dajatev prispeva k odpravi prekrivanj med obstoječimi shemami, njena zasnova pa spodbuja enostavnejši in bolj neposreden dostop do socialnih prejemkov. Med postopkom oblikovanja in izvajanja se zagotovita sodelovanje in posvetovanje z ustreznimi socialnimi partnerji.</w:t>
      </w:r>
    </w:p>
    <w:bookmarkEnd w:id="6"/>
    <w:p w14:paraId="2D9DB4FE" w14:textId="2090F351" w:rsidR="00F24946" w:rsidRDefault="00613B06">
      <w:pPr>
        <w:pStyle w:val="ListParagraph"/>
        <w:keepNext w:val="0"/>
        <w:numPr>
          <w:ilvl w:val="0"/>
          <w:numId w:val="73"/>
        </w:numPr>
        <w:spacing w:before="120" w:after="120" w:line="240" w:lineRule="auto"/>
        <w:rPr>
          <w:noProof/>
        </w:rPr>
      </w:pPr>
      <w:r>
        <w:rPr>
          <w:noProof/>
        </w:rPr>
        <w:t>Zakonik o socialnih dajatvah. To bo poenostavilo, uskladilo in utrdilo zakonodajo, ki ureja socialne prejemke, da se zagotovita večja preglednost in boljše razumevanje razpoložljivih socialnih prejemkov. Zakonik o socialnih dajatvah sledi modelu iz zakonika sistemov, za katere se plačujejo prispevki (</w:t>
      </w:r>
      <w:r>
        <w:rPr>
          <w:i/>
          <w:noProof/>
        </w:rPr>
        <w:t>„Código dos Regimes Contributivos do Sistema Previdencial de Segurança Social“</w:t>
      </w:r>
      <w:r>
        <w:rPr>
          <w:noProof/>
        </w:rPr>
        <w:t>), ki trenutno zajema le enega od treh zgoraj navedenih podsistemov socialne varnosti.</w:t>
      </w:r>
    </w:p>
    <w:p w14:paraId="65BAB00F" w14:textId="14D4ADCA" w:rsidR="00F24946" w:rsidRDefault="00613B06">
      <w:pPr>
        <w:pStyle w:val="P68B1DB1-Normal4"/>
        <w:keepNext/>
        <w:spacing w:before="40" w:after="0" w:line="259" w:lineRule="auto"/>
        <w:jc w:val="both"/>
        <w:rPr>
          <w:rFonts w:eastAsiaTheme="minorEastAsia" w:cs="Times New Roman"/>
          <w:noProof/>
        </w:rPr>
      </w:pPr>
      <w:r>
        <w:rPr>
          <w:noProof/>
        </w:rPr>
        <w:t>Reforma se izvede do 30. junija 2026.</w:t>
      </w:r>
    </w:p>
    <w:p w14:paraId="1686E08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33E4D1C0" w14:textId="77777777" w:rsidR="00F24946" w:rsidRDefault="00F24946">
      <w:pPr>
        <w:keepNext/>
        <w:spacing w:before="40" w:after="0" w:line="259" w:lineRule="auto"/>
        <w:jc w:val="both"/>
        <w:rPr>
          <w:rFonts w:ascii="Times New Roman" w:hAnsi="Times New Roman" w:cs="Times New Roman"/>
          <w:noProof/>
          <w:sz w:val="24"/>
        </w:rPr>
        <w:sectPr w:rsidR="00F24946" w:rsidSect="00E00EDD">
          <w:headerReference w:type="even" r:id="rId72"/>
          <w:headerReference w:type="default" r:id="rId73"/>
          <w:footerReference w:type="even" r:id="rId74"/>
          <w:footerReference w:type="default" r:id="rId75"/>
          <w:headerReference w:type="first" r:id="rId76"/>
          <w:footerReference w:type="first" r:id="rId77"/>
          <w:pgSz w:w="11907" w:h="16839"/>
          <w:pgMar w:top="1134" w:right="1134" w:bottom="1134" w:left="1134" w:header="567" w:footer="567" w:gutter="0"/>
          <w:cols w:space="720"/>
          <w:docGrid w:linePitch="360"/>
        </w:sectPr>
      </w:pPr>
    </w:p>
    <w:p w14:paraId="6C4F7390"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C.2. Mejniki, cilji, kazalniki in časovni razpored za spremljanje in izvajanje nepovratne finančne podpore Naslednje;</w:t>
      </w:r>
    </w:p>
    <w:p w14:paraId="3F759351" w14:textId="07276F59" w:rsidR="00F24946" w:rsidRDefault="00F24946">
      <w:pPr>
        <w:keepNext/>
        <w:spacing w:before="40" w:after="0" w:line="259" w:lineRule="auto"/>
        <w:jc w:val="both"/>
        <w:rPr>
          <w:rFonts w:ascii="Times New Roman" w:eastAsiaTheme="minorEastAsia" w:hAnsi="Times New Roman" w:cs="Times New Roman"/>
          <w:noProof/>
          <w:sz w:val="24"/>
        </w:rPr>
      </w:pPr>
    </w:p>
    <w:tbl>
      <w:tblPr>
        <w:tblW w:w="151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143"/>
        <w:gridCol w:w="982"/>
        <w:gridCol w:w="1740"/>
        <w:gridCol w:w="1486"/>
        <w:gridCol w:w="1014"/>
        <w:gridCol w:w="1014"/>
        <w:gridCol w:w="882"/>
        <w:gridCol w:w="680"/>
        <w:gridCol w:w="845"/>
        <w:gridCol w:w="4277"/>
      </w:tblGrid>
      <w:tr w:rsidR="00F24946" w14:paraId="14AD79ED" w14:textId="77777777">
        <w:trPr>
          <w:trHeight w:val="910"/>
          <w:tblHeader/>
        </w:trPr>
        <w:tc>
          <w:tcPr>
            <w:tcW w:w="1124" w:type="dxa"/>
            <w:vMerge w:val="restart"/>
            <w:shd w:val="clear" w:color="auto" w:fill="BDD6EE"/>
            <w:vAlign w:val="center"/>
            <w:hideMark/>
          </w:tcPr>
          <w:p w14:paraId="12E042F4"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143" w:type="dxa"/>
            <w:vMerge w:val="restart"/>
            <w:shd w:val="clear" w:color="auto" w:fill="BDD6EE"/>
            <w:vAlign w:val="center"/>
            <w:hideMark/>
          </w:tcPr>
          <w:p w14:paraId="40754ED3"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982" w:type="dxa"/>
            <w:vMerge w:val="restart"/>
            <w:shd w:val="clear" w:color="auto" w:fill="BDD6EE"/>
            <w:vAlign w:val="center"/>
            <w:hideMark/>
          </w:tcPr>
          <w:p w14:paraId="6F5DD9BA" w14:textId="0EE9A1D3" w:rsidR="00F24946" w:rsidRDefault="00613B06">
            <w:pPr>
              <w:pStyle w:val="P68B1DB1-Normal6"/>
              <w:spacing w:after="0" w:line="240" w:lineRule="auto"/>
              <w:jc w:val="center"/>
              <w:rPr>
                <w:rFonts w:eastAsia="Times New Roman" w:cs="Times New Roman"/>
                <w:noProof/>
              </w:rPr>
            </w:pPr>
            <w:r>
              <w:rPr>
                <w:noProof/>
              </w:rPr>
              <w:t>Mejnik/cilj</w:t>
            </w:r>
          </w:p>
        </w:tc>
        <w:tc>
          <w:tcPr>
            <w:tcW w:w="1740" w:type="dxa"/>
            <w:vMerge w:val="restart"/>
            <w:shd w:val="clear" w:color="auto" w:fill="BDD6EE"/>
            <w:vAlign w:val="center"/>
            <w:hideMark/>
          </w:tcPr>
          <w:p w14:paraId="7E76B60B" w14:textId="77777777" w:rsidR="00F24946" w:rsidRDefault="00613B06">
            <w:pPr>
              <w:pStyle w:val="P68B1DB1-Normal6"/>
              <w:spacing w:after="0" w:line="240" w:lineRule="auto"/>
              <w:jc w:val="center"/>
              <w:rPr>
                <w:rFonts w:eastAsia="Times New Roman" w:cs="Times New Roman"/>
                <w:noProof/>
              </w:rPr>
            </w:pPr>
            <w:r>
              <w:rPr>
                <w:noProof/>
              </w:rPr>
              <w:t>Ime</w:t>
            </w:r>
          </w:p>
        </w:tc>
        <w:tc>
          <w:tcPr>
            <w:tcW w:w="1486" w:type="dxa"/>
            <w:vMerge w:val="restart"/>
            <w:shd w:val="clear" w:color="auto" w:fill="BDD6EE"/>
            <w:vAlign w:val="center"/>
            <w:hideMark/>
          </w:tcPr>
          <w:p w14:paraId="2B32BF68"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910" w:type="dxa"/>
            <w:gridSpan w:val="3"/>
            <w:shd w:val="clear" w:color="auto" w:fill="BDD6EE"/>
            <w:vAlign w:val="center"/>
            <w:hideMark/>
          </w:tcPr>
          <w:p w14:paraId="54E5B28D"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525" w:type="dxa"/>
            <w:gridSpan w:val="2"/>
            <w:shd w:val="clear" w:color="auto" w:fill="BDD6EE"/>
            <w:vAlign w:val="center"/>
            <w:hideMark/>
          </w:tcPr>
          <w:p w14:paraId="0AFFA6CA"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277" w:type="dxa"/>
            <w:vMerge w:val="restart"/>
            <w:shd w:val="clear" w:color="auto" w:fill="BDD6EE"/>
            <w:vAlign w:val="center"/>
            <w:hideMark/>
          </w:tcPr>
          <w:p w14:paraId="0CAE4583"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3DC9B5E4" w14:textId="77777777">
        <w:trPr>
          <w:trHeight w:val="470"/>
          <w:tblHeader/>
        </w:trPr>
        <w:tc>
          <w:tcPr>
            <w:tcW w:w="1124" w:type="dxa"/>
            <w:vMerge/>
            <w:vAlign w:val="center"/>
            <w:hideMark/>
          </w:tcPr>
          <w:p w14:paraId="5E2B2993" w14:textId="77777777" w:rsidR="00F24946" w:rsidRDefault="00F24946">
            <w:pPr>
              <w:spacing w:after="0" w:line="240" w:lineRule="auto"/>
              <w:rPr>
                <w:rFonts w:ascii="Times New Roman" w:eastAsia="Times New Roman" w:hAnsi="Times New Roman" w:cs="Times New Roman"/>
                <w:b/>
                <w:noProof/>
                <w:sz w:val="18"/>
              </w:rPr>
            </w:pPr>
          </w:p>
        </w:tc>
        <w:tc>
          <w:tcPr>
            <w:tcW w:w="1143" w:type="dxa"/>
            <w:vMerge/>
            <w:vAlign w:val="center"/>
            <w:hideMark/>
          </w:tcPr>
          <w:p w14:paraId="38E6DA3F" w14:textId="77777777" w:rsidR="00F24946" w:rsidRDefault="00F24946">
            <w:pPr>
              <w:spacing w:after="0" w:line="240" w:lineRule="auto"/>
              <w:rPr>
                <w:rFonts w:ascii="Times New Roman" w:eastAsia="Times New Roman" w:hAnsi="Times New Roman" w:cs="Times New Roman"/>
                <w:b/>
                <w:noProof/>
                <w:sz w:val="18"/>
              </w:rPr>
            </w:pPr>
          </w:p>
        </w:tc>
        <w:tc>
          <w:tcPr>
            <w:tcW w:w="982" w:type="dxa"/>
            <w:vMerge/>
            <w:shd w:val="clear" w:color="auto" w:fill="BDD6EE"/>
            <w:vAlign w:val="center"/>
            <w:hideMark/>
          </w:tcPr>
          <w:p w14:paraId="0B4F87AB" w14:textId="41568FFB" w:rsidR="00F24946" w:rsidRDefault="00F24946">
            <w:pPr>
              <w:spacing w:after="0" w:line="240" w:lineRule="auto"/>
              <w:jc w:val="center"/>
              <w:rPr>
                <w:rFonts w:ascii="Times New Roman" w:eastAsia="Times New Roman" w:hAnsi="Times New Roman" w:cs="Times New Roman"/>
                <w:b/>
                <w:noProof/>
                <w:sz w:val="18"/>
              </w:rPr>
            </w:pPr>
          </w:p>
        </w:tc>
        <w:tc>
          <w:tcPr>
            <w:tcW w:w="1740" w:type="dxa"/>
            <w:vMerge/>
            <w:vAlign w:val="center"/>
            <w:hideMark/>
          </w:tcPr>
          <w:p w14:paraId="05146A5D" w14:textId="77777777" w:rsidR="00F24946" w:rsidRDefault="00F24946">
            <w:pPr>
              <w:spacing w:after="0" w:line="240" w:lineRule="auto"/>
              <w:rPr>
                <w:rFonts w:ascii="Times New Roman" w:eastAsia="Times New Roman" w:hAnsi="Times New Roman" w:cs="Times New Roman"/>
                <w:b/>
                <w:noProof/>
                <w:sz w:val="18"/>
              </w:rPr>
            </w:pPr>
          </w:p>
        </w:tc>
        <w:tc>
          <w:tcPr>
            <w:tcW w:w="1486" w:type="dxa"/>
            <w:vMerge/>
            <w:vAlign w:val="center"/>
            <w:hideMark/>
          </w:tcPr>
          <w:p w14:paraId="7B4130F2" w14:textId="77777777" w:rsidR="00F24946" w:rsidRDefault="00F24946">
            <w:pPr>
              <w:spacing w:after="0" w:line="240" w:lineRule="auto"/>
              <w:rPr>
                <w:rFonts w:ascii="Times New Roman" w:eastAsia="Times New Roman" w:hAnsi="Times New Roman" w:cs="Times New Roman"/>
                <w:b/>
                <w:noProof/>
                <w:sz w:val="18"/>
              </w:rPr>
            </w:pPr>
          </w:p>
        </w:tc>
        <w:tc>
          <w:tcPr>
            <w:tcW w:w="1014" w:type="dxa"/>
            <w:shd w:val="clear" w:color="auto" w:fill="BDD6EE"/>
            <w:vAlign w:val="center"/>
            <w:hideMark/>
          </w:tcPr>
          <w:p w14:paraId="0EFFB8D7"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1014" w:type="dxa"/>
            <w:shd w:val="clear" w:color="auto" w:fill="BDD6EE"/>
            <w:vAlign w:val="center"/>
            <w:hideMark/>
          </w:tcPr>
          <w:p w14:paraId="0362CC94"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82" w:type="dxa"/>
            <w:shd w:val="clear" w:color="auto" w:fill="BDD6EE"/>
            <w:vAlign w:val="center"/>
            <w:hideMark/>
          </w:tcPr>
          <w:p w14:paraId="004EED49" w14:textId="77777777" w:rsidR="00F24946" w:rsidRDefault="00613B06">
            <w:pPr>
              <w:pStyle w:val="P68B1DB1-Normal6"/>
              <w:spacing w:after="0" w:line="240" w:lineRule="auto"/>
              <w:jc w:val="center"/>
              <w:rPr>
                <w:rFonts w:eastAsia="Times New Roman" w:cs="Times New Roman"/>
                <w:noProof/>
              </w:rPr>
            </w:pPr>
            <w:r>
              <w:rPr>
                <w:noProof/>
              </w:rPr>
              <w:t>Cilj</w:t>
            </w:r>
          </w:p>
        </w:tc>
        <w:tc>
          <w:tcPr>
            <w:tcW w:w="680" w:type="dxa"/>
            <w:shd w:val="clear" w:color="auto" w:fill="BDD6EE"/>
            <w:vAlign w:val="center"/>
            <w:hideMark/>
          </w:tcPr>
          <w:p w14:paraId="6EF1C0BD" w14:textId="77777777" w:rsidR="00F24946" w:rsidRDefault="00613B06">
            <w:pPr>
              <w:pStyle w:val="P68B1DB1-Normal6"/>
              <w:spacing w:after="0" w:line="240" w:lineRule="auto"/>
              <w:jc w:val="center"/>
              <w:rPr>
                <w:rFonts w:eastAsia="Times New Roman" w:cs="Times New Roman"/>
                <w:noProof/>
              </w:rPr>
            </w:pPr>
            <w:r>
              <w:rPr>
                <w:noProof/>
              </w:rPr>
              <w:t>Q</w:t>
            </w:r>
          </w:p>
        </w:tc>
        <w:tc>
          <w:tcPr>
            <w:tcW w:w="845" w:type="dxa"/>
            <w:shd w:val="clear" w:color="auto" w:fill="BDD6EE"/>
            <w:vAlign w:val="center"/>
            <w:hideMark/>
          </w:tcPr>
          <w:p w14:paraId="4B7C0DD8" w14:textId="77777777" w:rsidR="00F24946" w:rsidRDefault="00613B06">
            <w:pPr>
              <w:pStyle w:val="P68B1DB1-Normal6"/>
              <w:spacing w:after="0" w:line="240" w:lineRule="auto"/>
              <w:jc w:val="center"/>
              <w:rPr>
                <w:rFonts w:eastAsia="Times New Roman" w:cs="Times New Roman"/>
                <w:noProof/>
              </w:rPr>
            </w:pPr>
            <w:r>
              <w:rPr>
                <w:noProof/>
              </w:rPr>
              <w:t>Leto</w:t>
            </w:r>
          </w:p>
        </w:tc>
        <w:tc>
          <w:tcPr>
            <w:tcW w:w="4277" w:type="dxa"/>
            <w:vMerge/>
            <w:vAlign w:val="center"/>
            <w:hideMark/>
          </w:tcPr>
          <w:p w14:paraId="712BF101" w14:textId="77777777" w:rsidR="00F24946" w:rsidRDefault="00F24946">
            <w:pPr>
              <w:spacing w:after="0" w:line="240" w:lineRule="auto"/>
              <w:rPr>
                <w:rFonts w:ascii="Times New Roman" w:eastAsia="Times New Roman" w:hAnsi="Times New Roman" w:cs="Times New Roman"/>
                <w:b/>
                <w:noProof/>
                <w:sz w:val="18"/>
              </w:rPr>
            </w:pPr>
          </w:p>
        </w:tc>
      </w:tr>
      <w:tr w:rsidR="00F24946" w14:paraId="4FB1DEE7" w14:textId="77777777">
        <w:trPr>
          <w:trHeight w:val="640"/>
        </w:trPr>
        <w:tc>
          <w:tcPr>
            <w:tcW w:w="1124" w:type="dxa"/>
            <w:shd w:val="clear" w:color="auto" w:fill="C5EFCE"/>
            <w:vAlign w:val="center"/>
            <w:hideMark/>
          </w:tcPr>
          <w:p w14:paraId="7E53AF7C" w14:textId="77777777" w:rsidR="00F24946" w:rsidRDefault="00613B06">
            <w:pPr>
              <w:pStyle w:val="P68B1DB1-Normal7"/>
              <w:spacing w:after="0" w:line="240" w:lineRule="auto"/>
              <w:jc w:val="center"/>
              <w:rPr>
                <w:rFonts w:eastAsia="Times New Roman" w:cs="Calibri"/>
                <w:noProof/>
              </w:rPr>
            </w:pPr>
            <w:r>
              <w:rPr>
                <w:noProof/>
              </w:rPr>
              <w:t>3.1</w:t>
            </w:r>
          </w:p>
        </w:tc>
        <w:tc>
          <w:tcPr>
            <w:tcW w:w="1143" w:type="dxa"/>
            <w:shd w:val="clear" w:color="auto" w:fill="C4EFCE"/>
            <w:vAlign w:val="center"/>
            <w:hideMark/>
          </w:tcPr>
          <w:p w14:paraId="6B802912" w14:textId="77777777" w:rsidR="00F24946" w:rsidRDefault="00613B06">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2EB48FA7"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F7B3BC" w14:textId="77777777" w:rsidR="00F24946" w:rsidRDefault="00613B06">
            <w:pPr>
              <w:pStyle w:val="P68B1DB1-Normal8"/>
              <w:spacing w:after="0" w:line="240" w:lineRule="auto"/>
              <w:jc w:val="center"/>
              <w:rPr>
                <w:rFonts w:eastAsia="Times New Roman" w:cs="Calibri"/>
                <w:noProof/>
              </w:rPr>
            </w:pPr>
            <w:r>
              <w:rPr>
                <w:noProof/>
              </w:rPr>
              <w:t>Dobava električnih vozil</w:t>
            </w:r>
          </w:p>
        </w:tc>
        <w:tc>
          <w:tcPr>
            <w:tcW w:w="1486" w:type="dxa"/>
            <w:shd w:val="clear" w:color="auto" w:fill="C4EFCE"/>
            <w:vAlign w:val="center"/>
            <w:hideMark/>
          </w:tcPr>
          <w:p w14:paraId="3CB72ABC"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9EF364D"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4903172A"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69C9561" w14:textId="77777777" w:rsidR="00F24946" w:rsidRDefault="00613B06">
            <w:pPr>
              <w:pStyle w:val="P68B1DB1-Normal8"/>
              <w:spacing w:after="0" w:line="240" w:lineRule="auto"/>
              <w:jc w:val="center"/>
              <w:rPr>
                <w:rFonts w:eastAsia="Times New Roman" w:cs="Calibri"/>
                <w:noProof/>
              </w:rPr>
            </w:pPr>
            <w:r>
              <w:rPr>
                <w:noProof/>
              </w:rPr>
              <w:t>2 500</w:t>
            </w:r>
          </w:p>
        </w:tc>
        <w:tc>
          <w:tcPr>
            <w:tcW w:w="680" w:type="dxa"/>
            <w:shd w:val="clear" w:color="auto" w:fill="C4EFCE"/>
            <w:vAlign w:val="center"/>
            <w:hideMark/>
          </w:tcPr>
          <w:p w14:paraId="101B6C07" w14:textId="77777777" w:rsidR="00F24946" w:rsidRDefault="00613B06">
            <w:pPr>
              <w:pStyle w:val="P68B1DB1-Normal8"/>
              <w:spacing w:after="0" w:line="240" w:lineRule="auto"/>
              <w:jc w:val="center"/>
              <w:rPr>
                <w:rFonts w:eastAsia="Times New Roman" w:cs="Calibri"/>
                <w:noProof/>
              </w:rPr>
            </w:pPr>
            <w:r>
              <w:rPr>
                <w:noProof/>
              </w:rPr>
              <w:t>ČETRTLETJE 1</w:t>
            </w:r>
          </w:p>
        </w:tc>
        <w:tc>
          <w:tcPr>
            <w:tcW w:w="845" w:type="dxa"/>
            <w:shd w:val="clear" w:color="auto" w:fill="C4EFCE"/>
            <w:vAlign w:val="center"/>
            <w:hideMark/>
          </w:tcPr>
          <w:p w14:paraId="070C0E74" w14:textId="77777777" w:rsidR="00F24946" w:rsidRDefault="00613B06">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74933DAC" w14:textId="77777777" w:rsidR="00F24946" w:rsidRDefault="00613B06">
            <w:pPr>
              <w:pStyle w:val="P68B1DB1-Normal8"/>
              <w:spacing w:after="0" w:line="240" w:lineRule="auto"/>
              <w:jc w:val="both"/>
              <w:rPr>
                <w:rFonts w:eastAsia="Times New Roman" w:cs="Calibri"/>
                <w:noProof/>
              </w:rPr>
            </w:pPr>
            <w:r>
              <w:rPr>
                <w:noProof/>
              </w:rPr>
              <w:t>Zagotavljanje novih električnih vozil, prilagojenih za pomoč na domu in za prevoz oseb z omejeno mobilnostjo, ponudnikom socialne podpore na domu v okviru Instituições Particulares de Solidariedade Social (IPSS) ali podobnih upravičenih subjektov za socialne storitve.</w:t>
            </w:r>
          </w:p>
        </w:tc>
      </w:tr>
      <w:tr w:rsidR="00F24946" w14:paraId="695A83D6" w14:textId="77777777">
        <w:trPr>
          <w:trHeight w:val="797"/>
        </w:trPr>
        <w:tc>
          <w:tcPr>
            <w:tcW w:w="1124" w:type="dxa"/>
            <w:shd w:val="clear" w:color="auto" w:fill="C5EFCE"/>
            <w:vAlign w:val="center"/>
            <w:hideMark/>
          </w:tcPr>
          <w:p w14:paraId="75C121A6" w14:textId="77777777" w:rsidR="00F24946" w:rsidRDefault="00613B06">
            <w:pPr>
              <w:pStyle w:val="P68B1DB1-Normal7"/>
              <w:spacing w:after="0" w:line="240" w:lineRule="auto"/>
              <w:jc w:val="center"/>
              <w:rPr>
                <w:rFonts w:eastAsia="Times New Roman" w:cs="Calibri"/>
                <w:noProof/>
              </w:rPr>
            </w:pPr>
            <w:r>
              <w:rPr>
                <w:noProof/>
              </w:rPr>
              <w:t>3.2</w:t>
            </w:r>
          </w:p>
        </w:tc>
        <w:tc>
          <w:tcPr>
            <w:tcW w:w="1143" w:type="dxa"/>
            <w:shd w:val="clear" w:color="auto" w:fill="C4EFCE"/>
            <w:vAlign w:val="center"/>
            <w:hideMark/>
          </w:tcPr>
          <w:p w14:paraId="0D34E66D" w14:textId="77777777" w:rsidR="00F24946" w:rsidRDefault="00613B06">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4178A6A9"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4C9E6AAD" w14:textId="77777777" w:rsidR="00F24946" w:rsidRDefault="00613B06">
            <w:pPr>
              <w:pStyle w:val="P68B1DB1-Normal8"/>
              <w:spacing w:after="0" w:line="240" w:lineRule="auto"/>
              <w:jc w:val="center"/>
              <w:rPr>
                <w:rFonts w:eastAsia="Times New Roman" w:cs="Calibri"/>
                <w:noProof/>
              </w:rPr>
            </w:pPr>
            <w:r>
              <w:rPr>
                <w:noProof/>
              </w:rPr>
              <w:t>Ustanovitev skupin za socialno posredovanje (Radar Social)</w:t>
            </w:r>
          </w:p>
        </w:tc>
        <w:tc>
          <w:tcPr>
            <w:tcW w:w="1486" w:type="dxa"/>
            <w:shd w:val="clear" w:color="auto" w:fill="C4EFCE"/>
            <w:vAlign w:val="center"/>
            <w:hideMark/>
          </w:tcPr>
          <w:p w14:paraId="746F3B0C"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A393125"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2F1F46F6"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DF22222" w14:textId="77777777" w:rsidR="00F24946" w:rsidRDefault="00613B06">
            <w:pPr>
              <w:pStyle w:val="P68B1DB1-Normal8"/>
              <w:spacing w:after="0" w:line="240" w:lineRule="auto"/>
              <w:jc w:val="center"/>
              <w:rPr>
                <w:rFonts w:eastAsia="Times New Roman" w:cs="Calibri"/>
                <w:noProof/>
              </w:rPr>
            </w:pPr>
            <w:r>
              <w:rPr>
                <w:noProof/>
              </w:rPr>
              <w:t>278</w:t>
            </w:r>
          </w:p>
        </w:tc>
        <w:tc>
          <w:tcPr>
            <w:tcW w:w="680" w:type="dxa"/>
            <w:shd w:val="clear" w:color="auto" w:fill="C4EFCE"/>
            <w:vAlign w:val="center"/>
            <w:hideMark/>
          </w:tcPr>
          <w:p w14:paraId="2D14593B"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00AFEEF9" w14:textId="77777777" w:rsidR="00F24946" w:rsidRDefault="00613B06">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786F8552" w14:textId="77777777" w:rsidR="00F24946" w:rsidRDefault="00613B06">
            <w:pPr>
              <w:pStyle w:val="P68B1DB1-Normal8"/>
              <w:spacing w:after="0" w:line="240" w:lineRule="auto"/>
              <w:jc w:val="both"/>
              <w:rPr>
                <w:rFonts w:eastAsia="Times New Roman" w:cs="Calibri"/>
                <w:noProof/>
              </w:rPr>
            </w:pPr>
            <w:r>
              <w:rPr>
                <w:noProof/>
              </w:rPr>
              <w:t>Ustanovitev 278 skupin za socialno posredovanje v občinah celinske Portugalske.</w:t>
            </w:r>
          </w:p>
        </w:tc>
      </w:tr>
      <w:tr w:rsidR="00F24946" w14:paraId="6CA14E84" w14:textId="77777777">
        <w:trPr>
          <w:trHeight w:val="290"/>
        </w:trPr>
        <w:tc>
          <w:tcPr>
            <w:tcW w:w="1124" w:type="dxa"/>
            <w:shd w:val="clear" w:color="auto" w:fill="C5EFCE"/>
            <w:vAlign w:val="center"/>
            <w:hideMark/>
          </w:tcPr>
          <w:p w14:paraId="5080A772" w14:textId="77777777" w:rsidR="00F24946" w:rsidRDefault="00613B06">
            <w:pPr>
              <w:pStyle w:val="P68B1DB1-Normal7"/>
              <w:spacing w:after="0" w:line="240" w:lineRule="auto"/>
              <w:jc w:val="center"/>
              <w:rPr>
                <w:rFonts w:eastAsia="Times New Roman" w:cs="Calibri"/>
                <w:noProof/>
              </w:rPr>
            </w:pPr>
            <w:r>
              <w:rPr>
                <w:noProof/>
              </w:rPr>
              <w:t>3.3</w:t>
            </w:r>
          </w:p>
        </w:tc>
        <w:tc>
          <w:tcPr>
            <w:tcW w:w="1143" w:type="dxa"/>
            <w:shd w:val="clear" w:color="auto" w:fill="C4EFCE"/>
            <w:vAlign w:val="center"/>
            <w:hideMark/>
          </w:tcPr>
          <w:p w14:paraId="72A4A02B" w14:textId="77777777" w:rsidR="00F24946" w:rsidRDefault="00613B06">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30A19712"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422D5459" w14:textId="31604FA9" w:rsidR="00F24946" w:rsidRDefault="00613B06">
            <w:pPr>
              <w:pStyle w:val="P68B1DB1-Normal8"/>
              <w:spacing w:after="0" w:line="240" w:lineRule="auto"/>
              <w:jc w:val="center"/>
              <w:rPr>
                <w:rFonts w:eastAsia="Times New Roman" w:cs="Calibri"/>
                <w:noProof/>
              </w:rPr>
            </w:pPr>
            <w:r>
              <w:rPr>
                <w:noProof/>
              </w:rPr>
              <w:t xml:space="preserve"> Oddaja naročil podpore za spodbujanje organov za vzpostavitev in širitev mreže socialnih ustanov/socialnih odzivov.</w:t>
            </w:r>
          </w:p>
        </w:tc>
        <w:tc>
          <w:tcPr>
            <w:tcW w:w="1486" w:type="dxa"/>
            <w:shd w:val="clear" w:color="auto" w:fill="C4EFCE"/>
            <w:vAlign w:val="center"/>
            <w:hideMark/>
          </w:tcPr>
          <w:p w14:paraId="6009A6C2" w14:textId="77777777" w:rsidR="00F24946" w:rsidRDefault="00613B06">
            <w:pPr>
              <w:pStyle w:val="P68B1DB1-Normal8"/>
              <w:spacing w:after="0" w:line="240" w:lineRule="auto"/>
              <w:jc w:val="center"/>
              <w:rPr>
                <w:rFonts w:eastAsia="Times New Roman" w:cs="Calibri"/>
                <w:noProof/>
              </w:rPr>
            </w:pPr>
            <w:r>
              <w:rPr>
                <w:noProof/>
              </w:rPr>
              <w:t>Oddaja naročil za podporo promocijskim organom za mrežo socialnih ustanov/odgovorov</w:t>
            </w:r>
          </w:p>
        </w:tc>
        <w:tc>
          <w:tcPr>
            <w:tcW w:w="1014" w:type="dxa"/>
            <w:shd w:val="clear" w:color="auto" w:fill="C4EFCE"/>
            <w:vAlign w:val="center"/>
            <w:hideMark/>
          </w:tcPr>
          <w:p w14:paraId="6D4F44CE"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50F74FF"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D080C51"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08CD4351" w14:textId="77777777" w:rsidR="00F24946" w:rsidRDefault="00613B06">
            <w:pPr>
              <w:pStyle w:val="P68B1DB1-Normal8"/>
              <w:spacing w:after="0" w:line="240" w:lineRule="auto"/>
              <w:jc w:val="center"/>
              <w:rPr>
                <w:rFonts w:eastAsia="Times New Roman" w:cs="Calibri"/>
                <w:noProof/>
              </w:rPr>
            </w:pPr>
            <w:r>
              <w:rPr>
                <w:noProof/>
              </w:rPr>
              <w:t>Q2</w:t>
            </w:r>
          </w:p>
        </w:tc>
        <w:tc>
          <w:tcPr>
            <w:tcW w:w="845" w:type="dxa"/>
            <w:shd w:val="clear" w:color="auto" w:fill="C4EFCE"/>
            <w:vAlign w:val="center"/>
            <w:hideMark/>
          </w:tcPr>
          <w:p w14:paraId="459C1D44" w14:textId="77777777" w:rsidR="00F24946" w:rsidRDefault="00613B06">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111BA54E" w14:textId="77777777" w:rsidR="00F24946" w:rsidRDefault="00613B06">
            <w:pPr>
              <w:pStyle w:val="P68B1DB1-Normal8"/>
              <w:spacing w:after="0" w:line="240" w:lineRule="auto"/>
              <w:jc w:val="both"/>
              <w:rPr>
                <w:rFonts w:eastAsia="Times New Roman" w:cs="Calibri"/>
                <w:noProof/>
              </w:rPr>
            </w:pPr>
            <w:r>
              <w:rPr>
                <w:noProof/>
              </w:rPr>
              <w:t>Oddaja naročila podpore promocijskim organom, ki so se prijavili na natečaj za vzpostavitev in razširitev mreže socialnih ustanov/socialnih odzivov (ki zajemajo otroke, starejše, invalide in druge) in za katere je bilo ugotovljeno, da so v skladu z opredeljeno uredbo, v okviru razpoložljivih sredstev. V primeru nove gradnje stavb razpisni postopek zagotovi, da je potreba po primarni energiji za nove stavbe vsaj 20 % nižja od potreb stavb s skoraj nično porabo energije.</w:t>
            </w:r>
          </w:p>
        </w:tc>
      </w:tr>
      <w:tr w:rsidR="00F24946" w14:paraId="4DD2693C" w14:textId="77777777">
        <w:trPr>
          <w:trHeight w:val="1690"/>
        </w:trPr>
        <w:tc>
          <w:tcPr>
            <w:tcW w:w="1124" w:type="dxa"/>
            <w:shd w:val="clear" w:color="auto" w:fill="C5EFCE"/>
            <w:vAlign w:val="center"/>
            <w:hideMark/>
          </w:tcPr>
          <w:p w14:paraId="1A616AE0" w14:textId="0FB7E1D9" w:rsidR="00F24946" w:rsidRDefault="00613B06">
            <w:pPr>
              <w:pStyle w:val="P68B1DB1-Normal7"/>
              <w:spacing w:after="0" w:line="240" w:lineRule="auto"/>
              <w:jc w:val="center"/>
              <w:rPr>
                <w:rFonts w:eastAsia="Times New Roman" w:cs="Calibri"/>
                <w:noProof/>
              </w:rPr>
            </w:pPr>
            <w:r>
              <w:rPr>
                <w:noProof/>
              </w:rPr>
              <w:t>3.4</w:t>
            </w:r>
          </w:p>
        </w:tc>
        <w:tc>
          <w:tcPr>
            <w:tcW w:w="1143" w:type="dxa"/>
            <w:shd w:val="clear" w:color="auto" w:fill="C4EFCE"/>
            <w:vAlign w:val="center"/>
            <w:hideMark/>
          </w:tcPr>
          <w:p w14:paraId="264DD2D7" w14:textId="77777777" w:rsidR="00F24946" w:rsidRDefault="00613B06">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129E562E"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5CCE8B" w14:textId="77777777" w:rsidR="00F24946" w:rsidRDefault="00613B06">
            <w:pPr>
              <w:pStyle w:val="P68B1DB1-Normal8"/>
              <w:spacing w:after="0" w:line="240" w:lineRule="auto"/>
              <w:jc w:val="center"/>
              <w:rPr>
                <w:rFonts w:eastAsia="Times New Roman" w:cs="Calibri"/>
                <w:noProof/>
              </w:rPr>
            </w:pPr>
            <w:r>
              <w:rPr>
                <w:noProof/>
              </w:rPr>
              <w:t>Ustvarjanje novih mest in obnova obstoječih mest v socialnih ustanovah</w:t>
            </w:r>
          </w:p>
        </w:tc>
        <w:tc>
          <w:tcPr>
            <w:tcW w:w="1486" w:type="dxa"/>
            <w:shd w:val="clear" w:color="auto" w:fill="C4EFCE"/>
            <w:vAlign w:val="center"/>
            <w:hideMark/>
          </w:tcPr>
          <w:p w14:paraId="066C8E4E"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D9BF7B8"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337AF5DB"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F36AC40" w14:textId="12FABD58" w:rsidR="00F24946" w:rsidRDefault="00613B06">
            <w:pPr>
              <w:pStyle w:val="P68B1DB1-Normal8"/>
              <w:spacing w:after="0" w:line="240" w:lineRule="auto"/>
              <w:jc w:val="center"/>
              <w:rPr>
                <w:rFonts w:eastAsia="Times New Roman" w:cs="Calibri"/>
                <w:noProof/>
              </w:rPr>
            </w:pPr>
            <w:r>
              <w:rPr>
                <w:noProof/>
              </w:rPr>
              <w:t>39 405</w:t>
            </w:r>
          </w:p>
        </w:tc>
        <w:tc>
          <w:tcPr>
            <w:tcW w:w="680" w:type="dxa"/>
            <w:shd w:val="clear" w:color="auto" w:fill="C4EFCE"/>
            <w:vAlign w:val="center"/>
            <w:hideMark/>
          </w:tcPr>
          <w:p w14:paraId="3F7AD6FC" w14:textId="77777777" w:rsidR="00F24946" w:rsidRDefault="00613B06">
            <w:pPr>
              <w:pStyle w:val="P68B1DB1-Normal8"/>
              <w:spacing w:after="0" w:line="240" w:lineRule="auto"/>
              <w:jc w:val="center"/>
              <w:rPr>
                <w:rFonts w:eastAsia="Times New Roman" w:cs="Calibri"/>
                <w:noProof/>
              </w:rPr>
            </w:pPr>
            <w:r>
              <w:rPr>
                <w:noProof/>
              </w:rPr>
              <w:t>ČETRTLETJE 1</w:t>
            </w:r>
          </w:p>
        </w:tc>
        <w:tc>
          <w:tcPr>
            <w:tcW w:w="845" w:type="dxa"/>
            <w:shd w:val="clear" w:color="auto" w:fill="C4EFCE"/>
            <w:vAlign w:val="center"/>
            <w:hideMark/>
          </w:tcPr>
          <w:p w14:paraId="6696632D" w14:textId="77777777" w:rsidR="00F24946" w:rsidRDefault="00613B06">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1334CAC8" w14:textId="2AA60661" w:rsidR="00F24946" w:rsidRDefault="00613B06">
            <w:pPr>
              <w:pStyle w:val="P68B1DB1-Normal8"/>
              <w:spacing w:after="0" w:line="240" w:lineRule="auto"/>
              <w:jc w:val="both"/>
              <w:rPr>
                <w:rFonts w:eastAsia="Times New Roman" w:cs="Calibri"/>
                <w:noProof/>
              </w:rPr>
            </w:pPr>
            <w:r>
              <w:rPr>
                <w:noProof/>
              </w:rPr>
              <w:t xml:space="preserve">Vzpostavitev vsaj 15000 novih mest in obnova preostalih mest za otroke, starejše, invalide in druge ranljive osebe v vrtcih, domovih za oskrbo starejših (ERPI), centrih za dnevno oskrbo, službah za domiciliarno podporo (DAS), centrih za dejavnosti in opolnomočenju za vključevanje, prebivališčih za avtonomijo in vključevanje ter inovativnih tipologij. </w:t>
            </w:r>
          </w:p>
          <w:p w14:paraId="3267A930" w14:textId="663DC4DC" w:rsidR="00F24946" w:rsidRDefault="00613B06">
            <w:pPr>
              <w:pStyle w:val="P68B1DB1-Normal8"/>
              <w:spacing w:after="0" w:line="240" w:lineRule="auto"/>
              <w:jc w:val="both"/>
              <w:rPr>
                <w:rFonts w:eastAsia="Times New Roman" w:cs="Calibri"/>
                <w:noProof/>
              </w:rPr>
            </w:pPr>
            <w:r>
              <w:rPr>
                <w:noProof/>
              </w:rPr>
              <w:t>V primeru gradnje novih stavb morajo biti potrebe po primarni energiji za vsaj 20 % nižje od potreb po skoraj nič-energijskih stavbah.</w:t>
            </w:r>
          </w:p>
        </w:tc>
      </w:tr>
      <w:tr w:rsidR="00F24946" w14:paraId="276146CB" w14:textId="77777777">
        <w:trPr>
          <w:trHeight w:val="1278"/>
        </w:trPr>
        <w:tc>
          <w:tcPr>
            <w:tcW w:w="1124" w:type="dxa"/>
            <w:shd w:val="clear" w:color="auto" w:fill="C5EFCE"/>
            <w:vAlign w:val="center"/>
            <w:hideMark/>
          </w:tcPr>
          <w:p w14:paraId="1C1BF1A0" w14:textId="77777777" w:rsidR="00F24946" w:rsidRDefault="00613B06">
            <w:pPr>
              <w:pStyle w:val="P68B1DB1-Normal7"/>
              <w:spacing w:after="0" w:line="240" w:lineRule="auto"/>
              <w:jc w:val="center"/>
              <w:rPr>
                <w:rFonts w:eastAsia="Times New Roman" w:cs="Calibri"/>
                <w:noProof/>
              </w:rPr>
            </w:pPr>
            <w:r>
              <w:rPr>
                <w:noProof/>
              </w:rPr>
              <w:t>3.5</w:t>
            </w:r>
          </w:p>
        </w:tc>
        <w:tc>
          <w:tcPr>
            <w:tcW w:w="1143" w:type="dxa"/>
            <w:shd w:val="clear" w:color="auto" w:fill="C4EFCE"/>
            <w:vAlign w:val="center"/>
            <w:hideMark/>
          </w:tcPr>
          <w:p w14:paraId="77113DE5" w14:textId="77777777" w:rsidR="00F24946" w:rsidRDefault="00613B06">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6B8071ED"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99F7521" w14:textId="500588C1" w:rsidR="00F24946" w:rsidRDefault="00613B06">
            <w:pPr>
              <w:pStyle w:val="P68B1DB1-Normal8"/>
              <w:spacing w:after="0" w:line="240" w:lineRule="auto"/>
              <w:jc w:val="center"/>
              <w:rPr>
                <w:rFonts w:eastAsia="Times New Roman" w:cs="Calibri"/>
                <w:noProof/>
              </w:rPr>
            </w:pPr>
            <w:r>
              <w:rPr>
                <w:noProof/>
              </w:rPr>
              <w:t>Uporabniki podpornih storitev na domu in osebje, ki ima dostop do tabličnih računalnikov in druge opreme IT in komunikacijske opreme, tehnične pomoči ali usposabljanja.</w:t>
            </w:r>
          </w:p>
        </w:tc>
        <w:tc>
          <w:tcPr>
            <w:tcW w:w="1486" w:type="dxa"/>
            <w:shd w:val="clear" w:color="auto" w:fill="C4EFCE"/>
            <w:vAlign w:val="center"/>
            <w:hideMark/>
          </w:tcPr>
          <w:p w14:paraId="355D3959"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46DD450"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1476D7C2"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E3FE706" w14:textId="7F5C4600" w:rsidR="00F24946" w:rsidRDefault="00613B06">
            <w:pPr>
              <w:pStyle w:val="P68B1DB1-Normal8"/>
              <w:spacing w:after="0" w:line="240" w:lineRule="auto"/>
              <w:jc w:val="center"/>
              <w:rPr>
                <w:rFonts w:eastAsia="Times New Roman" w:cs="Calibri"/>
                <w:noProof/>
              </w:rPr>
            </w:pPr>
            <w:r>
              <w:rPr>
                <w:noProof/>
              </w:rPr>
              <w:t>63 825</w:t>
            </w:r>
          </w:p>
        </w:tc>
        <w:tc>
          <w:tcPr>
            <w:tcW w:w="680" w:type="dxa"/>
            <w:shd w:val="clear" w:color="auto" w:fill="C4EFCE"/>
            <w:vAlign w:val="center"/>
            <w:hideMark/>
          </w:tcPr>
          <w:p w14:paraId="648E97D6" w14:textId="77777777" w:rsidR="00F24946" w:rsidRDefault="00613B06">
            <w:pPr>
              <w:pStyle w:val="P68B1DB1-Normal8"/>
              <w:spacing w:after="0" w:line="240" w:lineRule="auto"/>
              <w:jc w:val="center"/>
              <w:rPr>
                <w:rFonts w:eastAsia="Times New Roman" w:cs="Calibri"/>
                <w:noProof/>
              </w:rPr>
            </w:pPr>
            <w:r>
              <w:rPr>
                <w:noProof/>
              </w:rPr>
              <w:t>ČETRTLETJE 1</w:t>
            </w:r>
          </w:p>
        </w:tc>
        <w:tc>
          <w:tcPr>
            <w:tcW w:w="845" w:type="dxa"/>
            <w:shd w:val="clear" w:color="auto" w:fill="C4EFCE"/>
            <w:vAlign w:val="center"/>
            <w:hideMark/>
          </w:tcPr>
          <w:p w14:paraId="4D63D198" w14:textId="77777777" w:rsidR="00F24946" w:rsidRDefault="00613B06">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096CA0CB" w14:textId="5268AE85" w:rsidR="00F24946" w:rsidRDefault="00613B06">
            <w:pPr>
              <w:pStyle w:val="P68B1DB1-Normal8"/>
              <w:spacing w:after="0" w:line="240" w:lineRule="auto"/>
              <w:jc w:val="both"/>
              <w:rPr>
                <w:rFonts w:eastAsia="Times New Roman" w:cs="Calibri"/>
                <w:noProof/>
              </w:rPr>
            </w:pPr>
            <w:r>
              <w:rPr>
                <w:noProof/>
              </w:rPr>
              <w:t>Število uporabnikov ali osebja služb za podporo na domu, ki imajo dostop vsaj do tabličnega računalnika ter druge opreme IT in komunikacijske opreme ali tehnične pomoči ali usposabljanja.</w:t>
            </w:r>
          </w:p>
        </w:tc>
      </w:tr>
      <w:tr w:rsidR="00F24946" w14:paraId="40CC812A" w14:textId="77777777">
        <w:trPr>
          <w:trHeight w:val="509"/>
        </w:trPr>
        <w:tc>
          <w:tcPr>
            <w:tcW w:w="1124" w:type="dxa"/>
            <w:shd w:val="clear" w:color="auto" w:fill="C5EFCE"/>
            <w:vAlign w:val="center"/>
            <w:hideMark/>
          </w:tcPr>
          <w:p w14:paraId="59E59251" w14:textId="6D4000F0" w:rsidR="00F24946" w:rsidRDefault="00613B06">
            <w:pPr>
              <w:pStyle w:val="P68B1DB1-Normal7"/>
              <w:spacing w:after="0" w:line="240" w:lineRule="auto"/>
              <w:jc w:val="center"/>
              <w:rPr>
                <w:rFonts w:eastAsia="Times New Roman" w:cs="Calibri"/>
                <w:noProof/>
              </w:rPr>
            </w:pPr>
            <w:r>
              <w:rPr>
                <w:noProof/>
              </w:rPr>
              <w:t>3.6</w:t>
            </w:r>
          </w:p>
        </w:tc>
        <w:tc>
          <w:tcPr>
            <w:tcW w:w="1143" w:type="dxa"/>
            <w:shd w:val="clear" w:color="auto" w:fill="C4EFCE"/>
            <w:vAlign w:val="center"/>
            <w:hideMark/>
          </w:tcPr>
          <w:p w14:paraId="572B0C95" w14:textId="77777777" w:rsidR="00F24946" w:rsidRDefault="00613B06">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98EA432" w14:textId="77777777" w:rsidR="00F24946" w:rsidRDefault="00613B06">
            <w:pPr>
              <w:pStyle w:val="P68B1DB1-Normal8"/>
              <w:spacing w:after="0" w:line="240" w:lineRule="auto"/>
              <w:jc w:val="center"/>
              <w:rPr>
                <w:rFonts w:eastAsia="Times New Roman" w:cs="Calibri"/>
                <w:noProof/>
              </w:rPr>
            </w:pPr>
            <w:r>
              <w:rPr>
                <w:noProof/>
              </w:rPr>
              <w:t> T</w:t>
            </w:r>
          </w:p>
        </w:tc>
        <w:tc>
          <w:tcPr>
            <w:tcW w:w="1740" w:type="dxa"/>
            <w:shd w:val="clear" w:color="auto" w:fill="C4EFCE"/>
            <w:vAlign w:val="center"/>
            <w:hideMark/>
          </w:tcPr>
          <w:p w14:paraId="603DD380" w14:textId="77777777" w:rsidR="00F24946" w:rsidRDefault="00613B06">
            <w:pPr>
              <w:pStyle w:val="P68B1DB1-Normal8"/>
              <w:spacing w:after="0" w:line="240" w:lineRule="auto"/>
              <w:jc w:val="center"/>
              <w:rPr>
                <w:rFonts w:eastAsia="Times New Roman" w:cs="Calibri"/>
                <w:noProof/>
              </w:rPr>
            </w:pPr>
            <w:r>
              <w:rPr>
                <w:noProof/>
              </w:rPr>
              <w:t>Stanovanja z izboljšano dostopnostjo za osebe z omejeno mobilnostjo</w:t>
            </w:r>
          </w:p>
        </w:tc>
        <w:tc>
          <w:tcPr>
            <w:tcW w:w="1486" w:type="dxa"/>
            <w:shd w:val="clear" w:color="auto" w:fill="C4EFCE"/>
            <w:vAlign w:val="center"/>
            <w:hideMark/>
          </w:tcPr>
          <w:p w14:paraId="3EE7BE53"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B7D5469"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721C2D50"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3E0348DA" w14:textId="77777777" w:rsidR="00F24946" w:rsidRDefault="00613B06">
            <w:pPr>
              <w:pStyle w:val="P68B1DB1-Normal8"/>
              <w:spacing w:after="0" w:line="240" w:lineRule="auto"/>
              <w:jc w:val="center"/>
              <w:rPr>
                <w:rFonts w:eastAsia="Times New Roman" w:cs="Calibri"/>
                <w:noProof/>
              </w:rPr>
            </w:pPr>
            <w:r>
              <w:rPr>
                <w:noProof/>
              </w:rPr>
              <w:t>190</w:t>
            </w:r>
          </w:p>
        </w:tc>
        <w:tc>
          <w:tcPr>
            <w:tcW w:w="680" w:type="dxa"/>
            <w:shd w:val="clear" w:color="auto" w:fill="C4EFCE"/>
            <w:vAlign w:val="center"/>
            <w:hideMark/>
          </w:tcPr>
          <w:p w14:paraId="1F0EB787" w14:textId="77777777" w:rsidR="00F24946" w:rsidRDefault="00613B06">
            <w:pPr>
              <w:pStyle w:val="P68B1DB1-Normal8"/>
              <w:spacing w:after="0" w:line="240" w:lineRule="auto"/>
              <w:jc w:val="center"/>
              <w:rPr>
                <w:rFonts w:eastAsia="Times New Roman" w:cs="Calibri"/>
                <w:noProof/>
              </w:rPr>
            </w:pPr>
            <w:r>
              <w:rPr>
                <w:noProof/>
              </w:rPr>
              <w:t>Q2</w:t>
            </w:r>
          </w:p>
        </w:tc>
        <w:tc>
          <w:tcPr>
            <w:tcW w:w="845" w:type="dxa"/>
            <w:shd w:val="clear" w:color="auto" w:fill="C4EFCE"/>
            <w:vAlign w:val="center"/>
            <w:hideMark/>
          </w:tcPr>
          <w:p w14:paraId="12A371D7" w14:textId="11F671CD" w:rsidR="00F24946" w:rsidRDefault="00613B06">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52F6A3" w14:textId="77777777" w:rsidR="00F24946" w:rsidRDefault="00613B06">
            <w:pPr>
              <w:pStyle w:val="P68B1DB1-Normal8"/>
              <w:spacing w:after="0" w:line="240" w:lineRule="auto"/>
              <w:jc w:val="both"/>
              <w:rPr>
                <w:rFonts w:eastAsia="Times New Roman" w:cs="Calibri"/>
                <w:noProof/>
              </w:rPr>
            </w:pPr>
            <w:r>
              <w:rPr>
                <w:noProof/>
              </w:rPr>
              <w:t>Število bivališč (s povprečno površino 40 m²), ki so deležna ukrepov za izboljšanje pogojev dostopnosti za osebe z omejeno mobilnostjo.</w:t>
            </w:r>
          </w:p>
        </w:tc>
      </w:tr>
      <w:tr w:rsidR="00F24946" w14:paraId="105F1008" w14:textId="77777777">
        <w:trPr>
          <w:trHeight w:val="969"/>
        </w:trPr>
        <w:tc>
          <w:tcPr>
            <w:tcW w:w="1124" w:type="dxa"/>
            <w:shd w:val="clear" w:color="auto" w:fill="C5EFCE"/>
            <w:vAlign w:val="center"/>
            <w:hideMark/>
          </w:tcPr>
          <w:p w14:paraId="28A12150" w14:textId="77777777" w:rsidR="00F24946" w:rsidRDefault="00613B06">
            <w:pPr>
              <w:pStyle w:val="P68B1DB1-Normal7"/>
              <w:spacing w:after="0" w:line="240" w:lineRule="auto"/>
              <w:jc w:val="center"/>
              <w:rPr>
                <w:rFonts w:eastAsia="Times New Roman" w:cs="Calibri"/>
                <w:noProof/>
              </w:rPr>
            </w:pPr>
            <w:r>
              <w:rPr>
                <w:noProof/>
              </w:rPr>
              <w:t>3.7</w:t>
            </w:r>
          </w:p>
        </w:tc>
        <w:tc>
          <w:tcPr>
            <w:tcW w:w="1143" w:type="dxa"/>
            <w:shd w:val="clear" w:color="auto" w:fill="C4EFCE"/>
            <w:vAlign w:val="center"/>
            <w:hideMark/>
          </w:tcPr>
          <w:p w14:paraId="4887AF7C" w14:textId="77777777" w:rsidR="00F24946" w:rsidRDefault="00613B06">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18641572"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2977162" w14:textId="77777777" w:rsidR="00F24946" w:rsidRDefault="00613B06">
            <w:pPr>
              <w:pStyle w:val="P68B1DB1-Normal8"/>
              <w:spacing w:after="0" w:line="240" w:lineRule="auto"/>
              <w:jc w:val="center"/>
              <w:rPr>
                <w:rFonts w:eastAsia="Times New Roman" w:cs="Calibri"/>
                <w:noProof/>
              </w:rPr>
            </w:pPr>
            <w:r>
              <w:rPr>
                <w:noProof/>
              </w:rPr>
              <w:t>Stanovanja z izboljšano dostopnostjo za osebe z omejeno mobilnostjo</w:t>
            </w:r>
          </w:p>
        </w:tc>
        <w:tc>
          <w:tcPr>
            <w:tcW w:w="1486" w:type="dxa"/>
            <w:shd w:val="clear" w:color="auto" w:fill="C4EFCE"/>
            <w:vAlign w:val="center"/>
            <w:hideMark/>
          </w:tcPr>
          <w:p w14:paraId="16E59492"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08161F6"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7E97C154" w14:textId="77777777" w:rsidR="00F24946" w:rsidRDefault="00613B06">
            <w:pPr>
              <w:pStyle w:val="P68B1DB1-Normal8"/>
              <w:spacing w:after="0" w:line="240" w:lineRule="auto"/>
              <w:jc w:val="center"/>
              <w:rPr>
                <w:rFonts w:eastAsia="Times New Roman" w:cs="Calibri"/>
                <w:noProof/>
              </w:rPr>
            </w:pPr>
            <w:r>
              <w:rPr>
                <w:noProof/>
              </w:rPr>
              <w:t>190</w:t>
            </w:r>
          </w:p>
        </w:tc>
        <w:tc>
          <w:tcPr>
            <w:tcW w:w="882" w:type="dxa"/>
            <w:shd w:val="clear" w:color="auto" w:fill="C4EFCE"/>
            <w:vAlign w:val="center"/>
            <w:hideMark/>
          </w:tcPr>
          <w:p w14:paraId="1EE09EBE" w14:textId="77777777" w:rsidR="00F24946" w:rsidRDefault="00613B06">
            <w:pPr>
              <w:pStyle w:val="P68B1DB1-Normal8"/>
              <w:spacing w:after="0" w:line="240" w:lineRule="auto"/>
              <w:jc w:val="center"/>
              <w:rPr>
                <w:rFonts w:eastAsia="Times New Roman" w:cs="Calibri"/>
                <w:noProof/>
              </w:rPr>
            </w:pPr>
            <w:r>
              <w:rPr>
                <w:noProof/>
              </w:rPr>
              <w:t>1 000</w:t>
            </w:r>
          </w:p>
        </w:tc>
        <w:tc>
          <w:tcPr>
            <w:tcW w:w="680" w:type="dxa"/>
            <w:shd w:val="clear" w:color="auto" w:fill="C4EFCE"/>
            <w:vAlign w:val="center"/>
            <w:hideMark/>
          </w:tcPr>
          <w:p w14:paraId="2A369B58"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0BF23AEA"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66CAE278" w14:textId="36788C6E" w:rsidR="00F24946" w:rsidRDefault="00613B06">
            <w:pPr>
              <w:pStyle w:val="P68B1DB1-Normal8"/>
              <w:spacing w:after="0" w:line="240" w:lineRule="auto"/>
              <w:jc w:val="both"/>
              <w:rPr>
                <w:rFonts w:eastAsia="Times New Roman" w:cs="Calibri"/>
                <w:noProof/>
              </w:rPr>
            </w:pPr>
            <w:r>
              <w:rPr>
                <w:noProof/>
              </w:rPr>
              <w:t xml:space="preserve">Število bivališč (s povprečno površino 40 m²), ki so deležna ukrepov za izboljšanje pogojev dostopnosti za osebe z omejeno mobilnostjo. </w:t>
            </w:r>
          </w:p>
        </w:tc>
      </w:tr>
      <w:tr w:rsidR="00F24946" w14:paraId="0E79D576" w14:textId="77777777">
        <w:trPr>
          <w:trHeight w:val="509"/>
        </w:trPr>
        <w:tc>
          <w:tcPr>
            <w:tcW w:w="1124" w:type="dxa"/>
            <w:shd w:val="clear" w:color="auto" w:fill="C5EFCE"/>
            <w:vAlign w:val="center"/>
            <w:hideMark/>
          </w:tcPr>
          <w:p w14:paraId="29F6AEBE" w14:textId="77777777" w:rsidR="00F24946" w:rsidRDefault="00613B06">
            <w:pPr>
              <w:pStyle w:val="P68B1DB1-Normal7"/>
              <w:spacing w:after="0" w:line="240" w:lineRule="auto"/>
              <w:jc w:val="center"/>
              <w:rPr>
                <w:rFonts w:eastAsia="Times New Roman" w:cs="Calibri"/>
                <w:noProof/>
              </w:rPr>
            </w:pPr>
            <w:r>
              <w:rPr>
                <w:noProof/>
              </w:rPr>
              <w:t>3.8</w:t>
            </w:r>
          </w:p>
        </w:tc>
        <w:tc>
          <w:tcPr>
            <w:tcW w:w="1143" w:type="dxa"/>
            <w:shd w:val="clear" w:color="auto" w:fill="C4EFCE"/>
            <w:vAlign w:val="center"/>
            <w:hideMark/>
          </w:tcPr>
          <w:p w14:paraId="779A6C76" w14:textId="77777777" w:rsidR="00F24946" w:rsidRDefault="00613B06">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7A3FE8F8"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0D966E9" w14:textId="77777777" w:rsidR="00F24946" w:rsidRDefault="00613B06">
            <w:pPr>
              <w:pStyle w:val="P68B1DB1-Normal8"/>
              <w:spacing w:after="0" w:line="240" w:lineRule="auto"/>
              <w:jc w:val="center"/>
              <w:rPr>
                <w:rFonts w:eastAsia="Times New Roman" w:cs="Calibri"/>
                <w:noProof/>
              </w:rPr>
            </w:pPr>
            <w:r>
              <w:rPr>
                <w:noProof/>
              </w:rPr>
              <w:t xml:space="preserve">Javni prostor z izboljšano dostopnostjo za osebe z omejeno mobilnostjo </w:t>
            </w:r>
          </w:p>
        </w:tc>
        <w:tc>
          <w:tcPr>
            <w:tcW w:w="1486" w:type="dxa"/>
            <w:shd w:val="clear" w:color="auto" w:fill="C4EFCE"/>
            <w:vAlign w:val="center"/>
            <w:hideMark/>
          </w:tcPr>
          <w:p w14:paraId="2F4DB304"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D96709"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7952ADA7"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3DCDF0B" w14:textId="3EC07D00" w:rsidR="00F24946" w:rsidRDefault="00613B06">
            <w:pPr>
              <w:pStyle w:val="P68B1DB1-Normal8"/>
              <w:spacing w:after="0" w:line="240" w:lineRule="auto"/>
              <w:jc w:val="center"/>
              <w:rPr>
                <w:rFonts w:eastAsia="Times New Roman" w:cs="Calibri"/>
                <w:noProof/>
              </w:rPr>
            </w:pPr>
            <w:r>
              <w:rPr>
                <w:noProof/>
              </w:rPr>
              <w:t>200 000</w:t>
            </w:r>
          </w:p>
        </w:tc>
        <w:tc>
          <w:tcPr>
            <w:tcW w:w="680" w:type="dxa"/>
            <w:shd w:val="clear" w:color="auto" w:fill="C4EFCE"/>
            <w:vAlign w:val="center"/>
            <w:hideMark/>
          </w:tcPr>
          <w:p w14:paraId="7B65A11A"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04E2693F"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CEC40AB" w14:textId="77777777" w:rsidR="00F24946" w:rsidRDefault="00613B06">
            <w:pPr>
              <w:pStyle w:val="P68B1DB1-Normal8"/>
              <w:spacing w:after="0" w:line="240" w:lineRule="auto"/>
              <w:jc w:val="both"/>
              <w:rPr>
                <w:rFonts w:eastAsia="Times New Roman" w:cs="Calibri"/>
                <w:noProof/>
              </w:rPr>
            </w:pPr>
            <w:r>
              <w:rPr>
                <w:noProof/>
              </w:rPr>
              <w:t>Območje javnega prostora (kvadratov, stranskih prehodov itd.) v kvadratnih metrih, ki je deležno posegov (večinoma izravnavanje poti, prečkanje tirov, urejanje prometa, premeščanje infrastrukture in cestne opreme, izboljšanje dostopa do stavb) za izboljšanje pogojev dostopnosti za osebe z omejeno mobilnostjo.</w:t>
            </w:r>
          </w:p>
        </w:tc>
      </w:tr>
      <w:tr w:rsidR="00F24946" w14:paraId="5F588498" w14:textId="77777777">
        <w:trPr>
          <w:trHeight w:val="1120"/>
        </w:trPr>
        <w:tc>
          <w:tcPr>
            <w:tcW w:w="1124" w:type="dxa"/>
            <w:shd w:val="clear" w:color="auto" w:fill="C5EFCE"/>
            <w:vAlign w:val="center"/>
            <w:hideMark/>
          </w:tcPr>
          <w:p w14:paraId="36901FF3" w14:textId="77777777" w:rsidR="00F24946" w:rsidRDefault="00613B06">
            <w:pPr>
              <w:pStyle w:val="P68B1DB1-Normal7"/>
              <w:spacing w:after="0" w:line="240" w:lineRule="auto"/>
              <w:jc w:val="center"/>
              <w:rPr>
                <w:rFonts w:eastAsia="Times New Roman" w:cs="Calibri"/>
                <w:noProof/>
              </w:rPr>
            </w:pPr>
            <w:r>
              <w:rPr>
                <w:noProof/>
              </w:rPr>
              <w:t>3.9</w:t>
            </w:r>
          </w:p>
        </w:tc>
        <w:tc>
          <w:tcPr>
            <w:tcW w:w="1143" w:type="dxa"/>
            <w:shd w:val="clear" w:color="auto" w:fill="C4EFCE"/>
            <w:vAlign w:val="center"/>
            <w:hideMark/>
          </w:tcPr>
          <w:p w14:paraId="52268B9C" w14:textId="77777777" w:rsidR="00F24946" w:rsidRDefault="00613B06">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BC6D3D0"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5B89ADF" w14:textId="77777777" w:rsidR="00F24946" w:rsidRDefault="00613B06">
            <w:pPr>
              <w:pStyle w:val="P68B1DB1-Normal8"/>
              <w:spacing w:after="0" w:line="240" w:lineRule="auto"/>
              <w:jc w:val="center"/>
              <w:rPr>
                <w:rFonts w:eastAsia="Times New Roman" w:cs="Calibri"/>
                <w:noProof/>
              </w:rPr>
            </w:pPr>
            <w:r>
              <w:rPr>
                <w:noProof/>
              </w:rPr>
              <w:t xml:space="preserve">Javne storitve z izboljšano dostopnostjo za osebe z omejeno mobilnostjo </w:t>
            </w:r>
          </w:p>
        </w:tc>
        <w:tc>
          <w:tcPr>
            <w:tcW w:w="1486" w:type="dxa"/>
            <w:shd w:val="clear" w:color="auto" w:fill="C4EFCE"/>
            <w:vAlign w:val="center"/>
            <w:hideMark/>
          </w:tcPr>
          <w:p w14:paraId="161A1B5B"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2982A55"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229CC22B"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2D1A371" w14:textId="77777777" w:rsidR="00F24946" w:rsidRDefault="00613B06">
            <w:pPr>
              <w:pStyle w:val="P68B1DB1-Normal8"/>
              <w:spacing w:after="0" w:line="240" w:lineRule="auto"/>
              <w:jc w:val="center"/>
              <w:rPr>
                <w:rFonts w:eastAsia="Times New Roman" w:cs="Calibri"/>
                <w:noProof/>
              </w:rPr>
            </w:pPr>
            <w:r>
              <w:rPr>
                <w:noProof/>
              </w:rPr>
              <w:t>1 500</w:t>
            </w:r>
          </w:p>
        </w:tc>
        <w:tc>
          <w:tcPr>
            <w:tcW w:w="680" w:type="dxa"/>
            <w:shd w:val="clear" w:color="auto" w:fill="C4EFCE"/>
            <w:vAlign w:val="center"/>
            <w:hideMark/>
          </w:tcPr>
          <w:p w14:paraId="6F782341"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6EED6288"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3E9E73B" w14:textId="77777777" w:rsidR="00F24946" w:rsidRDefault="00613B06">
            <w:pPr>
              <w:pStyle w:val="P68B1DB1-Normal8"/>
              <w:spacing w:after="0" w:line="240" w:lineRule="auto"/>
              <w:jc w:val="both"/>
              <w:rPr>
                <w:rFonts w:eastAsia="Times New Roman" w:cs="Calibri"/>
                <w:noProof/>
              </w:rPr>
            </w:pPr>
            <w:r>
              <w:rPr>
                <w:noProof/>
              </w:rPr>
              <w:t xml:space="preserve">Število objektov za javne storitve, ki imajo koristi od ukrepov (predvsem klančine in vrata za dostop do stavb, okenc in sanitarnih prostorov za invalide) za izboljšanje pogojev dostopnosti za osebe z omejeno mobilnostjo. </w:t>
            </w:r>
          </w:p>
        </w:tc>
      </w:tr>
      <w:tr w:rsidR="00F24946" w14:paraId="69D82E93" w14:textId="77777777">
        <w:trPr>
          <w:trHeight w:val="1395"/>
        </w:trPr>
        <w:tc>
          <w:tcPr>
            <w:tcW w:w="1124" w:type="dxa"/>
            <w:shd w:val="clear" w:color="auto" w:fill="C5EFCE"/>
            <w:vAlign w:val="center"/>
            <w:hideMark/>
          </w:tcPr>
          <w:p w14:paraId="61E3A3F7" w14:textId="77777777" w:rsidR="00F24946" w:rsidRDefault="00613B06">
            <w:pPr>
              <w:pStyle w:val="P68B1DB1-Normal7"/>
              <w:spacing w:after="0" w:line="240" w:lineRule="auto"/>
              <w:jc w:val="center"/>
              <w:rPr>
                <w:rFonts w:eastAsia="Times New Roman" w:cs="Calibri"/>
                <w:noProof/>
              </w:rPr>
            </w:pPr>
            <w:r>
              <w:rPr>
                <w:noProof/>
              </w:rPr>
              <w:t>3.10</w:t>
            </w:r>
          </w:p>
        </w:tc>
        <w:tc>
          <w:tcPr>
            <w:tcW w:w="1143" w:type="dxa"/>
            <w:shd w:val="clear" w:color="auto" w:fill="C4EFCE"/>
            <w:vAlign w:val="center"/>
            <w:hideMark/>
          </w:tcPr>
          <w:p w14:paraId="75163862" w14:textId="77777777" w:rsidR="00F24946" w:rsidRDefault="00613B06">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707DF8E4"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BC2353F" w14:textId="04A2B32C" w:rsidR="00F24946" w:rsidRDefault="00613B06">
            <w:pPr>
              <w:pStyle w:val="P68B1DB1-Normal8"/>
              <w:spacing w:after="0" w:line="240" w:lineRule="auto"/>
              <w:jc w:val="center"/>
              <w:rPr>
                <w:rFonts w:eastAsia="Times New Roman" w:cs="Calibri"/>
                <w:noProof/>
              </w:rPr>
            </w:pPr>
            <w:r>
              <w:rPr>
                <w:noProof/>
              </w:rPr>
              <w:t xml:space="preserve">Nova in rehabilitirana mesta v domovih za stalno in nestanovanjsko oskrbo </w:t>
            </w:r>
          </w:p>
        </w:tc>
        <w:tc>
          <w:tcPr>
            <w:tcW w:w="1486" w:type="dxa"/>
            <w:shd w:val="clear" w:color="auto" w:fill="C4EFCE"/>
            <w:vAlign w:val="center"/>
            <w:hideMark/>
          </w:tcPr>
          <w:p w14:paraId="54817373"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536DA26"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245B8F57"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796C489" w14:textId="77777777" w:rsidR="00F24946" w:rsidRDefault="00613B06">
            <w:pPr>
              <w:pStyle w:val="P68B1DB1-Normal8"/>
              <w:spacing w:after="0" w:line="240" w:lineRule="auto"/>
              <w:jc w:val="center"/>
              <w:rPr>
                <w:rFonts w:eastAsia="Times New Roman" w:cs="Calibri"/>
                <w:noProof/>
              </w:rPr>
            </w:pPr>
            <w:r>
              <w:rPr>
                <w:noProof/>
              </w:rPr>
              <w:t>910</w:t>
            </w:r>
          </w:p>
        </w:tc>
        <w:tc>
          <w:tcPr>
            <w:tcW w:w="680" w:type="dxa"/>
            <w:shd w:val="clear" w:color="auto" w:fill="C4EFCE"/>
            <w:vAlign w:val="center"/>
            <w:hideMark/>
          </w:tcPr>
          <w:p w14:paraId="1DFEA3FF" w14:textId="13AEB4A7" w:rsidR="00F24946" w:rsidRDefault="00613B06">
            <w:pPr>
              <w:pStyle w:val="P68B1DB1-Normal8"/>
              <w:spacing w:after="0" w:line="240" w:lineRule="auto"/>
              <w:jc w:val="center"/>
              <w:rPr>
                <w:rFonts w:eastAsia="Times New Roman" w:cs="Calibri"/>
                <w:noProof/>
              </w:rPr>
            </w:pPr>
            <w:r>
              <w:rPr>
                <w:noProof/>
              </w:rPr>
              <w:t>Q3</w:t>
            </w:r>
          </w:p>
        </w:tc>
        <w:tc>
          <w:tcPr>
            <w:tcW w:w="845" w:type="dxa"/>
            <w:shd w:val="clear" w:color="auto" w:fill="C4EFCE"/>
            <w:vAlign w:val="center"/>
            <w:hideMark/>
          </w:tcPr>
          <w:p w14:paraId="4CE63A83" w14:textId="65E00CC5"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75F9B5E" w14:textId="7A69E91F" w:rsidR="00F24946" w:rsidRDefault="00613B06">
            <w:pPr>
              <w:pStyle w:val="P68B1DB1-Normal8"/>
              <w:spacing w:after="0" w:line="240" w:lineRule="auto"/>
              <w:jc w:val="both"/>
              <w:rPr>
                <w:rFonts w:eastAsia="Times New Roman" w:cs="Calibri"/>
                <w:noProof/>
              </w:rPr>
            </w:pPr>
            <w:r>
              <w:rPr>
                <w:noProof/>
              </w:rPr>
              <w:t>Število novih in saniranih mest, ki so na voljo v domovih za stalno in nestanovanjsko oskrbo (vključno z dnevnimi in nočnimi centri) v avtonomni regiji Madeira. Potrebe po primarni energiji za nove stavbe morajo biti za vsaj 20 % nižje od potreb stavb s skoraj nično porabo energije, sanitirane stavbe pa morajo izboljšati energijsko učinkovitost.</w:t>
            </w:r>
          </w:p>
        </w:tc>
      </w:tr>
      <w:tr w:rsidR="00F24946" w14:paraId="707B112D" w14:textId="77777777">
        <w:trPr>
          <w:trHeight w:val="821"/>
        </w:trPr>
        <w:tc>
          <w:tcPr>
            <w:tcW w:w="1124" w:type="dxa"/>
            <w:shd w:val="clear" w:color="auto" w:fill="C5EFCE"/>
            <w:vAlign w:val="center"/>
            <w:hideMark/>
          </w:tcPr>
          <w:p w14:paraId="257FBDE8" w14:textId="77777777" w:rsidR="00F24946" w:rsidRDefault="00613B06">
            <w:pPr>
              <w:pStyle w:val="P68B1DB1-Normal7"/>
              <w:spacing w:after="0" w:line="240" w:lineRule="auto"/>
              <w:jc w:val="center"/>
              <w:rPr>
                <w:rFonts w:eastAsia="Times New Roman" w:cs="Calibri"/>
                <w:noProof/>
              </w:rPr>
            </w:pPr>
            <w:r>
              <w:rPr>
                <w:noProof/>
              </w:rPr>
              <w:t>3.11</w:t>
            </w:r>
          </w:p>
        </w:tc>
        <w:tc>
          <w:tcPr>
            <w:tcW w:w="1143" w:type="dxa"/>
            <w:shd w:val="clear" w:color="auto" w:fill="C4EFCE"/>
            <w:vAlign w:val="center"/>
            <w:hideMark/>
          </w:tcPr>
          <w:p w14:paraId="30A53477" w14:textId="77777777" w:rsidR="00F24946" w:rsidRDefault="00613B06">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4CDA8223"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5BF4870" w14:textId="0787763E" w:rsidR="00F24946" w:rsidRDefault="00613B06">
            <w:pPr>
              <w:pStyle w:val="P68B1DB1-Normal8"/>
              <w:spacing w:after="0" w:line="240" w:lineRule="auto"/>
              <w:jc w:val="center"/>
              <w:rPr>
                <w:rFonts w:eastAsia="Times New Roman" w:cs="Calibri"/>
                <w:noProof/>
              </w:rPr>
            </w:pPr>
            <w:r>
              <w:rPr>
                <w:noProof/>
              </w:rPr>
              <w:t>Načrti življenja za vključevanje brezdomcev.</w:t>
            </w:r>
          </w:p>
        </w:tc>
        <w:tc>
          <w:tcPr>
            <w:tcW w:w="1486" w:type="dxa"/>
            <w:shd w:val="clear" w:color="auto" w:fill="C4EFCE"/>
            <w:vAlign w:val="center"/>
            <w:hideMark/>
          </w:tcPr>
          <w:p w14:paraId="464AD4B7"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CF5D34"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11375CE0" w14:textId="77777777" w:rsidR="00F24946" w:rsidRDefault="00613B06">
            <w:pPr>
              <w:pStyle w:val="P68B1DB1-Normal8"/>
              <w:spacing w:after="0" w:line="240" w:lineRule="auto"/>
              <w:jc w:val="center"/>
              <w:rPr>
                <w:rFonts w:eastAsia="Times New Roman" w:cs="Calibri"/>
                <w:noProof/>
              </w:rPr>
            </w:pPr>
            <w:r>
              <w:rPr>
                <w:noProof/>
              </w:rPr>
              <w:t> 0</w:t>
            </w:r>
          </w:p>
        </w:tc>
        <w:tc>
          <w:tcPr>
            <w:tcW w:w="882" w:type="dxa"/>
            <w:shd w:val="clear" w:color="auto" w:fill="C4EFCE"/>
            <w:vAlign w:val="center"/>
            <w:hideMark/>
          </w:tcPr>
          <w:p w14:paraId="13F2ADB5" w14:textId="77777777" w:rsidR="00F24946" w:rsidRDefault="00613B06">
            <w:pPr>
              <w:pStyle w:val="P68B1DB1-Normal8"/>
              <w:spacing w:after="0" w:line="240" w:lineRule="auto"/>
              <w:jc w:val="center"/>
              <w:rPr>
                <w:rFonts w:eastAsia="Times New Roman" w:cs="Calibri"/>
                <w:noProof/>
              </w:rPr>
            </w:pPr>
            <w:r>
              <w:rPr>
                <w:noProof/>
              </w:rPr>
              <w:t>20</w:t>
            </w:r>
          </w:p>
        </w:tc>
        <w:tc>
          <w:tcPr>
            <w:tcW w:w="680" w:type="dxa"/>
            <w:shd w:val="clear" w:color="auto" w:fill="C4EFCE"/>
            <w:vAlign w:val="center"/>
            <w:hideMark/>
          </w:tcPr>
          <w:p w14:paraId="5FFEB24C"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490AFAA1" w14:textId="77777777" w:rsidR="00F24946" w:rsidRDefault="00613B06">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453DD757" w14:textId="33BC55B8" w:rsidR="00F24946" w:rsidRDefault="00613B06">
            <w:pPr>
              <w:pStyle w:val="P68B1DB1-Normal8"/>
              <w:spacing w:after="0" w:line="240" w:lineRule="auto"/>
              <w:jc w:val="both"/>
              <w:rPr>
                <w:rFonts w:eastAsia="Times New Roman" w:cs="Calibri"/>
                <w:noProof/>
              </w:rPr>
            </w:pPr>
            <w:r>
              <w:rPr>
                <w:noProof/>
              </w:rPr>
              <w:t xml:space="preserve">Število podpisanih življenjskih načrtov za vključevanje brezdomcev. </w:t>
            </w:r>
          </w:p>
        </w:tc>
      </w:tr>
      <w:tr w:rsidR="00F24946" w14:paraId="5D7D39EC" w14:textId="77777777">
        <w:trPr>
          <w:trHeight w:val="1105"/>
        </w:trPr>
        <w:tc>
          <w:tcPr>
            <w:tcW w:w="1124" w:type="dxa"/>
            <w:shd w:val="clear" w:color="auto" w:fill="C5EFCE"/>
            <w:vAlign w:val="center"/>
          </w:tcPr>
          <w:p w14:paraId="0F0EA38A" w14:textId="312A5487" w:rsidR="00F24946" w:rsidRDefault="00613B06">
            <w:pPr>
              <w:pStyle w:val="P68B1DB1-Normal7"/>
              <w:spacing w:after="0" w:line="240" w:lineRule="auto"/>
              <w:jc w:val="center"/>
              <w:rPr>
                <w:rFonts w:eastAsia="Times New Roman" w:cs="Calibri"/>
                <w:noProof/>
              </w:rPr>
            </w:pPr>
            <w:r>
              <w:rPr>
                <w:noProof/>
              </w:rPr>
              <w:t>3.27</w:t>
            </w:r>
          </w:p>
        </w:tc>
        <w:tc>
          <w:tcPr>
            <w:tcW w:w="1143" w:type="dxa"/>
            <w:shd w:val="clear" w:color="auto" w:fill="C4EFCE"/>
            <w:vAlign w:val="center"/>
          </w:tcPr>
          <w:p w14:paraId="3FA49D08" w14:textId="0B592BB4" w:rsidR="00F24946" w:rsidRDefault="00613B06">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tcPr>
          <w:p w14:paraId="292902B7" w14:textId="13929E9E"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tcPr>
          <w:p w14:paraId="2559F2E9" w14:textId="37016788" w:rsidR="00F24946" w:rsidRDefault="00613B06">
            <w:pPr>
              <w:pStyle w:val="P68B1DB1-Normal8"/>
              <w:spacing w:after="0" w:line="240" w:lineRule="auto"/>
              <w:jc w:val="center"/>
              <w:rPr>
                <w:rFonts w:eastAsia="Times New Roman" w:cs="Calibri"/>
                <w:noProof/>
              </w:rPr>
            </w:pPr>
            <w:r>
              <w:rPr>
                <w:noProof/>
              </w:rPr>
              <w:t>Število mest v domovih za oskrbo, ki podpirajo brezdomce</w:t>
            </w:r>
          </w:p>
        </w:tc>
        <w:tc>
          <w:tcPr>
            <w:tcW w:w="1486" w:type="dxa"/>
            <w:shd w:val="clear" w:color="auto" w:fill="C4EFCE"/>
            <w:vAlign w:val="center"/>
          </w:tcPr>
          <w:p w14:paraId="06C8929D" w14:textId="77777777" w:rsidR="00F24946" w:rsidRDefault="00F24946">
            <w:pPr>
              <w:spacing w:after="0" w:line="240" w:lineRule="auto"/>
              <w:jc w:val="center"/>
              <w:rPr>
                <w:rFonts w:ascii="Calibri" w:eastAsia="Times New Roman" w:hAnsi="Calibri" w:cs="Calibri"/>
                <w:noProof/>
                <w:sz w:val="16"/>
              </w:rPr>
            </w:pPr>
          </w:p>
        </w:tc>
        <w:tc>
          <w:tcPr>
            <w:tcW w:w="1014" w:type="dxa"/>
            <w:shd w:val="clear" w:color="auto" w:fill="C4EFCE"/>
            <w:vAlign w:val="center"/>
          </w:tcPr>
          <w:p w14:paraId="57AD4CD4" w14:textId="1F41F955"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tcPr>
          <w:p w14:paraId="2E6938E8" w14:textId="74AF9E43"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tcPr>
          <w:p w14:paraId="15B8F899" w14:textId="776DB2B8" w:rsidR="00F24946" w:rsidRDefault="00613B06">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tcPr>
          <w:p w14:paraId="7425B0AA" w14:textId="34EAD914"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tcPr>
          <w:p w14:paraId="64F7549B" w14:textId="0738F9EF"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tcPr>
          <w:p w14:paraId="56B65A2B" w14:textId="77777777" w:rsidR="00F24946" w:rsidRDefault="00613B06">
            <w:pPr>
              <w:pStyle w:val="P68B1DB1-Normal8"/>
              <w:spacing w:after="0" w:line="240" w:lineRule="auto"/>
              <w:jc w:val="both"/>
              <w:rPr>
                <w:rFonts w:eastAsia="Times New Roman" w:cs="Calibri"/>
                <w:noProof/>
              </w:rPr>
            </w:pPr>
            <w:r>
              <w:rPr>
                <w:noProof/>
              </w:rPr>
              <w:t>Število mest, ustvarjenih v domovih za oskrbo, ki podpirajo brezdomce.</w:t>
            </w:r>
          </w:p>
          <w:p w14:paraId="7F75990B" w14:textId="2CADF931" w:rsidR="00F24946" w:rsidRDefault="00613B06">
            <w:pPr>
              <w:pStyle w:val="P68B1DB1-Normal8"/>
              <w:spacing w:after="0" w:line="240" w:lineRule="auto"/>
              <w:jc w:val="both"/>
              <w:rPr>
                <w:rFonts w:eastAsia="Times New Roman" w:cs="Calibri"/>
                <w:noProof/>
              </w:rPr>
            </w:pPr>
            <w:r>
              <w:rPr>
                <w:noProof/>
              </w:rPr>
              <w:t>V primeru novih gradenj mora biti potreba po primarni energiji za nove stavbe vsaj 20 % nižja od potreb stavb s skoraj nično porabo energije.</w:t>
            </w:r>
          </w:p>
        </w:tc>
      </w:tr>
      <w:tr w:rsidR="00F24946" w14:paraId="03AF048D" w14:textId="77777777">
        <w:trPr>
          <w:trHeight w:val="1142"/>
        </w:trPr>
        <w:tc>
          <w:tcPr>
            <w:tcW w:w="1124" w:type="dxa"/>
            <w:shd w:val="clear" w:color="auto" w:fill="C5EFCE"/>
            <w:vAlign w:val="center"/>
            <w:hideMark/>
          </w:tcPr>
          <w:p w14:paraId="3C4ECCC1" w14:textId="77777777" w:rsidR="00F24946" w:rsidRDefault="00613B06">
            <w:pPr>
              <w:pStyle w:val="P68B1DB1-Normal7"/>
              <w:spacing w:after="0" w:line="240" w:lineRule="auto"/>
              <w:jc w:val="center"/>
              <w:rPr>
                <w:rFonts w:eastAsia="Times New Roman" w:cs="Calibri"/>
                <w:noProof/>
              </w:rPr>
            </w:pPr>
            <w:r>
              <w:rPr>
                <w:noProof/>
              </w:rPr>
              <w:t>3.12</w:t>
            </w:r>
          </w:p>
        </w:tc>
        <w:tc>
          <w:tcPr>
            <w:tcW w:w="1143" w:type="dxa"/>
            <w:shd w:val="clear" w:color="auto" w:fill="C4EFCE"/>
            <w:vAlign w:val="center"/>
            <w:hideMark/>
          </w:tcPr>
          <w:p w14:paraId="3611E70C" w14:textId="77777777" w:rsidR="00F24946" w:rsidRDefault="00613B06">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67D99684"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1703A05" w14:textId="4B599E15" w:rsidR="00F24946" w:rsidRDefault="00613B06">
            <w:pPr>
              <w:pStyle w:val="P68B1DB1-Normal8"/>
              <w:spacing w:after="0" w:line="240" w:lineRule="auto"/>
              <w:jc w:val="center"/>
              <w:rPr>
                <w:rFonts w:eastAsia="Times New Roman" w:cs="Calibri"/>
                <w:noProof/>
              </w:rPr>
            </w:pPr>
            <w:r>
              <w:rPr>
                <w:noProof/>
              </w:rPr>
              <w:t>Usposabljanje posameznikov iz družin, za katere velja dohodek za socialno vključenost</w:t>
            </w:r>
          </w:p>
        </w:tc>
        <w:tc>
          <w:tcPr>
            <w:tcW w:w="1486" w:type="dxa"/>
            <w:shd w:val="clear" w:color="auto" w:fill="C4EFCE"/>
            <w:vAlign w:val="center"/>
            <w:hideMark/>
          </w:tcPr>
          <w:p w14:paraId="696E9327"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1027FE"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50DB1988"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06F6395" w14:textId="5B315001" w:rsidR="00F24946" w:rsidRDefault="00613B06">
            <w:pPr>
              <w:pStyle w:val="P68B1DB1-Normal8"/>
              <w:spacing w:after="0" w:line="240" w:lineRule="auto"/>
              <w:jc w:val="center"/>
              <w:rPr>
                <w:rFonts w:eastAsia="Times New Roman" w:cs="Calibri"/>
                <w:noProof/>
              </w:rPr>
            </w:pPr>
            <w:r>
              <w:rPr>
                <w:noProof/>
              </w:rPr>
              <w:t>4 000</w:t>
            </w:r>
          </w:p>
        </w:tc>
        <w:tc>
          <w:tcPr>
            <w:tcW w:w="680" w:type="dxa"/>
            <w:shd w:val="clear" w:color="auto" w:fill="C4EFCE"/>
            <w:vAlign w:val="center"/>
            <w:hideMark/>
          </w:tcPr>
          <w:p w14:paraId="4C4BF131"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1870C922"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9E0E49C" w14:textId="20B3C5B6" w:rsidR="00F24946" w:rsidRDefault="00613B06">
            <w:pPr>
              <w:pStyle w:val="P68B1DB1-Normal8"/>
              <w:spacing w:after="0" w:line="240" w:lineRule="auto"/>
              <w:jc w:val="both"/>
              <w:rPr>
                <w:rFonts w:eastAsia="Times New Roman" w:cs="Calibri"/>
                <w:noProof/>
              </w:rPr>
            </w:pPr>
            <w:r>
              <w:rPr>
                <w:noProof/>
              </w:rPr>
              <w:t>Število posameznikov iz družin, ki so vključeni v dohodek za socialno vključenost in so se udeležili 650 usposabljanj, da bi lahko vstopili na trg dela.</w:t>
            </w:r>
          </w:p>
        </w:tc>
      </w:tr>
      <w:tr w:rsidR="00F24946" w14:paraId="7EC1340A" w14:textId="77777777">
        <w:trPr>
          <w:trHeight w:val="509"/>
        </w:trPr>
        <w:tc>
          <w:tcPr>
            <w:tcW w:w="1124" w:type="dxa"/>
            <w:shd w:val="clear" w:color="auto" w:fill="C5EFCE"/>
            <w:vAlign w:val="center"/>
            <w:hideMark/>
          </w:tcPr>
          <w:p w14:paraId="6C4E3A76" w14:textId="77777777" w:rsidR="00F24946" w:rsidRDefault="00613B06">
            <w:pPr>
              <w:pStyle w:val="P68B1DB1-Normal7"/>
              <w:spacing w:after="0" w:line="240" w:lineRule="auto"/>
              <w:jc w:val="center"/>
              <w:rPr>
                <w:rFonts w:eastAsia="Times New Roman" w:cs="Calibri"/>
                <w:noProof/>
              </w:rPr>
            </w:pPr>
            <w:r>
              <w:rPr>
                <w:noProof/>
              </w:rPr>
              <w:t>3.13</w:t>
            </w:r>
          </w:p>
        </w:tc>
        <w:tc>
          <w:tcPr>
            <w:tcW w:w="1143" w:type="dxa"/>
            <w:shd w:val="clear" w:color="auto" w:fill="C4EFCE"/>
            <w:vAlign w:val="center"/>
            <w:hideMark/>
          </w:tcPr>
          <w:p w14:paraId="1025A546" w14:textId="77777777" w:rsidR="00F24946" w:rsidRDefault="00613B06">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0F423132"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965F891" w14:textId="0DD7203E" w:rsidR="00F24946" w:rsidRDefault="00613B06">
            <w:pPr>
              <w:pStyle w:val="P68B1DB1-Normal8"/>
              <w:spacing w:after="0" w:line="240" w:lineRule="auto"/>
              <w:jc w:val="center"/>
              <w:rPr>
                <w:rFonts w:eastAsia="Times New Roman" w:cs="Calibri"/>
                <w:noProof/>
              </w:rPr>
            </w:pPr>
            <w:r>
              <w:rPr>
                <w:noProof/>
              </w:rPr>
              <w:t>Nova mesta za invalide v centrih za oskrbo, ki podpirajo invalide</w:t>
            </w:r>
          </w:p>
        </w:tc>
        <w:tc>
          <w:tcPr>
            <w:tcW w:w="1486" w:type="dxa"/>
            <w:shd w:val="clear" w:color="auto" w:fill="C4EFCE"/>
            <w:vAlign w:val="center"/>
            <w:hideMark/>
          </w:tcPr>
          <w:p w14:paraId="57FDD5B9"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FD0E92"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6A24D43F"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1EF7398" w14:textId="7D224638" w:rsidR="00F24946" w:rsidRDefault="00613B06">
            <w:pPr>
              <w:pStyle w:val="P68B1DB1-Normal8"/>
              <w:spacing w:after="0" w:line="240" w:lineRule="auto"/>
              <w:jc w:val="center"/>
              <w:rPr>
                <w:rFonts w:eastAsia="Times New Roman" w:cs="Calibri"/>
                <w:noProof/>
              </w:rPr>
            </w:pPr>
            <w:r>
              <w:rPr>
                <w:noProof/>
              </w:rPr>
              <w:t>207</w:t>
            </w:r>
          </w:p>
        </w:tc>
        <w:tc>
          <w:tcPr>
            <w:tcW w:w="680" w:type="dxa"/>
            <w:shd w:val="clear" w:color="auto" w:fill="C4EFCE"/>
            <w:vAlign w:val="center"/>
            <w:hideMark/>
          </w:tcPr>
          <w:p w14:paraId="7A32479C" w14:textId="10FC90E4" w:rsidR="00F24946" w:rsidRDefault="00613B06">
            <w:pPr>
              <w:pStyle w:val="P68B1DB1-Normal8"/>
              <w:spacing w:after="0" w:line="240" w:lineRule="auto"/>
              <w:jc w:val="center"/>
              <w:rPr>
                <w:rFonts w:eastAsia="Times New Roman" w:cs="Calibri"/>
                <w:noProof/>
              </w:rPr>
            </w:pPr>
            <w:r>
              <w:rPr>
                <w:noProof/>
              </w:rPr>
              <w:t>Q2</w:t>
            </w:r>
          </w:p>
        </w:tc>
        <w:tc>
          <w:tcPr>
            <w:tcW w:w="845" w:type="dxa"/>
            <w:shd w:val="clear" w:color="auto" w:fill="C4EFCE"/>
            <w:vAlign w:val="center"/>
            <w:hideMark/>
          </w:tcPr>
          <w:p w14:paraId="75F2311E" w14:textId="444F2E4E" w:rsidR="00F24946" w:rsidRDefault="00613B06">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67533911" w14:textId="7F617E1D" w:rsidR="00F24946" w:rsidRDefault="00613B06">
            <w:pPr>
              <w:pStyle w:val="P68B1DB1-Normal8"/>
              <w:spacing w:after="0" w:line="240" w:lineRule="auto"/>
              <w:jc w:val="both"/>
              <w:rPr>
                <w:rFonts w:eastAsia="Times New Roman" w:cs="Calibri"/>
                <w:noProof/>
              </w:rPr>
            </w:pPr>
            <w:r>
              <w:rPr>
                <w:noProof/>
              </w:rPr>
              <w:t>Število novih mest za invalide v centrih za oskrbo, ki podpirajo invalide. To vključuje gradnjo štirih stavb in prilagoditev dveh drugih stavb. V primeru novih gradenj mora biti potreba po primarni energiji za nove stavbe vsaj 20 % nižja od potreb stavb s skoraj nično porabo energije.</w:t>
            </w:r>
          </w:p>
        </w:tc>
      </w:tr>
      <w:tr w:rsidR="00F24946" w14:paraId="049083E8" w14:textId="77777777">
        <w:trPr>
          <w:trHeight w:val="1030"/>
        </w:trPr>
        <w:tc>
          <w:tcPr>
            <w:tcW w:w="1124" w:type="dxa"/>
            <w:shd w:val="clear" w:color="auto" w:fill="C5EFCE"/>
            <w:vAlign w:val="center"/>
            <w:hideMark/>
          </w:tcPr>
          <w:p w14:paraId="4D80D6EA" w14:textId="77777777" w:rsidR="00F24946" w:rsidRDefault="00613B06">
            <w:pPr>
              <w:pStyle w:val="P68B1DB1-Normal7"/>
              <w:spacing w:after="0" w:line="240" w:lineRule="auto"/>
              <w:jc w:val="center"/>
              <w:rPr>
                <w:rFonts w:eastAsia="Times New Roman" w:cs="Calibri"/>
                <w:noProof/>
              </w:rPr>
            </w:pPr>
            <w:r>
              <w:rPr>
                <w:noProof/>
              </w:rPr>
              <w:t>3.14</w:t>
            </w:r>
          </w:p>
        </w:tc>
        <w:tc>
          <w:tcPr>
            <w:tcW w:w="1143" w:type="dxa"/>
            <w:shd w:val="clear" w:color="auto" w:fill="C4EFCE"/>
            <w:vAlign w:val="center"/>
            <w:hideMark/>
          </w:tcPr>
          <w:p w14:paraId="62C1B356" w14:textId="77777777" w:rsidR="00F24946" w:rsidRDefault="00613B06">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3C09CC66"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EF33CF2" w14:textId="06A38392" w:rsidR="00F24946" w:rsidRDefault="00613B06">
            <w:pPr>
              <w:pStyle w:val="P68B1DB1-Normal9"/>
              <w:spacing w:after="0" w:line="240" w:lineRule="auto"/>
              <w:jc w:val="center"/>
              <w:rPr>
                <w:rFonts w:eastAsia="Times New Roman" w:cs="Calibri"/>
                <w:noProof/>
                <w:sz w:val="16"/>
              </w:rPr>
            </w:pPr>
            <w:r>
              <w:rPr>
                <w:noProof/>
                <w:sz w:val="16"/>
              </w:rPr>
              <w:t>Vozila, kupljena za</w:t>
            </w:r>
            <w:r>
              <w:rPr>
                <w:noProof/>
              </w:rPr>
              <w:t xml:space="preserve"> </w:t>
            </w:r>
            <w:r>
              <w:rPr>
                <w:noProof/>
                <w:sz w:val="16"/>
              </w:rPr>
              <w:t xml:space="preserve">Instituições Particulares de Solidariedade Social </w:t>
            </w:r>
          </w:p>
        </w:tc>
        <w:tc>
          <w:tcPr>
            <w:tcW w:w="1486" w:type="dxa"/>
            <w:shd w:val="clear" w:color="auto" w:fill="C4EFCE"/>
            <w:vAlign w:val="center"/>
            <w:hideMark/>
          </w:tcPr>
          <w:p w14:paraId="3475EC3A"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2AF43E85"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770F38CC"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E02EB10" w14:textId="77777777" w:rsidR="00F24946" w:rsidRDefault="00613B06">
            <w:pPr>
              <w:pStyle w:val="P68B1DB1-Normal8"/>
              <w:spacing w:after="0" w:line="240" w:lineRule="auto"/>
              <w:jc w:val="center"/>
              <w:rPr>
                <w:rFonts w:eastAsia="Times New Roman" w:cs="Calibri"/>
                <w:noProof/>
              </w:rPr>
            </w:pPr>
            <w:r>
              <w:rPr>
                <w:noProof/>
              </w:rPr>
              <w:t>100</w:t>
            </w:r>
          </w:p>
        </w:tc>
        <w:tc>
          <w:tcPr>
            <w:tcW w:w="680" w:type="dxa"/>
            <w:shd w:val="clear" w:color="auto" w:fill="C4EFCE"/>
            <w:vAlign w:val="center"/>
            <w:hideMark/>
          </w:tcPr>
          <w:p w14:paraId="71008F83"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3D8E9877"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27BDB15" w14:textId="146CF533" w:rsidR="00F24946" w:rsidRDefault="00613B06">
            <w:pPr>
              <w:pStyle w:val="P68B1DB1-Normal9"/>
              <w:spacing w:after="0" w:line="240" w:lineRule="auto"/>
              <w:jc w:val="both"/>
              <w:rPr>
                <w:rFonts w:eastAsia="Times New Roman" w:cs="Calibri"/>
                <w:noProof/>
                <w:sz w:val="16"/>
              </w:rPr>
            </w:pPr>
            <w:r>
              <w:rPr>
                <w:noProof/>
                <w:sz w:val="16"/>
              </w:rPr>
              <w:t>Število novih električnih vozil, dobavljenih voznemu</w:t>
            </w:r>
            <w:r>
              <w:rPr>
                <w:noProof/>
              </w:rPr>
              <w:t xml:space="preserve"> </w:t>
            </w:r>
            <w:r>
              <w:rPr>
                <w:noProof/>
                <w:sz w:val="16"/>
              </w:rPr>
              <w:t>parku Instituições Particulares de Solidariedade Social (IPSS).</w:t>
            </w:r>
          </w:p>
        </w:tc>
      </w:tr>
      <w:tr w:rsidR="00F24946" w14:paraId="19247985" w14:textId="77777777">
        <w:trPr>
          <w:trHeight w:val="430"/>
        </w:trPr>
        <w:tc>
          <w:tcPr>
            <w:tcW w:w="1124" w:type="dxa"/>
            <w:shd w:val="clear" w:color="auto" w:fill="C5EFCE"/>
            <w:vAlign w:val="center"/>
            <w:hideMark/>
          </w:tcPr>
          <w:p w14:paraId="37211580" w14:textId="77777777" w:rsidR="00F24946" w:rsidRDefault="00613B06">
            <w:pPr>
              <w:pStyle w:val="P68B1DB1-Normal7"/>
              <w:spacing w:after="0" w:line="240" w:lineRule="auto"/>
              <w:jc w:val="center"/>
              <w:rPr>
                <w:rFonts w:eastAsia="Times New Roman" w:cs="Calibri"/>
                <w:noProof/>
              </w:rPr>
            </w:pPr>
            <w:r>
              <w:rPr>
                <w:noProof/>
              </w:rPr>
              <w:t>3.15</w:t>
            </w:r>
          </w:p>
        </w:tc>
        <w:tc>
          <w:tcPr>
            <w:tcW w:w="1143" w:type="dxa"/>
            <w:shd w:val="clear" w:color="auto" w:fill="C4EFCE"/>
            <w:vAlign w:val="center"/>
            <w:hideMark/>
          </w:tcPr>
          <w:p w14:paraId="0B42AE83" w14:textId="77777777" w:rsidR="00F24946" w:rsidRDefault="00613B06">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182D975B"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81447A4" w14:textId="77777777" w:rsidR="00F24946" w:rsidRDefault="00613B06">
            <w:pPr>
              <w:pStyle w:val="P68B1DB1-Normal8"/>
              <w:spacing w:after="0" w:line="240" w:lineRule="auto"/>
              <w:jc w:val="center"/>
              <w:rPr>
                <w:rFonts w:eastAsia="Times New Roman" w:cs="Calibri"/>
                <w:noProof/>
              </w:rPr>
            </w:pPr>
            <w:r>
              <w:rPr>
                <w:noProof/>
              </w:rPr>
              <w:t>Vzpostavljen projekt staranja</w:t>
            </w:r>
          </w:p>
        </w:tc>
        <w:tc>
          <w:tcPr>
            <w:tcW w:w="1486" w:type="dxa"/>
            <w:shd w:val="clear" w:color="auto" w:fill="C4EFCE"/>
            <w:vAlign w:val="center"/>
            <w:hideMark/>
          </w:tcPr>
          <w:p w14:paraId="2D0D204B"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9C9C2F"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7220A717"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9B70C79" w14:textId="5A30131F" w:rsidR="00F24946" w:rsidRDefault="00613B06">
            <w:pPr>
              <w:pStyle w:val="P68B1DB1-Normal8"/>
              <w:spacing w:after="0" w:line="240" w:lineRule="auto"/>
              <w:jc w:val="center"/>
              <w:rPr>
                <w:rFonts w:eastAsia="Times New Roman" w:cs="Calibri"/>
                <w:noProof/>
              </w:rPr>
            </w:pPr>
            <w:r>
              <w:rPr>
                <w:noProof/>
              </w:rPr>
              <w:t>425</w:t>
            </w:r>
          </w:p>
        </w:tc>
        <w:tc>
          <w:tcPr>
            <w:tcW w:w="680" w:type="dxa"/>
            <w:shd w:val="clear" w:color="auto" w:fill="C4EFCE"/>
            <w:vAlign w:val="center"/>
            <w:hideMark/>
          </w:tcPr>
          <w:p w14:paraId="2E66662F"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296AE5F4"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0504830F" w14:textId="77777777" w:rsidR="00F24946" w:rsidRDefault="00613B06">
            <w:pPr>
              <w:pStyle w:val="P68B1DB1-Normal8"/>
              <w:spacing w:after="0" w:line="240" w:lineRule="auto"/>
              <w:jc w:val="both"/>
              <w:rPr>
                <w:rFonts w:eastAsia="Times New Roman" w:cs="Calibri"/>
                <w:noProof/>
              </w:rPr>
            </w:pPr>
            <w:r>
              <w:rPr>
                <w:noProof/>
              </w:rPr>
              <w:t>Število starejših ali invalidov, vključenih v obstoječi projekt o staranju v avtonomni regiji Azori.</w:t>
            </w:r>
          </w:p>
        </w:tc>
      </w:tr>
      <w:tr w:rsidR="00F24946" w14:paraId="722BCAC5" w14:textId="77777777">
        <w:trPr>
          <w:trHeight w:val="420"/>
        </w:trPr>
        <w:tc>
          <w:tcPr>
            <w:tcW w:w="1124" w:type="dxa"/>
            <w:shd w:val="clear" w:color="auto" w:fill="C5EFCE"/>
            <w:vAlign w:val="center"/>
            <w:hideMark/>
          </w:tcPr>
          <w:p w14:paraId="27569718" w14:textId="77777777" w:rsidR="00F24946" w:rsidRDefault="00613B06">
            <w:pPr>
              <w:pStyle w:val="P68B1DB1-Normal7"/>
              <w:spacing w:after="0" w:line="240" w:lineRule="auto"/>
              <w:jc w:val="center"/>
              <w:rPr>
                <w:rFonts w:eastAsia="Times New Roman" w:cs="Calibri"/>
                <w:noProof/>
              </w:rPr>
            </w:pPr>
            <w:r>
              <w:rPr>
                <w:noProof/>
              </w:rPr>
              <w:t>3.16</w:t>
            </w:r>
          </w:p>
        </w:tc>
        <w:tc>
          <w:tcPr>
            <w:tcW w:w="1143" w:type="dxa"/>
            <w:shd w:val="clear" w:color="auto" w:fill="C4EFCE"/>
            <w:vAlign w:val="center"/>
            <w:hideMark/>
          </w:tcPr>
          <w:p w14:paraId="3FEF3AE7" w14:textId="77777777" w:rsidR="00F24946" w:rsidRDefault="00613B06">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57B378D2"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1B2F0661" w14:textId="77777777" w:rsidR="00F24946" w:rsidRDefault="00613B06">
            <w:pPr>
              <w:pStyle w:val="P68B1DB1-Normal8"/>
              <w:spacing w:after="0" w:line="240" w:lineRule="auto"/>
              <w:jc w:val="center"/>
              <w:rPr>
                <w:rFonts w:eastAsia="Times New Roman" w:cs="Calibri"/>
                <w:noProof/>
              </w:rPr>
            </w:pPr>
            <w:r>
              <w:rPr>
                <w:noProof/>
              </w:rPr>
              <w:t>Ukrepi za boj proti zgodnjemu opuščanju šolanja otrok in mladih.</w:t>
            </w:r>
          </w:p>
        </w:tc>
        <w:tc>
          <w:tcPr>
            <w:tcW w:w="1486" w:type="dxa"/>
            <w:shd w:val="clear" w:color="auto" w:fill="C4EFCE"/>
            <w:vAlign w:val="center"/>
            <w:hideMark/>
          </w:tcPr>
          <w:p w14:paraId="761474E7"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9D5AE91" w14:textId="77777777" w:rsidR="00F24946" w:rsidRDefault="00613B06">
            <w:pPr>
              <w:pStyle w:val="P68B1DB1-Normal8"/>
              <w:spacing w:after="0" w:line="240" w:lineRule="auto"/>
              <w:jc w:val="center"/>
              <w:rPr>
                <w:rFonts w:eastAsia="Times New Roman" w:cs="Calibri"/>
                <w:noProof/>
              </w:rPr>
            </w:pPr>
            <w:r>
              <w:rPr>
                <w:noProof/>
              </w:rPr>
              <w:t>Število</w:t>
            </w:r>
          </w:p>
        </w:tc>
        <w:tc>
          <w:tcPr>
            <w:tcW w:w="1014" w:type="dxa"/>
            <w:shd w:val="clear" w:color="auto" w:fill="C4EFCE"/>
            <w:vAlign w:val="center"/>
            <w:hideMark/>
          </w:tcPr>
          <w:p w14:paraId="6596B2D6"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157A47D" w14:textId="77777777" w:rsidR="00F24946" w:rsidRDefault="00613B06">
            <w:pPr>
              <w:pStyle w:val="P68B1DB1-Normal8"/>
              <w:spacing w:after="0" w:line="240" w:lineRule="auto"/>
              <w:jc w:val="center"/>
              <w:rPr>
                <w:rFonts w:eastAsia="Times New Roman" w:cs="Calibri"/>
                <w:noProof/>
              </w:rPr>
            </w:pPr>
            <w:r>
              <w:rPr>
                <w:noProof/>
              </w:rPr>
              <w:t>11 561</w:t>
            </w:r>
          </w:p>
        </w:tc>
        <w:tc>
          <w:tcPr>
            <w:tcW w:w="680" w:type="dxa"/>
            <w:shd w:val="clear" w:color="auto" w:fill="C4EFCE"/>
            <w:vAlign w:val="center"/>
            <w:hideMark/>
          </w:tcPr>
          <w:p w14:paraId="7A4E4D10"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28EF501B"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5BF1ED67" w14:textId="77777777" w:rsidR="00F24946" w:rsidRDefault="00613B06">
            <w:pPr>
              <w:pStyle w:val="P68B1DB1-Normal8"/>
              <w:spacing w:after="0" w:line="240" w:lineRule="auto"/>
              <w:jc w:val="both"/>
              <w:rPr>
                <w:rFonts w:eastAsia="Times New Roman" w:cs="Calibri"/>
                <w:noProof/>
              </w:rPr>
            </w:pPr>
            <w:r>
              <w:rPr>
                <w:noProof/>
              </w:rPr>
              <w:t xml:space="preserve">Otroci in mladi, za katere veljajo ukrepi za boj proti osipu in spodbujanje udeležbe v visokošolskem izobraževanju, in sicer z: </w:t>
            </w:r>
          </w:p>
          <w:p w14:paraId="7FE0E7DB" w14:textId="56A390AC" w:rsidR="00F24946" w:rsidRDefault="00613B06">
            <w:pPr>
              <w:pStyle w:val="P68B1DB1-Normal8"/>
              <w:spacing w:after="0" w:line="240" w:lineRule="auto"/>
              <w:jc w:val="both"/>
              <w:rPr>
                <w:rFonts w:eastAsia="Times New Roman" w:cs="Calibri"/>
                <w:noProof/>
              </w:rPr>
            </w:pPr>
            <w:r>
              <w:rPr>
                <w:noProof/>
              </w:rPr>
              <w:t>I) subvencije za gospodinjstva z nizkimi dohodki kot spodbuda za spodbujanje prisotnosti vrtcev; II) vzpostavitev točk za podporo študiju; III) plačilo šolnin študentom za družine z nizkimi dohodki; IV) ustvarjanje novih prostorov za otroke v vrtcih in centrih za dnevno varstvo.</w:t>
            </w:r>
          </w:p>
        </w:tc>
      </w:tr>
      <w:tr w:rsidR="00F24946" w14:paraId="3E0BC186" w14:textId="77777777">
        <w:trPr>
          <w:trHeight w:val="1581"/>
        </w:trPr>
        <w:tc>
          <w:tcPr>
            <w:tcW w:w="1124" w:type="dxa"/>
            <w:shd w:val="clear" w:color="auto" w:fill="C5EFCE"/>
            <w:vAlign w:val="center"/>
            <w:hideMark/>
          </w:tcPr>
          <w:p w14:paraId="4AD1D11D" w14:textId="77777777" w:rsidR="00F24946" w:rsidRDefault="00613B06">
            <w:pPr>
              <w:pStyle w:val="P68B1DB1-Normal7"/>
              <w:spacing w:after="0" w:line="240" w:lineRule="auto"/>
              <w:jc w:val="center"/>
              <w:rPr>
                <w:rFonts w:eastAsia="Times New Roman" w:cs="Calibri"/>
                <w:noProof/>
              </w:rPr>
            </w:pPr>
            <w:r>
              <w:rPr>
                <w:noProof/>
              </w:rPr>
              <w:t>3.17</w:t>
            </w:r>
          </w:p>
        </w:tc>
        <w:tc>
          <w:tcPr>
            <w:tcW w:w="1143" w:type="dxa"/>
            <w:shd w:val="clear" w:color="auto" w:fill="C4EFCE"/>
            <w:vAlign w:val="center"/>
            <w:hideMark/>
          </w:tcPr>
          <w:p w14:paraId="6E502AC3" w14:textId="77777777" w:rsidR="00F24946" w:rsidRDefault="00613B06">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148563E4"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C55EEC7" w14:textId="77777777" w:rsidR="00F24946" w:rsidRDefault="00613B06">
            <w:pPr>
              <w:pStyle w:val="P68B1DB1-Normal8"/>
              <w:spacing w:after="0" w:line="240" w:lineRule="auto"/>
              <w:jc w:val="center"/>
              <w:rPr>
                <w:rFonts w:eastAsia="Times New Roman" w:cs="Calibri"/>
                <w:noProof/>
              </w:rPr>
            </w:pPr>
            <w:r>
              <w:rPr>
                <w:noProof/>
              </w:rPr>
              <w:t xml:space="preserve">Objava ponudbe za izgradnjo digitalne infrastrukture za dostopnost 360° </w:t>
            </w:r>
          </w:p>
        </w:tc>
        <w:tc>
          <w:tcPr>
            <w:tcW w:w="1486" w:type="dxa"/>
            <w:shd w:val="clear" w:color="auto" w:fill="C4EFCE"/>
            <w:vAlign w:val="center"/>
            <w:hideMark/>
          </w:tcPr>
          <w:p w14:paraId="67B63709" w14:textId="77777777" w:rsidR="00F24946" w:rsidRDefault="00613B06">
            <w:pPr>
              <w:pStyle w:val="P68B1DB1-Normal8"/>
              <w:spacing w:after="0" w:line="240" w:lineRule="auto"/>
              <w:jc w:val="center"/>
              <w:rPr>
                <w:rFonts w:eastAsia="Times New Roman" w:cs="Calibri"/>
                <w:noProof/>
              </w:rPr>
            </w:pPr>
            <w:r>
              <w:rPr>
                <w:noProof/>
              </w:rPr>
              <w:t>Objava obvestila o razpisu za pridobitev digitalne infrastrukture za dostopnost 360° v Uradnem listu – Diario da Republica</w:t>
            </w:r>
          </w:p>
        </w:tc>
        <w:tc>
          <w:tcPr>
            <w:tcW w:w="1014" w:type="dxa"/>
            <w:shd w:val="clear" w:color="auto" w:fill="C4EFCE"/>
            <w:vAlign w:val="center"/>
            <w:hideMark/>
          </w:tcPr>
          <w:p w14:paraId="546A3FF1"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B23DB11"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7997DED5"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24C9268"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5E997187" w14:textId="77777777" w:rsidR="00F24946" w:rsidRDefault="00613B06">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3FA52867" w14:textId="77777777" w:rsidR="00F24946" w:rsidRDefault="00613B06">
            <w:pPr>
              <w:pStyle w:val="P68B1DB1-Normal8"/>
              <w:spacing w:after="0" w:line="240" w:lineRule="auto"/>
              <w:jc w:val="both"/>
              <w:rPr>
                <w:rFonts w:eastAsia="Times New Roman" w:cs="Calibri"/>
                <w:noProof/>
              </w:rPr>
            </w:pPr>
            <w:r>
              <w:rPr>
                <w:noProof/>
              </w:rPr>
              <w:t>Objava javnega razpisa za izgradnjo digitalne infrastrukture, ki zajema i) georeferenčne informacije o javnih in zasebnih stavbah, ii) globalne informacijske sisteme in sisteme za določanje položaja (GPS), iii) geografsko določanje parkirnih mest.</w:t>
            </w:r>
          </w:p>
        </w:tc>
      </w:tr>
      <w:tr w:rsidR="00F24946" w14:paraId="37722B84" w14:textId="77777777">
        <w:trPr>
          <w:trHeight w:val="838"/>
        </w:trPr>
        <w:tc>
          <w:tcPr>
            <w:tcW w:w="1124" w:type="dxa"/>
            <w:shd w:val="clear" w:color="auto" w:fill="C5EFCE"/>
            <w:vAlign w:val="center"/>
            <w:hideMark/>
          </w:tcPr>
          <w:p w14:paraId="640BFDCE" w14:textId="77777777" w:rsidR="00F24946" w:rsidRDefault="00613B06">
            <w:pPr>
              <w:pStyle w:val="P68B1DB1-Normal7"/>
              <w:spacing w:after="0" w:line="240" w:lineRule="auto"/>
              <w:jc w:val="center"/>
              <w:rPr>
                <w:rFonts w:eastAsia="Times New Roman" w:cs="Calibri"/>
                <w:noProof/>
              </w:rPr>
            </w:pPr>
            <w:r>
              <w:rPr>
                <w:noProof/>
              </w:rPr>
              <w:t>3.18</w:t>
            </w:r>
          </w:p>
        </w:tc>
        <w:tc>
          <w:tcPr>
            <w:tcW w:w="1143" w:type="dxa"/>
            <w:shd w:val="clear" w:color="auto" w:fill="C4EFCE"/>
            <w:vAlign w:val="center"/>
            <w:hideMark/>
          </w:tcPr>
          <w:p w14:paraId="3B14B6A8" w14:textId="77777777" w:rsidR="00F24946" w:rsidRDefault="00613B06">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24B0174F"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127B0818" w14:textId="77777777" w:rsidR="00F24946" w:rsidRDefault="00613B06">
            <w:pPr>
              <w:pStyle w:val="P68B1DB1-Normal8"/>
              <w:spacing w:after="0" w:line="240" w:lineRule="auto"/>
              <w:jc w:val="center"/>
              <w:rPr>
                <w:rFonts w:eastAsia="Times New Roman" w:cs="Calibri"/>
                <w:noProof/>
              </w:rPr>
            </w:pPr>
            <w:r>
              <w:rPr>
                <w:noProof/>
              </w:rPr>
              <w:t>Digitalna informacijska platforma za invalide</w:t>
            </w:r>
          </w:p>
        </w:tc>
        <w:tc>
          <w:tcPr>
            <w:tcW w:w="1486" w:type="dxa"/>
            <w:shd w:val="clear" w:color="auto" w:fill="C4EFCE"/>
            <w:vAlign w:val="center"/>
            <w:hideMark/>
          </w:tcPr>
          <w:p w14:paraId="14F244C2" w14:textId="77777777" w:rsidR="00F24946" w:rsidRDefault="00613B06">
            <w:pPr>
              <w:pStyle w:val="P68B1DB1-Normal8"/>
              <w:spacing w:after="0" w:line="240" w:lineRule="auto"/>
              <w:jc w:val="center"/>
              <w:rPr>
                <w:rFonts w:eastAsia="Times New Roman" w:cs="Calibri"/>
                <w:noProof/>
              </w:rPr>
            </w:pPr>
            <w:r>
              <w:rPr>
                <w:noProof/>
              </w:rPr>
              <w:t>Začetek delovanja platforme</w:t>
            </w:r>
          </w:p>
        </w:tc>
        <w:tc>
          <w:tcPr>
            <w:tcW w:w="1014" w:type="dxa"/>
            <w:shd w:val="clear" w:color="auto" w:fill="C4EFCE"/>
            <w:vAlign w:val="center"/>
            <w:hideMark/>
          </w:tcPr>
          <w:p w14:paraId="2D447742"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69FDBF8"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DC68D64"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352AF611"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4C2EC19E" w14:textId="77777777" w:rsidR="00F24946" w:rsidRDefault="00613B06">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38C6A344" w14:textId="77777777" w:rsidR="00F24946" w:rsidRDefault="00613B06">
            <w:pPr>
              <w:pStyle w:val="P68B1DB1-Normal8"/>
              <w:spacing w:after="0" w:line="240" w:lineRule="auto"/>
              <w:jc w:val="both"/>
              <w:rPr>
                <w:rFonts w:eastAsia="Times New Roman" w:cs="Calibri"/>
                <w:noProof/>
              </w:rPr>
            </w:pPr>
            <w:r>
              <w:rPr>
                <w:noProof/>
              </w:rPr>
              <w:t>Začetek delovanja digitalne informacijske platforme, ki združuje in poenostavlja informacije o ustrezni zakonodaji ter podporne vire za invalide.</w:t>
            </w:r>
          </w:p>
        </w:tc>
      </w:tr>
      <w:tr w:rsidR="00F24946" w14:paraId="29DF1015" w14:textId="77777777">
        <w:trPr>
          <w:trHeight w:val="928"/>
        </w:trPr>
        <w:tc>
          <w:tcPr>
            <w:tcW w:w="1124" w:type="dxa"/>
            <w:shd w:val="clear" w:color="auto" w:fill="C5EFCE"/>
            <w:vAlign w:val="center"/>
            <w:hideMark/>
          </w:tcPr>
          <w:p w14:paraId="31FC2931" w14:textId="77777777" w:rsidR="00F24946" w:rsidRDefault="00613B06">
            <w:pPr>
              <w:pStyle w:val="P68B1DB1-Normal7"/>
              <w:spacing w:after="0" w:line="240" w:lineRule="auto"/>
              <w:jc w:val="center"/>
              <w:rPr>
                <w:rFonts w:eastAsia="Times New Roman" w:cs="Calibri"/>
                <w:noProof/>
              </w:rPr>
            </w:pPr>
            <w:r>
              <w:rPr>
                <w:noProof/>
              </w:rPr>
              <w:t>3.19</w:t>
            </w:r>
          </w:p>
        </w:tc>
        <w:tc>
          <w:tcPr>
            <w:tcW w:w="1143" w:type="dxa"/>
            <w:shd w:val="clear" w:color="auto" w:fill="C4EFCE"/>
            <w:vAlign w:val="center"/>
            <w:hideMark/>
          </w:tcPr>
          <w:p w14:paraId="31C50628" w14:textId="77777777" w:rsidR="00F24946" w:rsidRDefault="00613B06">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6E89FFB3"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F2367B2" w14:textId="77777777" w:rsidR="00F24946" w:rsidRDefault="00613B06">
            <w:pPr>
              <w:pStyle w:val="P68B1DB1-Normal8"/>
              <w:spacing w:after="0" w:line="240" w:lineRule="auto"/>
              <w:jc w:val="center"/>
              <w:rPr>
                <w:rFonts w:eastAsia="Times New Roman" w:cs="Calibri"/>
                <w:noProof/>
              </w:rPr>
            </w:pPr>
            <w:r>
              <w:rPr>
                <w:noProof/>
              </w:rPr>
              <w:t>Klicni center za portugalski znakovni jezik</w:t>
            </w:r>
          </w:p>
        </w:tc>
        <w:tc>
          <w:tcPr>
            <w:tcW w:w="1486" w:type="dxa"/>
            <w:shd w:val="clear" w:color="auto" w:fill="C4EFCE"/>
            <w:vAlign w:val="center"/>
            <w:hideMark/>
          </w:tcPr>
          <w:p w14:paraId="4C4DE045" w14:textId="77777777" w:rsidR="00F24946" w:rsidRDefault="00613B06">
            <w:pPr>
              <w:pStyle w:val="P68B1DB1-Normal8"/>
              <w:spacing w:after="0" w:line="240" w:lineRule="auto"/>
              <w:jc w:val="center"/>
              <w:rPr>
                <w:rFonts w:eastAsia="Times New Roman" w:cs="Calibri"/>
                <w:noProof/>
              </w:rPr>
            </w:pPr>
            <w:r>
              <w:rPr>
                <w:noProof/>
              </w:rPr>
              <w:t>Začetek delovanja storitve klicnega centra za portugalski znakovni jezik</w:t>
            </w:r>
          </w:p>
        </w:tc>
        <w:tc>
          <w:tcPr>
            <w:tcW w:w="1014" w:type="dxa"/>
            <w:shd w:val="clear" w:color="auto" w:fill="C4EFCE"/>
            <w:vAlign w:val="center"/>
            <w:hideMark/>
          </w:tcPr>
          <w:p w14:paraId="62A19147"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4F454E"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5B22AC7B"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C3FE14B"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19B2E8B1"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F959E19" w14:textId="07AF1B38" w:rsidR="00F24946" w:rsidRDefault="00613B06">
            <w:pPr>
              <w:pStyle w:val="P68B1DB1-Normal8"/>
              <w:spacing w:after="0" w:line="240" w:lineRule="auto"/>
              <w:jc w:val="both"/>
              <w:rPr>
                <w:rFonts w:eastAsia="Times New Roman" w:cs="Calibri"/>
                <w:noProof/>
              </w:rPr>
            </w:pPr>
            <w:r>
              <w:rPr>
                <w:noProof/>
              </w:rPr>
              <w:t>Začetek delovanja klicnega centra, ki gluhim državljanom zagotavlja tolmačenje v realnem času v portugalskem znakovnem jeziku, ki je na voljo vsem javnim upravam.</w:t>
            </w:r>
          </w:p>
        </w:tc>
      </w:tr>
      <w:tr w:rsidR="00F24946" w14:paraId="0BDE969A" w14:textId="77777777">
        <w:trPr>
          <w:trHeight w:val="1690"/>
        </w:trPr>
        <w:tc>
          <w:tcPr>
            <w:tcW w:w="1124" w:type="dxa"/>
            <w:shd w:val="clear" w:color="auto" w:fill="C5EFCE"/>
            <w:vAlign w:val="center"/>
          </w:tcPr>
          <w:p w14:paraId="6D78B7CA" w14:textId="77777777" w:rsidR="00F24946" w:rsidRDefault="00613B06">
            <w:pPr>
              <w:pStyle w:val="P68B1DB1-Normal7"/>
              <w:spacing w:after="0" w:line="240" w:lineRule="auto"/>
              <w:jc w:val="center"/>
              <w:rPr>
                <w:rFonts w:eastAsia="Times New Roman" w:cs="Calibri"/>
                <w:noProof/>
              </w:rPr>
            </w:pPr>
            <w:r>
              <w:rPr>
                <w:noProof/>
              </w:rPr>
              <w:t>3.20</w:t>
            </w:r>
          </w:p>
        </w:tc>
        <w:tc>
          <w:tcPr>
            <w:tcW w:w="1143" w:type="dxa"/>
            <w:shd w:val="clear" w:color="auto" w:fill="C4EFCE"/>
            <w:vAlign w:val="center"/>
          </w:tcPr>
          <w:p w14:paraId="4B2FA922" w14:textId="77777777" w:rsidR="00F24946" w:rsidRDefault="00613B06">
            <w:pPr>
              <w:pStyle w:val="P68B1DB1-Normal8"/>
              <w:spacing w:after="0" w:line="240" w:lineRule="auto"/>
              <w:jc w:val="center"/>
              <w:rPr>
                <w:rFonts w:eastAsia="Times New Roman" w:cs="Calibri"/>
                <w:noProof/>
              </w:rPr>
            </w:pPr>
            <w:r>
              <w:rPr>
                <w:noProof/>
              </w:rPr>
              <w:t>Re-C03-r08</w:t>
            </w:r>
          </w:p>
        </w:tc>
        <w:tc>
          <w:tcPr>
            <w:tcW w:w="982" w:type="dxa"/>
            <w:shd w:val="clear" w:color="auto" w:fill="C4EFCE"/>
            <w:vAlign w:val="center"/>
          </w:tcPr>
          <w:p w14:paraId="7E7854CA"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tcPr>
          <w:p w14:paraId="6959C89C" w14:textId="77777777" w:rsidR="00F24946" w:rsidRDefault="00613B06">
            <w:pPr>
              <w:pStyle w:val="P68B1DB1-Normal8"/>
              <w:spacing w:after="0" w:line="240" w:lineRule="auto"/>
              <w:jc w:val="center"/>
              <w:rPr>
                <w:rFonts w:eastAsia="Times New Roman" w:cs="Calibri"/>
                <w:noProof/>
              </w:rPr>
            </w:pPr>
            <w:r>
              <w:rPr>
                <w:noProof/>
              </w:rPr>
              <w:t>Sprejetje nacionalne strategije za boj proti revščini</w:t>
            </w:r>
          </w:p>
        </w:tc>
        <w:tc>
          <w:tcPr>
            <w:tcW w:w="1486" w:type="dxa"/>
            <w:shd w:val="clear" w:color="auto" w:fill="C4EFCE"/>
            <w:vAlign w:val="center"/>
          </w:tcPr>
          <w:p w14:paraId="3471F2FF" w14:textId="77777777" w:rsidR="00F24946" w:rsidRDefault="00613B06">
            <w:pPr>
              <w:pStyle w:val="P68B1DB1-Normal8"/>
              <w:spacing w:after="0" w:line="240" w:lineRule="auto"/>
              <w:jc w:val="center"/>
              <w:rPr>
                <w:rFonts w:eastAsia="Times New Roman" w:cs="Calibri"/>
                <w:noProof/>
              </w:rPr>
            </w:pPr>
            <w:r>
              <w:rPr>
                <w:noProof/>
              </w:rPr>
              <w:t>Sprejetje nacionalne strategije za boj proti revščini</w:t>
            </w:r>
          </w:p>
        </w:tc>
        <w:tc>
          <w:tcPr>
            <w:tcW w:w="1014" w:type="dxa"/>
            <w:shd w:val="clear" w:color="auto" w:fill="C4EFCE"/>
            <w:vAlign w:val="center"/>
          </w:tcPr>
          <w:p w14:paraId="1283F0D0"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tcPr>
          <w:p w14:paraId="6ABA1CAC"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tcPr>
          <w:p w14:paraId="00EAECC6"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tcPr>
          <w:p w14:paraId="4F8A05D3" w14:textId="77777777" w:rsidR="00F24946" w:rsidRDefault="00613B06">
            <w:pPr>
              <w:pStyle w:val="P68B1DB1-Normal8"/>
              <w:spacing w:after="0" w:line="240" w:lineRule="auto"/>
              <w:jc w:val="center"/>
              <w:rPr>
                <w:rFonts w:eastAsia="Times New Roman" w:cs="Calibri"/>
                <w:noProof/>
              </w:rPr>
            </w:pPr>
            <w:r>
              <w:rPr>
                <w:noProof/>
              </w:rPr>
              <w:t>Q3</w:t>
            </w:r>
          </w:p>
        </w:tc>
        <w:tc>
          <w:tcPr>
            <w:tcW w:w="845" w:type="dxa"/>
            <w:shd w:val="clear" w:color="auto" w:fill="C4EFCE"/>
            <w:vAlign w:val="center"/>
          </w:tcPr>
          <w:p w14:paraId="7D0E5BB2" w14:textId="77777777" w:rsidR="00F24946" w:rsidRDefault="00613B06">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tcPr>
          <w:p w14:paraId="2AE0C47C" w14:textId="77777777" w:rsidR="00F24946" w:rsidRDefault="00613B06">
            <w:pPr>
              <w:pStyle w:val="P68B1DB1-Normal8"/>
              <w:spacing w:after="0" w:line="240" w:lineRule="auto"/>
              <w:jc w:val="both"/>
              <w:rPr>
                <w:rFonts w:eastAsia="Times New Roman" w:cs="Calibri"/>
                <w:noProof/>
              </w:rPr>
            </w:pPr>
            <w:r>
              <w:rPr>
                <w:noProof/>
              </w:rPr>
              <w:t>Nacionalna strategija za boj proti revščini (ENCP) zagotavlja okvir za tematske ukrepe za posebne skupine, od otroštva do starosti, vključno z najranljivejšimi skupinami. Določa pogoje za razvoj in izvajanje celostnih politik, ki se osredotočajo na posebnosti socialne izključenosti in revščine na lokalni ravni. Poleg tega določa tudi vzpostavitev enotnega okvira za spremljanje kazalnikov, povezanih z revščino.</w:t>
            </w:r>
          </w:p>
        </w:tc>
      </w:tr>
      <w:tr w:rsidR="00F24946" w14:paraId="533F5B1E" w14:textId="77777777">
        <w:trPr>
          <w:trHeight w:val="290"/>
        </w:trPr>
        <w:tc>
          <w:tcPr>
            <w:tcW w:w="1124" w:type="dxa"/>
            <w:shd w:val="clear" w:color="auto" w:fill="C5EFCE"/>
            <w:vAlign w:val="center"/>
            <w:hideMark/>
          </w:tcPr>
          <w:p w14:paraId="75444558" w14:textId="77777777" w:rsidR="00F24946" w:rsidRDefault="00613B06">
            <w:pPr>
              <w:pStyle w:val="P68B1DB1-Normal7"/>
              <w:spacing w:after="0" w:line="240" w:lineRule="auto"/>
              <w:jc w:val="center"/>
              <w:rPr>
                <w:rFonts w:eastAsia="Times New Roman" w:cs="Calibri"/>
                <w:noProof/>
              </w:rPr>
            </w:pPr>
            <w:r>
              <w:rPr>
                <w:noProof/>
              </w:rPr>
              <w:t>3.21</w:t>
            </w:r>
          </w:p>
        </w:tc>
        <w:tc>
          <w:tcPr>
            <w:tcW w:w="1143" w:type="dxa"/>
            <w:shd w:val="clear" w:color="auto" w:fill="C4EFCE"/>
            <w:vAlign w:val="center"/>
            <w:hideMark/>
          </w:tcPr>
          <w:p w14:paraId="57253209" w14:textId="77777777" w:rsidR="00F24946" w:rsidRDefault="00613B06">
            <w:pPr>
              <w:pStyle w:val="P68B1DB1-Normal8"/>
              <w:spacing w:after="0" w:line="240" w:lineRule="auto"/>
              <w:jc w:val="center"/>
              <w:rPr>
                <w:rFonts w:eastAsia="Times New Roman" w:cs="Calibri"/>
                <w:noProof/>
              </w:rPr>
            </w:pPr>
            <w:r>
              <w:rPr>
                <w:noProof/>
              </w:rPr>
              <w:t>Re-C03-r06</w:t>
            </w:r>
          </w:p>
        </w:tc>
        <w:tc>
          <w:tcPr>
            <w:tcW w:w="982" w:type="dxa"/>
            <w:shd w:val="clear" w:color="auto" w:fill="C4EFCE"/>
            <w:vAlign w:val="center"/>
            <w:hideMark/>
          </w:tcPr>
          <w:p w14:paraId="48FD60DB"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B798661" w14:textId="77777777" w:rsidR="00F24946" w:rsidRDefault="00613B06">
            <w:pPr>
              <w:pStyle w:val="P68B1DB1-Normal8"/>
              <w:spacing w:after="0" w:line="240" w:lineRule="auto"/>
              <w:jc w:val="center"/>
              <w:rPr>
                <w:rFonts w:eastAsia="Times New Roman" w:cs="Calibri"/>
                <w:noProof/>
              </w:rPr>
            </w:pPr>
            <w:r>
              <w:rPr>
                <w:noProof/>
              </w:rPr>
              <w:t>Sprejetje nacionalne strategije za vključevanje invalidov za obdobje 2021–2025</w:t>
            </w:r>
          </w:p>
        </w:tc>
        <w:tc>
          <w:tcPr>
            <w:tcW w:w="1486" w:type="dxa"/>
            <w:shd w:val="clear" w:color="auto" w:fill="C4EFCE"/>
            <w:vAlign w:val="center"/>
            <w:hideMark/>
          </w:tcPr>
          <w:p w14:paraId="40250264" w14:textId="77777777" w:rsidR="00F24946" w:rsidRDefault="00613B06">
            <w:pPr>
              <w:pStyle w:val="P68B1DB1-Normal8"/>
              <w:spacing w:after="0" w:line="240" w:lineRule="auto"/>
              <w:jc w:val="center"/>
              <w:rPr>
                <w:rFonts w:eastAsia="Times New Roman" w:cs="Calibri"/>
                <w:noProof/>
              </w:rPr>
            </w:pPr>
            <w:r>
              <w:rPr>
                <w:noProof/>
              </w:rPr>
              <w:t>Sprejetje nacionalne strategije za vključevanje invalidov za obdobje 2021–2025</w:t>
            </w:r>
          </w:p>
        </w:tc>
        <w:tc>
          <w:tcPr>
            <w:tcW w:w="1014" w:type="dxa"/>
            <w:shd w:val="clear" w:color="auto" w:fill="C4EFCE"/>
            <w:vAlign w:val="center"/>
            <w:hideMark/>
          </w:tcPr>
          <w:p w14:paraId="66D99749"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448DA702"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94CC941"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61D167B3"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39843ADC" w14:textId="77777777" w:rsidR="00F24946" w:rsidRDefault="00613B06">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7651022" w14:textId="77777777" w:rsidR="00F24946" w:rsidRDefault="00613B06">
            <w:pPr>
              <w:pStyle w:val="P68B1DB1-Normal8"/>
              <w:spacing w:after="0" w:line="240" w:lineRule="auto"/>
              <w:jc w:val="both"/>
              <w:rPr>
                <w:rFonts w:eastAsia="Times New Roman" w:cs="Calibri"/>
                <w:noProof/>
              </w:rPr>
            </w:pPr>
            <w:r>
              <w:rPr>
                <w:noProof/>
              </w:rPr>
              <w:t xml:space="preserve">Nacionalna strategija za vključevanje invalidov ustvarja pogoje za: </w:t>
            </w:r>
          </w:p>
          <w:p w14:paraId="5BEAE38C"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nov sistem ocenjevanja invalidnosti in certificiranja; </w:t>
            </w:r>
          </w:p>
          <w:p w14:paraId="1AE861D1"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nov sistem zbiranja podatkov in obravnave ter organizacije informacij o invalidnosti v podporo odločanju; </w:t>
            </w:r>
          </w:p>
          <w:p w14:paraId="6C12A290"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opredelitev posegov na javnih mestih;</w:t>
            </w:r>
          </w:p>
          <w:p w14:paraId="090CA10D"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vključevanje invalidov v odločitve, ukrepe, programe in projekte;</w:t>
            </w:r>
          </w:p>
          <w:p w14:paraId="47358F4D"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razširitev podpornega modela za samostojno življenje, ki zagotavlja osebno pomoč invalidom;</w:t>
            </w:r>
          </w:p>
          <w:p w14:paraId="20D2D4ED" w14:textId="0DE988E4"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prilagoditev sistema usposabljanja, zaposlovanja in kvalifikacij za invalide.</w:t>
            </w:r>
          </w:p>
        </w:tc>
      </w:tr>
      <w:tr w:rsidR="00F24946" w14:paraId="259EB076" w14:textId="77777777">
        <w:trPr>
          <w:trHeight w:val="1060"/>
        </w:trPr>
        <w:tc>
          <w:tcPr>
            <w:tcW w:w="1124" w:type="dxa"/>
            <w:shd w:val="clear" w:color="auto" w:fill="C5EFCE"/>
            <w:vAlign w:val="center"/>
            <w:hideMark/>
          </w:tcPr>
          <w:p w14:paraId="26DEA246" w14:textId="77777777" w:rsidR="00F24946" w:rsidRDefault="00613B06">
            <w:pPr>
              <w:pStyle w:val="P68B1DB1-Normal7"/>
              <w:spacing w:after="0" w:line="240" w:lineRule="auto"/>
              <w:jc w:val="center"/>
              <w:rPr>
                <w:rFonts w:eastAsia="Times New Roman" w:cs="Calibri"/>
                <w:noProof/>
              </w:rPr>
            </w:pPr>
            <w:r>
              <w:rPr>
                <w:noProof/>
              </w:rPr>
              <w:t>3.22</w:t>
            </w:r>
          </w:p>
        </w:tc>
        <w:tc>
          <w:tcPr>
            <w:tcW w:w="1143" w:type="dxa"/>
            <w:shd w:val="clear" w:color="auto" w:fill="C4EFCE"/>
            <w:vAlign w:val="center"/>
            <w:hideMark/>
          </w:tcPr>
          <w:p w14:paraId="46042C8C" w14:textId="77777777" w:rsidR="00F24946" w:rsidRDefault="00613B06">
            <w:pPr>
              <w:pStyle w:val="P68B1DB1-Normal8"/>
              <w:spacing w:after="0" w:line="240" w:lineRule="auto"/>
              <w:jc w:val="center"/>
              <w:rPr>
                <w:rFonts w:eastAsia="Times New Roman" w:cs="Calibri"/>
                <w:noProof/>
              </w:rPr>
            </w:pPr>
            <w:r>
              <w:rPr>
                <w:noProof/>
              </w:rPr>
              <w:t>Re-C03-r05</w:t>
            </w:r>
          </w:p>
        </w:tc>
        <w:tc>
          <w:tcPr>
            <w:tcW w:w="982" w:type="dxa"/>
            <w:shd w:val="clear" w:color="auto" w:fill="C4EFCE"/>
            <w:vAlign w:val="center"/>
            <w:hideMark/>
          </w:tcPr>
          <w:p w14:paraId="292DDDE3"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FA61DF0" w14:textId="77777777" w:rsidR="00F24946" w:rsidRDefault="00613B06">
            <w:pPr>
              <w:pStyle w:val="P68B1DB1-Normal8"/>
              <w:spacing w:after="0" w:line="240" w:lineRule="auto"/>
              <w:jc w:val="center"/>
              <w:rPr>
                <w:rFonts w:eastAsia="Times New Roman" w:cs="Calibri"/>
                <w:noProof/>
              </w:rPr>
            </w:pPr>
            <w:r>
              <w:rPr>
                <w:noProof/>
              </w:rPr>
              <w:t>Začetek veljavnosti poenostavljene ureditve namestitve socialne opreme</w:t>
            </w:r>
          </w:p>
        </w:tc>
        <w:tc>
          <w:tcPr>
            <w:tcW w:w="1486" w:type="dxa"/>
            <w:shd w:val="clear" w:color="auto" w:fill="C4EFCE"/>
            <w:vAlign w:val="center"/>
            <w:hideMark/>
          </w:tcPr>
          <w:p w14:paraId="02D75D2D" w14:textId="77777777" w:rsidR="00F24946" w:rsidRDefault="00613B06">
            <w:pPr>
              <w:pStyle w:val="P68B1DB1-Normal8"/>
              <w:spacing w:after="0" w:line="240" w:lineRule="auto"/>
              <w:jc w:val="center"/>
              <w:rPr>
                <w:rFonts w:eastAsia="Times New Roman" w:cs="Calibri"/>
                <w:noProof/>
              </w:rPr>
            </w:pPr>
            <w:r>
              <w:rPr>
                <w:noProof/>
              </w:rPr>
              <w:t>Začetek veljavnosti poenostavljene ureditve namestitve socialne opreme</w:t>
            </w:r>
          </w:p>
        </w:tc>
        <w:tc>
          <w:tcPr>
            <w:tcW w:w="1014" w:type="dxa"/>
            <w:shd w:val="clear" w:color="auto" w:fill="C4EFCE"/>
            <w:vAlign w:val="center"/>
            <w:hideMark/>
          </w:tcPr>
          <w:p w14:paraId="1B1E4AC9"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7427C6C7"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3501B542"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1D936D49"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3BD447DC" w14:textId="77777777" w:rsidR="00F24946" w:rsidRDefault="00613B06">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9D5A18E" w14:textId="77777777"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Začetek veljavnosti poenostavljene ureditve namestitve socialne opreme z naslednjimi značilnostmi</w:t>
            </w:r>
            <w:r>
              <w:rPr>
                <w:noProof/>
              </w:rPr>
              <w:br/>
            </w:r>
            <w:r>
              <w:rPr>
                <w:rFonts w:ascii="Times New Roman" w:hAnsi="Times New Roman"/>
                <w:noProof/>
                <w:sz w:val="14"/>
              </w:rPr>
              <w:t xml:space="preserve"> </w:t>
            </w:r>
            <w:r>
              <w:rPr>
                <w:rFonts w:ascii="Calibri" w:hAnsi="Calibri"/>
                <w:noProof/>
                <w:sz w:val="16"/>
              </w:rPr>
              <w:t>Določitev zahtev za izdajo dovoljenj in ureditev stanovanjske strukture za starejše, ki delujejo nezakonito;</w:t>
            </w:r>
            <w:r>
              <w:rPr>
                <w:noProof/>
              </w:rPr>
              <w:br/>
            </w:r>
            <w:r>
              <w:rPr>
                <w:rFonts w:ascii="Times New Roman" w:hAnsi="Times New Roman"/>
                <w:noProof/>
                <w:sz w:val="14"/>
              </w:rPr>
              <w:t xml:space="preserve"> </w:t>
            </w:r>
            <w:r>
              <w:rPr>
                <w:rFonts w:ascii="Calibri" w:hAnsi="Calibri"/>
                <w:noProof/>
                <w:sz w:val="16"/>
              </w:rPr>
              <w:t>Uvedba meril kakovosti v storitve in storitve socialnega varstva, ki jih zagotavljajo;</w:t>
            </w:r>
          </w:p>
          <w:p w14:paraId="73A3AE3B" w14:textId="77777777"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Oblikovanje okvira za uvedbo novih vrst socialnih odzivov, kot so sodelovalna stanovanja in novi modeli podpore na domu, da bi zadostili različnim potrebam starejših.</w:t>
            </w:r>
          </w:p>
          <w:p w14:paraId="696011FB" w14:textId="77777777" w:rsidR="00F24946" w:rsidRDefault="00F24946">
            <w:pPr>
              <w:spacing w:after="0" w:line="240" w:lineRule="auto"/>
              <w:jc w:val="both"/>
              <w:rPr>
                <w:rFonts w:ascii="Calibri" w:eastAsia="Times New Roman" w:hAnsi="Calibri" w:cs="Calibri"/>
                <w:noProof/>
                <w:sz w:val="16"/>
              </w:rPr>
            </w:pPr>
          </w:p>
        </w:tc>
      </w:tr>
      <w:tr w:rsidR="00F24946" w14:paraId="4AAC7737" w14:textId="77777777">
        <w:trPr>
          <w:trHeight w:val="1470"/>
        </w:trPr>
        <w:tc>
          <w:tcPr>
            <w:tcW w:w="1124" w:type="dxa"/>
            <w:shd w:val="clear" w:color="auto" w:fill="C5EFCE"/>
            <w:vAlign w:val="center"/>
            <w:hideMark/>
          </w:tcPr>
          <w:p w14:paraId="53E47662" w14:textId="77777777" w:rsidR="00F24946" w:rsidRDefault="00613B06">
            <w:pPr>
              <w:pStyle w:val="P68B1DB1-Normal7"/>
              <w:spacing w:after="0" w:line="240" w:lineRule="auto"/>
              <w:jc w:val="center"/>
              <w:rPr>
                <w:rFonts w:eastAsia="Times New Roman" w:cs="Calibri"/>
                <w:noProof/>
              </w:rPr>
            </w:pPr>
            <w:r>
              <w:rPr>
                <w:noProof/>
              </w:rPr>
              <w:t>3.23</w:t>
            </w:r>
          </w:p>
        </w:tc>
        <w:tc>
          <w:tcPr>
            <w:tcW w:w="1143" w:type="dxa"/>
            <w:shd w:val="clear" w:color="auto" w:fill="C4EFCE"/>
            <w:vAlign w:val="center"/>
            <w:hideMark/>
          </w:tcPr>
          <w:p w14:paraId="7E9E6D6E" w14:textId="77777777" w:rsidR="00F24946" w:rsidRDefault="00613B06">
            <w:pPr>
              <w:pStyle w:val="P68B1DB1-Normal8"/>
              <w:spacing w:after="0" w:line="240" w:lineRule="auto"/>
              <w:jc w:val="center"/>
              <w:rPr>
                <w:rFonts w:eastAsia="Times New Roman" w:cs="Calibri"/>
                <w:noProof/>
              </w:rPr>
            </w:pPr>
            <w:r>
              <w:rPr>
                <w:noProof/>
              </w:rPr>
              <w:t>Re-C03-r07</w:t>
            </w:r>
          </w:p>
        </w:tc>
        <w:tc>
          <w:tcPr>
            <w:tcW w:w="982" w:type="dxa"/>
            <w:shd w:val="clear" w:color="auto" w:fill="C4EFCE"/>
            <w:vAlign w:val="center"/>
            <w:hideMark/>
          </w:tcPr>
          <w:p w14:paraId="1ED92161"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0AE24901" w14:textId="77777777" w:rsidR="00F24946" w:rsidRDefault="00613B06">
            <w:pPr>
              <w:pStyle w:val="P68B1DB1-Normal8"/>
              <w:spacing w:after="0" w:line="240" w:lineRule="auto"/>
              <w:jc w:val="center"/>
              <w:rPr>
                <w:rFonts w:eastAsia="Times New Roman" w:cs="Calibri"/>
                <w:noProof/>
              </w:rPr>
            </w:pPr>
            <w:r>
              <w:rPr>
                <w:noProof/>
              </w:rPr>
              <w:t>Odobritev akcijskih načrtov za prikrajšane skupnosti na metropolitanskih območjih Lizbone in Porta</w:t>
            </w:r>
          </w:p>
        </w:tc>
        <w:tc>
          <w:tcPr>
            <w:tcW w:w="1486" w:type="dxa"/>
            <w:shd w:val="clear" w:color="auto" w:fill="C4EFCE"/>
            <w:vAlign w:val="center"/>
            <w:hideMark/>
          </w:tcPr>
          <w:p w14:paraId="261758C6" w14:textId="77777777" w:rsidR="00F24946" w:rsidRDefault="00613B06">
            <w:pPr>
              <w:pStyle w:val="P68B1DB1-Normal8"/>
              <w:spacing w:after="0" w:line="240" w:lineRule="auto"/>
              <w:jc w:val="center"/>
              <w:rPr>
                <w:rFonts w:eastAsia="Times New Roman" w:cs="Calibri"/>
                <w:noProof/>
              </w:rPr>
            </w:pPr>
            <w:r>
              <w:rPr>
                <w:noProof/>
              </w:rPr>
              <w:t>Odobritev akcijskih načrtov za prikrajšane skupnosti na metropolitanskih območjih Lizbone in Porta za zadevna ozemlja.</w:t>
            </w:r>
          </w:p>
        </w:tc>
        <w:tc>
          <w:tcPr>
            <w:tcW w:w="1014" w:type="dxa"/>
            <w:shd w:val="clear" w:color="auto" w:fill="C4EFCE"/>
            <w:vAlign w:val="center"/>
            <w:hideMark/>
          </w:tcPr>
          <w:p w14:paraId="68B55A40"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0543D8B"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AC9AD61"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60D1855"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6F6B7AA0" w14:textId="77777777" w:rsidR="00F24946" w:rsidRDefault="00613B06">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094C2ECF" w14:textId="474A4AD6" w:rsidR="00F24946" w:rsidRDefault="00613B06">
            <w:pPr>
              <w:pStyle w:val="P68B1DB1-Normal8"/>
              <w:spacing w:after="0" w:line="240" w:lineRule="auto"/>
              <w:jc w:val="both"/>
              <w:rPr>
                <w:rFonts w:eastAsia="Times New Roman" w:cs="Calibri"/>
                <w:noProof/>
              </w:rPr>
            </w:pPr>
            <w:r>
              <w:rPr>
                <w:noProof/>
              </w:rPr>
              <w:t>Odobritev akcijskih načrtov za prikrajšane skupnosti na metropolitanskih območjih Lizbone in Porta. Akcijski načrti se osredotočajo na dve glavni področji: I) posegi v javni prostor in socialno infrastrukturo, kot so jasli in osnovne šole, zdravstvene ustanove in ustanove za kulturne prireditve, delavnice in/ali tečaje usposabljanja; II) nematerialne ukrepe za spodbujanje socialne kohezije, kot so dejavno vključevanje skupnosti v njihovo oblikovanje in izvajanje, spodbujanje podjetništva malih, lokalnih podjetij, oblikovanje projektov za boj proti šolskemu neuspehu in osipu, zagotavljanje poklicnega usposabljanja in spodbujanje športa. Vzpostavi se model upravljanja, ki temelji na načelih upravljanja na več ravneh in vključuje različne akterje, od centralne vlade do lokalnih območij/sosedov. Poleg tega bodo obstajale lokalne tehnične enote kot vodilna operativna sila tega modela za spodbujanje lastništva in bližine pri upravljanju in izvajanju pogodb.</w:t>
            </w:r>
          </w:p>
        </w:tc>
      </w:tr>
      <w:tr w:rsidR="00F24946" w14:paraId="6A8DEB67" w14:textId="77777777">
        <w:trPr>
          <w:trHeight w:val="54"/>
        </w:trPr>
        <w:tc>
          <w:tcPr>
            <w:tcW w:w="1124" w:type="dxa"/>
            <w:shd w:val="clear" w:color="auto" w:fill="C5EFCE"/>
            <w:vAlign w:val="center"/>
            <w:hideMark/>
          </w:tcPr>
          <w:p w14:paraId="2E2BCCE3" w14:textId="77777777" w:rsidR="00F24946" w:rsidRDefault="00613B06">
            <w:pPr>
              <w:pStyle w:val="P68B1DB1-Normal7"/>
              <w:spacing w:after="0" w:line="240" w:lineRule="auto"/>
              <w:jc w:val="center"/>
              <w:rPr>
                <w:rFonts w:eastAsia="Times New Roman" w:cs="Calibri"/>
                <w:noProof/>
              </w:rPr>
            </w:pPr>
            <w:r>
              <w:rPr>
                <w:noProof/>
              </w:rPr>
              <w:t>3.24</w:t>
            </w:r>
          </w:p>
        </w:tc>
        <w:tc>
          <w:tcPr>
            <w:tcW w:w="1143" w:type="dxa"/>
            <w:shd w:val="clear" w:color="auto" w:fill="C4EFCE"/>
            <w:vAlign w:val="center"/>
            <w:hideMark/>
          </w:tcPr>
          <w:p w14:paraId="615FFB2A" w14:textId="3295EEAC" w:rsidR="00F24946" w:rsidRDefault="00613B06">
            <w:pPr>
              <w:pStyle w:val="P68B1DB1-Normal9"/>
              <w:spacing w:after="0" w:line="240" w:lineRule="auto"/>
              <w:jc w:val="center"/>
              <w:rPr>
                <w:rFonts w:eastAsia="Times New Roman" w:cs="Calibri"/>
                <w:noProof/>
                <w:sz w:val="2"/>
              </w:rPr>
            </w:pPr>
            <w:r>
              <w:rPr>
                <w:noProof/>
                <w:sz w:val="16"/>
              </w:rPr>
              <w:t>Re-C03-i06</w:t>
            </w:r>
            <w:r>
              <w:rPr>
                <w:noProof/>
                <w:sz w:val="2"/>
              </w:rPr>
              <w:t xml:space="preserve"> </w:t>
            </w:r>
          </w:p>
        </w:tc>
        <w:tc>
          <w:tcPr>
            <w:tcW w:w="982" w:type="dxa"/>
            <w:shd w:val="clear" w:color="auto" w:fill="C4EFCE"/>
            <w:vAlign w:val="center"/>
            <w:hideMark/>
          </w:tcPr>
          <w:p w14:paraId="3A336285" w14:textId="340ADB5F" w:rsidR="00F24946" w:rsidRDefault="00613B06">
            <w:pPr>
              <w:pStyle w:val="P68B1DB1-Normal9"/>
              <w:spacing w:after="0" w:line="240" w:lineRule="auto"/>
              <w:jc w:val="center"/>
              <w:rPr>
                <w:rFonts w:eastAsia="Times New Roman" w:cs="Calibri"/>
                <w:noProof/>
                <w:sz w:val="2"/>
              </w:rPr>
            </w:pPr>
            <w:r>
              <w:rPr>
                <w:noProof/>
                <w:sz w:val="16"/>
              </w:rPr>
              <w:t>M</w:t>
            </w:r>
            <w:r>
              <w:rPr>
                <w:noProof/>
                <w:sz w:val="2"/>
              </w:rPr>
              <w:t xml:space="preserve"> </w:t>
            </w:r>
          </w:p>
        </w:tc>
        <w:tc>
          <w:tcPr>
            <w:tcW w:w="1740" w:type="dxa"/>
            <w:shd w:val="clear" w:color="auto" w:fill="C4EFCE"/>
            <w:vAlign w:val="center"/>
            <w:hideMark/>
          </w:tcPr>
          <w:p w14:paraId="60576BD2" w14:textId="7F78B1AB" w:rsidR="00F24946" w:rsidRDefault="00613B06">
            <w:pPr>
              <w:pStyle w:val="P68B1DB1-Normal9"/>
              <w:spacing w:after="0" w:line="240" w:lineRule="auto"/>
              <w:jc w:val="center"/>
              <w:rPr>
                <w:rFonts w:eastAsia="Times New Roman" w:cs="Calibri"/>
                <w:noProof/>
                <w:sz w:val="2"/>
              </w:rPr>
            </w:pPr>
            <w:r>
              <w:rPr>
                <w:noProof/>
                <w:sz w:val="16"/>
              </w:rPr>
              <w:t>Podpis sporazumov med občinami Lizbone/Porto in lokalnimi tehničnimi enotami, ki določajo obseg ukrepov, ki jih je treba podpreti.</w:t>
            </w:r>
            <w:r>
              <w:rPr>
                <w:noProof/>
                <w:sz w:val="2"/>
              </w:rPr>
              <w:t xml:space="preserve"> </w:t>
            </w:r>
          </w:p>
        </w:tc>
        <w:tc>
          <w:tcPr>
            <w:tcW w:w="1486" w:type="dxa"/>
            <w:shd w:val="clear" w:color="auto" w:fill="C4EFCE"/>
            <w:vAlign w:val="center"/>
            <w:hideMark/>
          </w:tcPr>
          <w:p w14:paraId="14D03986" w14:textId="6BAAE04A" w:rsidR="00F24946" w:rsidRDefault="00613B06">
            <w:pPr>
              <w:pStyle w:val="P68B1DB1-Normal9"/>
              <w:spacing w:after="0" w:line="240" w:lineRule="auto"/>
              <w:jc w:val="center"/>
              <w:rPr>
                <w:rFonts w:eastAsia="Times New Roman" w:cs="Calibri"/>
                <w:noProof/>
                <w:sz w:val="2"/>
              </w:rPr>
            </w:pPr>
            <w:r>
              <w:rPr>
                <w:noProof/>
                <w:sz w:val="16"/>
              </w:rPr>
              <w:t>Podpis sporazumov o načrtih za 12 področij ukrepanja</w:t>
            </w:r>
            <w:r>
              <w:rPr>
                <w:noProof/>
                <w:sz w:val="2"/>
              </w:rPr>
              <w:t xml:space="preserve"> </w:t>
            </w:r>
          </w:p>
        </w:tc>
        <w:tc>
          <w:tcPr>
            <w:tcW w:w="1014" w:type="dxa"/>
            <w:shd w:val="clear" w:color="auto" w:fill="C4EFCE"/>
            <w:vAlign w:val="center"/>
            <w:hideMark/>
          </w:tcPr>
          <w:p w14:paraId="133B822E" w14:textId="77777777" w:rsidR="00F24946" w:rsidRDefault="00613B06">
            <w:pPr>
              <w:pStyle w:val="P68B1DB1-Normal15"/>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FDD089" w14:textId="77777777" w:rsidR="00F24946" w:rsidRDefault="00613B06">
            <w:pPr>
              <w:pStyle w:val="P68B1DB1-Normal15"/>
              <w:spacing w:after="0" w:line="240" w:lineRule="auto"/>
              <w:jc w:val="center"/>
              <w:rPr>
                <w:rFonts w:eastAsia="Times New Roman" w:cs="Calibri"/>
                <w:noProof/>
              </w:rPr>
            </w:pPr>
            <w:r>
              <w:rPr>
                <w:noProof/>
              </w:rPr>
              <w:t> </w:t>
            </w:r>
          </w:p>
        </w:tc>
        <w:tc>
          <w:tcPr>
            <w:tcW w:w="882" w:type="dxa"/>
            <w:shd w:val="clear" w:color="auto" w:fill="C4EFCE"/>
            <w:vAlign w:val="center"/>
            <w:hideMark/>
          </w:tcPr>
          <w:p w14:paraId="60360FF4" w14:textId="77777777" w:rsidR="00F24946" w:rsidRDefault="00613B06">
            <w:pPr>
              <w:pStyle w:val="P68B1DB1-Normal15"/>
              <w:spacing w:after="0" w:line="240" w:lineRule="auto"/>
              <w:jc w:val="center"/>
              <w:rPr>
                <w:rFonts w:eastAsia="Times New Roman" w:cs="Calibri"/>
                <w:noProof/>
              </w:rPr>
            </w:pPr>
            <w:r>
              <w:rPr>
                <w:noProof/>
              </w:rPr>
              <w:t> </w:t>
            </w:r>
          </w:p>
        </w:tc>
        <w:tc>
          <w:tcPr>
            <w:tcW w:w="680" w:type="dxa"/>
            <w:shd w:val="clear" w:color="auto" w:fill="C4EFCE"/>
            <w:vAlign w:val="center"/>
            <w:hideMark/>
          </w:tcPr>
          <w:p w14:paraId="150EEAF8" w14:textId="19C15C24" w:rsidR="00F24946" w:rsidRDefault="00613B06">
            <w:pPr>
              <w:pStyle w:val="P68B1DB1-Normal9"/>
              <w:spacing w:after="0" w:line="240" w:lineRule="auto"/>
              <w:jc w:val="center"/>
              <w:rPr>
                <w:rFonts w:eastAsia="Times New Roman" w:cs="Calibri"/>
                <w:noProof/>
                <w:sz w:val="2"/>
              </w:rPr>
            </w:pPr>
            <w:r>
              <w:rPr>
                <w:noProof/>
                <w:sz w:val="16"/>
              </w:rPr>
              <w:t>ČETRTLETJE 1</w:t>
            </w:r>
            <w:r>
              <w:rPr>
                <w:noProof/>
                <w:sz w:val="2"/>
              </w:rPr>
              <w:t xml:space="preserve"> </w:t>
            </w:r>
          </w:p>
        </w:tc>
        <w:tc>
          <w:tcPr>
            <w:tcW w:w="845" w:type="dxa"/>
            <w:shd w:val="clear" w:color="auto" w:fill="C4EFCE"/>
            <w:vAlign w:val="center"/>
            <w:hideMark/>
          </w:tcPr>
          <w:p w14:paraId="7858F213" w14:textId="0BA23128" w:rsidR="00F24946" w:rsidRDefault="00613B06">
            <w:pPr>
              <w:pStyle w:val="P68B1DB1-Normal9"/>
              <w:spacing w:after="0" w:line="240" w:lineRule="auto"/>
              <w:jc w:val="center"/>
              <w:rPr>
                <w:rFonts w:eastAsia="Times New Roman" w:cs="Calibri"/>
                <w:noProof/>
                <w:sz w:val="2"/>
              </w:rPr>
            </w:pPr>
            <w:r>
              <w:rPr>
                <w:noProof/>
                <w:sz w:val="16"/>
              </w:rPr>
              <w:t>2022</w:t>
            </w:r>
            <w:r>
              <w:rPr>
                <w:noProof/>
                <w:sz w:val="2"/>
              </w:rPr>
              <w:t xml:space="preserve"> </w:t>
            </w:r>
          </w:p>
        </w:tc>
        <w:tc>
          <w:tcPr>
            <w:tcW w:w="4277" w:type="dxa"/>
            <w:shd w:val="clear" w:color="auto" w:fill="C4EFCE"/>
            <w:vAlign w:val="center"/>
            <w:hideMark/>
          </w:tcPr>
          <w:p w14:paraId="074BB5C5" w14:textId="77777777" w:rsidR="00F24946" w:rsidRDefault="00F24946">
            <w:pPr>
              <w:spacing w:after="0" w:line="240" w:lineRule="auto"/>
              <w:jc w:val="both"/>
              <w:rPr>
                <w:rFonts w:ascii="Calibri" w:eastAsia="Times New Roman" w:hAnsi="Calibri" w:cs="Calibri"/>
                <w:noProof/>
                <w:sz w:val="2"/>
              </w:rPr>
            </w:pPr>
          </w:p>
          <w:p w14:paraId="2B90755B" w14:textId="77777777" w:rsidR="00F24946" w:rsidRDefault="00613B06">
            <w:pPr>
              <w:pStyle w:val="P68B1DB1-Normal8"/>
              <w:spacing w:after="0" w:line="240" w:lineRule="auto"/>
              <w:jc w:val="both"/>
              <w:rPr>
                <w:rFonts w:eastAsia="Times New Roman" w:cs="Calibri"/>
                <w:noProof/>
              </w:rPr>
            </w:pPr>
            <w:r>
              <w:rPr>
                <w:noProof/>
              </w:rPr>
              <w:t xml:space="preserve">Podpis sporazumov med metropolitanskima območjema Porto in Lizbona ter lokalnimi tehničnimi enotami, pristojnimi za vsako od 12 področij ukrepanja (tj. soseske), v katerih so opredeljeni obseg ukrepov, ki jih je treba podpreti, časovni razpored njihovega izvajanja, dodeljena proračunska podpora v višini 225 milijonov EUR in izbrani kazalniki uspešnosti. Ukrepi, ki jih je treba podpreti, spadajo v naslednje kategorije: </w:t>
            </w:r>
          </w:p>
          <w:p w14:paraId="17B62751" w14:textId="420F0041" w:rsidR="00F24946" w:rsidRDefault="00613B06">
            <w:pPr>
              <w:pStyle w:val="P68B1DB1-Normal8"/>
              <w:spacing w:after="0" w:line="240" w:lineRule="auto"/>
              <w:jc w:val="both"/>
              <w:rPr>
                <w:rFonts w:eastAsia="Times New Roman" w:cs="Calibri"/>
                <w:noProof/>
              </w:rPr>
            </w:pPr>
            <w:r>
              <w:rPr>
                <w:noProof/>
              </w:rPr>
              <w:t>• Spodbujanje zdravja in kakovosti življenja skupnosti</w:t>
            </w:r>
          </w:p>
          <w:p w14:paraId="54898F6F" w14:textId="01E4CBF5" w:rsidR="00F24946" w:rsidRDefault="00613B06">
            <w:pPr>
              <w:pStyle w:val="P68B1DB1-Normal8"/>
              <w:spacing w:after="0" w:line="240" w:lineRule="auto"/>
              <w:jc w:val="both"/>
              <w:rPr>
                <w:rFonts w:eastAsia="Times New Roman" w:cs="Calibri"/>
                <w:noProof/>
              </w:rPr>
            </w:pPr>
            <w:r>
              <w:rPr>
                <w:noProof/>
              </w:rPr>
              <w:t>• Fizična nadgradnja javnega prostora ali krepitev socialne, zdravstvene, stanovanjske ali športne infrastrukture</w:t>
            </w:r>
          </w:p>
          <w:p w14:paraId="624EBE3B" w14:textId="4572A9ED" w:rsidR="00F24946" w:rsidRDefault="00613B06">
            <w:pPr>
              <w:pStyle w:val="P68B1DB1-Normal8"/>
              <w:spacing w:after="0" w:line="240" w:lineRule="auto"/>
              <w:jc w:val="both"/>
              <w:rPr>
                <w:rFonts w:eastAsia="Times New Roman" w:cs="Calibri"/>
                <w:noProof/>
              </w:rPr>
            </w:pPr>
            <w:r>
              <w:rPr>
                <w:noProof/>
              </w:rPr>
              <w:t>• Gospodarska obnova socialno prikrajšanih območij</w:t>
            </w:r>
          </w:p>
          <w:p w14:paraId="5AEDB899" w14:textId="1FE16CD3" w:rsidR="00F24946" w:rsidRDefault="00613B06">
            <w:pPr>
              <w:pStyle w:val="P68B1DB1-Normal8"/>
              <w:spacing w:after="0" w:line="240" w:lineRule="auto"/>
              <w:jc w:val="both"/>
              <w:rPr>
                <w:rFonts w:eastAsia="Times New Roman" w:cs="Calibri"/>
                <w:noProof/>
              </w:rPr>
            </w:pPr>
            <w:r>
              <w:rPr>
                <w:noProof/>
              </w:rPr>
              <w:t>• Podjetništvo malih in lokalnih podjetij</w:t>
            </w:r>
          </w:p>
          <w:p w14:paraId="2618AB0D" w14:textId="60D4AC3E" w:rsidR="00F24946" w:rsidRDefault="00613B06">
            <w:pPr>
              <w:pStyle w:val="P68B1DB1-Normal8"/>
              <w:spacing w:after="0" w:line="240" w:lineRule="auto"/>
              <w:jc w:val="both"/>
              <w:rPr>
                <w:rFonts w:eastAsia="Times New Roman" w:cs="Calibri"/>
                <w:noProof/>
              </w:rPr>
            </w:pPr>
            <w:r>
              <w:rPr>
                <w:noProof/>
              </w:rPr>
              <w:t>• Dostop do zdravja, razvoj zdravja skupnosti in boj proti odvisnosti</w:t>
            </w:r>
          </w:p>
          <w:p w14:paraId="59E0A48F" w14:textId="2B2BB1BF" w:rsidR="00F24946" w:rsidRDefault="00613B06">
            <w:pPr>
              <w:pStyle w:val="P68B1DB1-Normal8"/>
              <w:spacing w:after="0" w:line="240" w:lineRule="auto"/>
              <w:jc w:val="both"/>
              <w:rPr>
                <w:rFonts w:eastAsia="Times New Roman" w:cs="Calibri"/>
                <w:noProof/>
              </w:rPr>
            </w:pPr>
            <w:r>
              <w:rPr>
                <w:noProof/>
              </w:rPr>
              <w:t>• Programi aktivnega in zdravega staranja</w:t>
            </w:r>
          </w:p>
          <w:p w14:paraId="464EC0E8" w14:textId="7A5664FE" w:rsidR="00F24946" w:rsidRDefault="00613B06">
            <w:pPr>
              <w:pStyle w:val="P68B1DB1-Normal8"/>
              <w:spacing w:after="0" w:line="240" w:lineRule="auto"/>
              <w:jc w:val="both"/>
              <w:rPr>
                <w:rFonts w:eastAsia="Times New Roman" w:cs="Calibri"/>
                <w:noProof/>
              </w:rPr>
            </w:pPr>
            <w:r>
              <w:rPr>
                <w:noProof/>
              </w:rPr>
              <w:t>• Projekti za boj proti šolskemu neuspehu in osipu</w:t>
            </w:r>
          </w:p>
          <w:p w14:paraId="5F6D5B68" w14:textId="2CE34C86" w:rsidR="00F24946" w:rsidRDefault="00613B06">
            <w:pPr>
              <w:pStyle w:val="P68B1DB1-Normal8"/>
              <w:spacing w:after="0" w:line="240" w:lineRule="auto"/>
              <w:jc w:val="both"/>
              <w:rPr>
                <w:rFonts w:eastAsia="Times New Roman" w:cs="Calibri"/>
                <w:noProof/>
              </w:rPr>
            </w:pPr>
            <w:r>
              <w:rPr>
                <w:noProof/>
              </w:rPr>
              <w:t>• Kvalifikacije odraslih in potrjevanje znanj in spretnosti</w:t>
            </w:r>
          </w:p>
          <w:p w14:paraId="23C5A42E" w14:textId="572B3615" w:rsidR="00F24946" w:rsidRDefault="00613B06">
            <w:pPr>
              <w:pStyle w:val="P68B1DB1-Normal8"/>
              <w:spacing w:after="0" w:line="240" w:lineRule="auto"/>
              <w:jc w:val="both"/>
              <w:rPr>
                <w:rFonts w:eastAsia="Times New Roman" w:cs="Calibri"/>
                <w:noProof/>
              </w:rPr>
            </w:pPr>
            <w:r>
              <w:rPr>
                <w:noProof/>
              </w:rPr>
              <w:t>• Ugotavljanje potreb prebivalstva in razvoj pismenosti odraslih, učenje jezikov na Portugalskem in programi digitalnega vključevanja</w:t>
            </w:r>
          </w:p>
          <w:p w14:paraId="2FC6B1C6" w14:textId="707952D2" w:rsidR="00F24946" w:rsidRDefault="00613B06">
            <w:pPr>
              <w:pStyle w:val="P68B1DB1-Normal8"/>
              <w:spacing w:after="0" w:line="240" w:lineRule="auto"/>
              <w:jc w:val="both"/>
              <w:rPr>
                <w:rFonts w:eastAsia="Times New Roman" w:cs="Calibri"/>
                <w:noProof/>
              </w:rPr>
            </w:pPr>
            <w:r>
              <w:rPr>
                <w:noProof/>
              </w:rPr>
              <w:t xml:space="preserve">• Poklicno usposabljanje in politike  </w:t>
            </w:r>
          </w:p>
          <w:p w14:paraId="0C19E077" w14:textId="16BBF976" w:rsidR="00F24946" w:rsidRDefault="00613B06">
            <w:pPr>
              <w:pStyle w:val="P68B1DB1-Normal8"/>
              <w:spacing w:after="0" w:line="240" w:lineRule="auto"/>
              <w:jc w:val="both"/>
              <w:rPr>
                <w:rFonts w:eastAsia="Times New Roman" w:cs="Calibri"/>
                <w:noProof/>
              </w:rPr>
            </w:pPr>
            <w:r>
              <w:rPr>
                <w:noProof/>
              </w:rPr>
              <w:t xml:space="preserve">• Dostop do kulture in ustvarjalnosti  </w:t>
            </w:r>
          </w:p>
          <w:p w14:paraId="445DE787" w14:textId="15E88B9F" w:rsidR="00F24946" w:rsidRDefault="00613B06">
            <w:pPr>
              <w:pStyle w:val="P68B1DB1-Normal8"/>
              <w:spacing w:after="0" w:line="240" w:lineRule="auto"/>
              <w:jc w:val="both"/>
              <w:rPr>
                <w:rFonts w:eastAsia="Times New Roman" w:cs="Calibri"/>
                <w:noProof/>
              </w:rPr>
            </w:pPr>
            <w:r>
              <w:rPr>
                <w:noProof/>
              </w:rPr>
              <w:t>• Sodelovanje Skupnosti pri upravljanju programa</w:t>
            </w:r>
          </w:p>
          <w:p w14:paraId="1541178C" w14:textId="77FC312E" w:rsidR="00F24946" w:rsidRDefault="00613B06">
            <w:pPr>
              <w:pStyle w:val="P68B1DB1-Normal8"/>
              <w:spacing w:after="0" w:line="240" w:lineRule="auto"/>
              <w:jc w:val="both"/>
              <w:rPr>
                <w:rFonts w:eastAsia="Times New Roman" w:cs="Calibri"/>
                <w:noProof/>
              </w:rPr>
            </w:pPr>
            <w:r>
              <w:rPr>
                <w:noProof/>
              </w:rPr>
              <w:t>• Krepitev vloge lokalnih akterjev v partnerskih mrežah</w:t>
            </w:r>
          </w:p>
          <w:p w14:paraId="20F7BB6E" w14:textId="58EAC5BB" w:rsidR="00F24946" w:rsidRDefault="00613B06">
            <w:pPr>
              <w:pStyle w:val="P68B1DB1-Normal8"/>
              <w:spacing w:after="0" w:line="240" w:lineRule="auto"/>
              <w:jc w:val="both"/>
              <w:rPr>
                <w:rFonts w:eastAsia="Times New Roman" w:cs="Calibri"/>
                <w:noProof/>
              </w:rPr>
            </w:pPr>
            <w:r>
              <w:rPr>
                <w:noProof/>
              </w:rPr>
              <w:t>• Rešitve za boj proti revščini in socialni izključenosti</w:t>
            </w:r>
          </w:p>
          <w:p w14:paraId="41B06FE0" w14:textId="626AE119" w:rsidR="00F24946" w:rsidRDefault="00613B06">
            <w:pPr>
              <w:pStyle w:val="P68B1DB1-Normal8"/>
              <w:spacing w:after="0" w:line="240" w:lineRule="auto"/>
              <w:jc w:val="both"/>
              <w:rPr>
                <w:rFonts w:eastAsia="Times New Roman" w:cs="Calibri"/>
                <w:noProof/>
              </w:rPr>
            </w:pPr>
            <w:r>
              <w:rPr>
                <w:noProof/>
              </w:rPr>
              <w:t>• Spodbujanje športa</w:t>
            </w:r>
          </w:p>
          <w:p w14:paraId="652D8882" w14:textId="77777777" w:rsidR="00F24946" w:rsidRDefault="00613B06">
            <w:pPr>
              <w:pStyle w:val="P68B1DB1-Normal8"/>
              <w:spacing w:after="0" w:line="240" w:lineRule="auto"/>
              <w:jc w:val="both"/>
              <w:rPr>
                <w:rFonts w:eastAsia="Times New Roman" w:cs="Calibri"/>
                <w:noProof/>
              </w:rPr>
            </w:pPr>
            <w:r>
              <w:rPr>
                <w:noProof/>
              </w:rPr>
              <w:t>• Državljanstvo ter dostop do pravic in državljanska udeležba</w:t>
            </w:r>
          </w:p>
          <w:p w14:paraId="394A6176" w14:textId="316BED13" w:rsidR="00F24946" w:rsidRDefault="00F24946">
            <w:pPr>
              <w:spacing w:after="0" w:line="240" w:lineRule="auto"/>
              <w:jc w:val="both"/>
              <w:rPr>
                <w:rFonts w:ascii="Calibri" w:eastAsia="Times New Roman" w:hAnsi="Calibri" w:cs="Calibri"/>
                <w:noProof/>
                <w:sz w:val="16"/>
              </w:rPr>
            </w:pPr>
          </w:p>
          <w:p w14:paraId="1472C29A" w14:textId="2ED36D93" w:rsidR="00F24946" w:rsidRDefault="00613B06">
            <w:pPr>
              <w:pStyle w:val="P68B1DB1-Normal8"/>
              <w:spacing w:after="0" w:line="240" w:lineRule="auto"/>
              <w:jc w:val="both"/>
              <w:rPr>
                <w:rFonts w:eastAsia="Times New Roman" w:cs="Calibri"/>
                <w:noProof/>
              </w:rPr>
            </w:pPr>
            <w:r>
              <w:rPr>
                <w:noProof/>
              </w:rPr>
              <w:t>Pristojnosti in naloge za prihodnje razpise za projekte vključujejo merila za upravičenost, ki zagotavljajo, da so izbrani projekti skladni s tehničnimi smernicami, da se ne škoduje bistveno (2021/C58/01), in sicer z uporabo seznama za izključitev in zahtevo po skladnosti z ustrezno okoljsko zakonodajo EU in nacionalno okoljsko zakonodajo.</w:t>
            </w:r>
          </w:p>
          <w:p w14:paraId="7E890B92" w14:textId="3B827B04" w:rsidR="00F24946" w:rsidRDefault="00F24946">
            <w:pPr>
              <w:spacing w:after="0" w:line="240" w:lineRule="auto"/>
              <w:jc w:val="both"/>
              <w:rPr>
                <w:rFonts w:ascii="Calibri" w:eastAsia="Times New Roman" w:hAnsi="Calibri" w:cs="Calibri"/>
                <w:noProof/>
                <w:sz w:val="2"/>
              </w:rPr>
            </w:pPr>
          </w:p>
        </w:tc>
      </w:tr>
      <w:tr w:rsidR="00F24946" w14:paraId="4A758E18" w14:textId="77777777">
        <w:trPr>
          <w:trHeight w:val="1610"/>
        </w:trPr>
        <w:tc>
          <w:tcPr>
            <w:tcW w:w="1124" w:type="dxa"/>
            <w:shd w:val="clear" w:color="auto" w:fill="C5EFCE"/>
            <w:vAlign w:val="center"/>
            <w:hideMark/>
          </w:tcPr>
          <w:p w14:paraId="497D6364" w14:textId="77777777" w:rsidR="00F24946" w:rsidRDefault="00613B06">
            <w:pPr>
              <w:pStyle w:val="P68B1DB1-Normal7"/>
              <w:spacing w:after="0" w:line="240" w:lineRule="auto"/>
              <w:jc w:val="center"/>
              <w:rPr>
                <w:rFonts w:eastAsia="Times New Roman" w:cs="Calibri"/>
                <w:noProof/>
              </w:rPr>
            </w:pPr>
            <w:r>
              <w:rPr>
                <w:noProof/>
              </w:rPr>
              <w:t>3.25</w:t>
            </w:r>
          </w:p>
        </w:tc>
        <w:tc>
          <w:tcPr>
            <w:tcW w:w="1143" w:type="dxa"/>
            <w:shd w:val="clear" w:color="auto" w:fill="C4EFCE"/>
            <w:vAlign w:val="center"/>
            <w:hideMark/>
          </w:tcPr>
          <w:p w14:paraId="6A5AD6FB" w14:textId="77777777" w:rsidR="00F24946" w:rsidRDefault="00613B06">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39F64B5A" w14:textId="77777777" w:rsidR="00F24946" w:rsidRDefault="00613B06">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8B59250" w14:textId="77777777" w:rsidR="00F24946" w:rsidRDefault="00613B06">
            <w:pPr>
              <w:pStyle w:val="P68B1DB1-Normal8"/>
              <w:spacing w:after="0" w:line="240" w:lineRule="auto"/>
              <w:jc w:val="center"/>
              <w:rPr>
                <w:rFonts w:eastAsia="Times New Roman" w:cs="Calibri"/>
                <w:noProof/>
              </w:rPr>
            </w:pPr>
            <w:r>
              <w:rPr>
                <w:noProof/>
              </w:rPr>
              <w:t>Objava poročila o spremljanju metropolitanskih območij Porta in Lizbone v zvezi z ukrepi, sprejetimi na vsakem od 12 področij ukrepanja.</w:t>
            </w:r>
          </w:p>
        </w:tc>
        <w:tc>
          <w:tcPr>
            <w:tcW w:w="1486" w:type="dxa"/>
            <w:shd w:val="clear" w:color="auto" w:fill="C4EFCE"/>
            <w:vAlign w:val="center"/>
            <w:hideMark/>
          </w:tcPr>
          <w:p w14:paraId="28BAE001" w14:textId="77777777" w:rsidR="00F24946" w:rsidRDefault="00613B06">
            <w:pPr>
              <w:pStyle w:val="P68B1DB1-Normal8"/>
              <w:spacing w:after="0" w:line="240" w:lineRule="auto"/>
              <w:jc w:val="center"/>
              <w:rPr>
                <w:rFonts w:eastAsia="Times New Roman" w:cs="Calibri"/>
                <w:noProof/>
              </w:rPr>
            </w:pPr>
            <w:r>
              <w:rPr>
                <w:noProof/>
              </w:rPr>
              <w:t>Objava poročila o spremljanju metropolitanskih območij Porta in Lizbone</w:t>
            </w:r>
          </w:p>
        </w:tc>
        <w:tc>
          <w:tcPr>
            <w:tcW w:w="1014" w:type="dxa"/>
            <w:shd w:val="clear" w:color="auto" w:fill="C4EFCE"/>
            <w:vAlign w:val="center"/>
            <w:hideMark/>
          </w:tcPr>
          <w:p w14:paraId="24305125"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A5B68E" w14:textId="77777777" w:rsidR="00F24946" w:rsidRDefault="00613B06">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C5955AE" w14:textId="77777777" w:rsidR="00F24946" w:rsidRDefault="00613B06">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A38C3DB" w14:textId="77777777" w:rsidR="00F24946" w:rsidRDefault="00613B06">
            <w:pPr>
              <w:pStyle w:val="P68B1DB1-Normal8"/>
              <w:spacing w:after="0" w:line="240" w:lineRule="auto"/>
              <w:jc w:val="center"/>
              <w:rPr>
                <w:rFonts w:eastAsia="Times New Roman" w:cs="Calibri"/>
                <w:noProof/>
              </w:rPr>
            </w:pPr>
            <w:r>
              <w:rPr>
                <w:noProof/>
              </w:rPr>
              <w:t>Q2</w:t>
            </w:r>
          </w:p>
        </w:tc>
        <w:tc>
          <w:tcPr>
            <w:tcW w:w="845" w:type="dxa"/>
            <w:shd w:val="clear" w:color="auto" w:fill="C4EFCE"/>
            <w:vAlign w:val="center"/>
            <w:hideMark/>
          </w:tcPr>
          <w:p w14:paraId="6EBEABFB" w14:textId="77777777" w:rsidR="00F24946" w:rsidRDefault="00613B06">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D8AD1A" w14:textId="77777777" w:rsidR="00F24946" w:rsidRDefault="00613B06">
            <w:pPr>
              <w:pStyle w:val="P68B1DB1-Normal8"/>
              <w:spacing w:after="0" w:line="240" w:lineRule="auto"/>
              <w:jc w:val="both"/>
              <w:rPr>
                <w:rFonts w:eastAsia="Times New Roman" w:cs="Calibri"/>
                <w:noProof/>
              </w:rPr>
            </w:pPr>
            <w:r>
              <w:rPr>
                <w:noProof/>
              </w:rPr>
              <w:t>Objava poročila o spremljanju metropolitanskih območij Porta in Lizbone, v katerem je opisan napredek pri izvajanju ukrepov, financiranih iz programa, na vsakem področju intervencije, vključno z izvrševanjem proračuna in uspešnostjo glede na izbrane kazalnike za vsak ukrep.</w:t>
            </w:r>
          </w:p>
        </w:tc>
      </w:tr>
      <w:tr w:rsidR="00F24946" w14:paraId="729825A9" w14:textId="77777777">
        <w:trPr>
          <w:trHeight w:val="1060"/>
        </w:trPr>
        <w:tc>
          <w:tcPr>
            <w:tcW w:w="1124" w:type="dxa"/>
            <w:shd w:val="clear" w:color="auto" w:fill="C4EFCE"/>
            <w:vAlign w:val="center"/>
            <w:hideMark/>
          </w:tcPr>
          <w:p w14:paraId="1AD90BC8" w14:textId="77777777" w:rsidR="00F24946" w:rsidRDefault="00613B06">
            <w:pPr>
              <w:pStyle w:val="P68B1DB1-Normal7"/>
              <w:spacing w:after="0" w:line="240" w:lineRule="auto"/>
              <w:jc w:val="center"/>
              <w:rPr>
                <w:rFonts w:eastAsia="Times New Roman" w:cs="Calibri"/>
                <w:noProof/>
              </w:rPr>
            </w:pPr>
            <w:r>
              <w:rPr>
                <w:noProof/>
              </w:rPr>
              <w:t>3.26</w:t>
            </w:r>
          </w:p>
        </w:tc>
        <w:tc>
          <w:tcPr>
            <w:tcW w:w="1143" w:type="dxa"/>
            <w:shd w:val="clear" w:color="auto" w:fill="C4EFCE"/>
            <w:vAlign w:val="center"/>
            <w:hideMark/>
          </w:tcPr>
          <w:p w14:paraId="13A5C210" w14:textId="77777777" w:rsidR="00F24946" w:rsidRDefault="00613B06">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5912A173" w14:textId="77777777" w:rsidR="00F24946" w:rsidRDefault="00613B06">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AC8971D" w14:textId="77777777" w:rsidR="00F24946" w:rsidRDefault="00613B06">
            <w:pPr>
              <w:pStyle w:val="P68B1DB1-Normal8"/>
              <w:spacing w:after="0" w:line="240" w:lineRule="auto"/>
              <w:jc w:val="center"/>
              <w:rPr>
                <w:rFonts w:eastAsia="Times New Roman" w:cs="Calibri"/>
                <w:noProof/>
              </w:rPr>
            </w:pPr>
            <w:r>
              <w:rPr>
                <w:noProof/>
              </w:rPr>
              <w:t>Popolno izvajanje vsaj 90 % ukrepov</w:t>
            </w:r>
          </w:p>
        </w:tc>
        <w:tc>
          <w:tcPr>
            <w:tcW w:w="1486" w:type="dxa"/>
            <w:shd w:val="clear" w:color="auto" w:fill="C4EFCE"/>
            <w:vAlign w:val="center"/>
            <w:hideMark/>
          </w:tcPr>
          <w:p w14:paraId="3C5A0150" w14:textId="77777777" w:rsidR="00F24946" w:rsidRDefault="00613B06">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3F1225E" w14:textId="77777777" w:rsidR="00F24946" w:rsidRDefault="00613B06">
            <w:pPr>
              <w:pStyle w:val="P68B1DB1-Normal8"/>
              <w:spacing w:after="0" w:line="240" w:lineRule="auto"/>
              <w:jc w:val="center"/>
              <w:rPr>
                <w:rFonts w:eastAsia="Times New Roman" w:cs="Calibri"/>
                <w:noProof/>
              </w:rPr>
            </w:pPr>
            <w:r>
              <w:rPr>
                <w:noProof/>
              </w:rPr>
              <w:t>%</w:t>
            </w:r>
          </w:p>
        </w:tc>
        <w:tc>
          <w:tcPr>
            <w:tcW w:w="1014" w:type="dxa"/>
            <w:shd w:val="clear" w:color="auto" w:fill="C4EFCE"/>
            <w:vAlign w:val="center"/>
            <w:hideMark/>
          </w:tcPr>
          <w:p w14:paraId="34C054DA" w14:textId="77777777" w:rsidR="00F24946" w:rsidRDefault="00613B06">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1840DD4" w14:textId="77777777" w:rsidR="00F24946" w:rsidRDefault="00613B06">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hideMark/>
          </w:tcPr>
          <w:p w14:paraId="521367AA" w14:textId="77777777" w:rsidR="00F24946" w:rsidRDefault="00613B06">
            <w:pPr>
              <w:pStyle w:val="P68B1DB1-Normal8"/>
              <w:spacing w:after="0" w:line="240" w:lineRule="auto"/>
              <w:jc w:val="center"/>
              <w:rPr>
                <w:rFonts w:eastAsia="Times New Roman" w:cs="Calibri"/>
                <w:noProof/>
              </w:rPr>
            </w:pPr>
            <w:r>
              <w:rPr>
                <w:noProof/>
              </w:rPr>
              <w:t>Q4</w:t>
            </w:r>
          </w:p>
        </w:tc>
        <w:tc>
          <w:tcPr>
            <w:tcW w:w="845" w:type="dxa"/>
            <w:shd w:val="clear" w:color="auto" w:fill="C4EFCE"/>
            <w:vAlign w:val="center"/>
            <w:hideMark/>
          </w:tcPr>
          <w:p w14:paraId="4D7CC2F1" w14:textId="77777777" w:rsidR="00F24946" w:rsidRDefault="00613B06">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464F7DC1" w14:textId="77777777" w:rsidR="00F24946" w:rsidRDefault="00613B06">
            <w:pPr>
              <w:pStyle w:val="P68B1DB1-Normal8"/>
              <w:spacing w:after="0" w:line="240" w:lineRule="auto"/>
              <w:jc w:val="both"/>
              <w:rPr>
                <w:rFonts w:eastAsia="Times New Roman" w:cs="Calibri"/>
                <w:noProof/>
              </w:rPr>
            </w:pPr>
            <w:r>
              <w:rPr>
                <w:noProof/>
              </w:rPr>
              <w:t>Polno izvajanje vsaj 90 % ukrepov, dogovorjenih v sporazumih, podpisanih za 12 intervencijskih področij, za izvršen proračun v višini najmanj 225 000 000 EUR.</w:t>
            </w:r>
          </w:p>
        </w:tc>
      </w:tr>
      <w:tr w:rsidR="00F24946" w14:paraId="4DC276BA" w14:textId="77777777">
        <w:trPr>
          <w:trHeight w:val="1060"/>
        </w:trPr>
        <w:tc>
          <w:tcPr>
            <w:tcW w:w="1124" w:type="dxa"/>
            <w:shd w:val="clear" w:color="auto" w:fill="C4EFCE"/>
            <w:vAlign w:val="center"/>
          </w:tcPr>
          <w:p w14:paraId="4507E8E2" w14:textId="4B98B2CA" w:rsidR="00F24946" w:rsidRDefault="00613B06">
            <w:pPr>
              <w:pStyle w:val="P68B1DB1-Normal11"/>
              <w:spacing w:after="0" w:line="240" w:lineRule="auto"/>
              <w:jc w:val="center"/>
              <w:rPr>
                <w:rFonts w:eastAsia="Times New Roman" w:cstheme="minorHAnsi"/>
                <w:noProof/>
              </w:rPr>
            </w:pPr>
            <w:r>
              <w:rPr>
                <w:noProof/>
              </w:rPr>
              <w:t>3.28</w:t>
            </w:r>
          </w:p>
        </w:tc>
        <w:tc>
          <w:tcPr>
            <w:tcW w:w="1143" w:type="dxa"/>
            <w:shd w:val="clear" w:color="auto" w:fill="C4EFCE"/>
            <w:vAlign w:val="center"/>
          </w:tcPr>
          <w:p w14:paraId="5B7E0077" w14:textId="4E1DBF5D" w:rsidR="00F24946" w:rsidRDefault="00613B06">
            <w:pPr>
              <w:pStyle w:val="P68B1DB1-Normal12"/>
              <w:spacing w:after="0" w:line="240" w:lineRule="auto"/>
              <w:jc w:val="center"/>
              <w:rPr>
                <w:rFonts w:eastAsia="Times New Roman"/>
                <w:noProof/>
              </w:rPr>
            </w:pPr>
            <w:r>
              <w:rPr>
                <w:noProof/>
              </w:rPr>
              <w:t>Re-03-i07-RAA</w:t>
            </w:r>
          </w:p>
        </w:tc>
        <w:tc>
          <w:tcPr>
            <w:tcW w:w="982" w:type="dxa"/>
            <w:shd w:val="clear" w:color="auto" w:fill="C4EFCE"/>
            <w:vAlign w:val="center"/>
          </w:tcPr>
          <w:p w14:paraId="0BE4B152" w14:textId="6BC582B8" w:rsidR="00F24946" w:rsidRDefault="00613B06">
            <w:pPr>
              <w:pStyle w:val="P68B1DB1-Normal12"/>
              <w:spacing w:after="0" w:line="240" w:lineRule="auto"/>
              <w:jc w:val="center"/>
              <w:rPr>
                <w:rFonts w:eastAsia="Times New Roman" w:cstheme="minorHAnsi"/>
                <w:noProof/>
              </w:rPr>
            </w:pPr>
            <w:r>
              <w:rPr>
                <w:noProof/>
              </w:rPr>
              <w:t>T</w:t>
            </w:r>
          </w:p>
        </w:tc>
        <w:tc>
          <w:tcPr>
            <w:tcW w:w="1740" w:type="dxa"/>
            <w:shd w:val="clear" w:color="auto" w:fill="C4EFCE"/>
            <w:vAlign w:val="center"/>
          </w:tcPr>
          <w:p w14:paraId="5F735354" w14:textId="27282FEA" w:rsidR="00F24946" w:rsidRDefault="00613B06">
            <w:pPr>
              <w:pStyle w:val="P68B1DB1-Normal12"/>
              <w:spacing w:after="0" w:line="240" w:lineRule="auto"/>
              <w:jc w:val="center"/>
              <w:rPr>
                <w:rFonts w:eastAsia="Times New Roman" w:cstheme="minorHAnsi"/>
                <w:noProof/>
              </w:rPr>
            </w:pPr>
            <w:r>
              <w:rPr>
                <w:noProof/>
              </w:rPr>
              <w:t>Razširjena ali obnovljena mesta v domovih za bivalne domove</w:t>
            </w:r>
          </w:p>
        </w:tc>
        <w:tc>
          <w:tcPr>
            <w:tcW w:w="1486" w:type="dxa"/>
            <w:shd w:val="clear" w:color="auto" w:fill="C4EFCE"/>
            <w:vAlign w:val="center"/>
          </w:tcPr>
          <w:p w14:paraId="6650B4B9" w14:textId="77777777" w:rsidR="00F24946" w:rsidRDefault="00F24946">
            <w:pPr>
              <w:spacing w:after="0" w:line="240" w:lineRule="auto"/>
              <w:jc w:val="center"/>
              <w:rPr>
                <w:rFonts w:eastAsia="Times New Roman" w:cstheme="minorHAnsi"/>
                <w:noProof/>
                <w:sz w:val="16"/>
              </w:rPr>
            </w:pPr>
          </w:p>
        </w:tc>
        <w:tc>
          <w:tcPr>
            <w:tcW w:w="1014" w:type="dxa"/>
            <w:shd w:val="clear" w:color="auto" w:fill="C4EFCE"/>
            <w:vAlign w:val="center"/>
          </w:tcPr>
          <w:p w14:paraId="41321D09" w14:textId="260F65A8" w:rsidR="00F24946" w:rsidRDefault="00613B06">
            <w:pPr>
              <w:pStyle w:val="P68B1DB1-Normal12"/>
              <w:spacing w:after="0" w:line="240" w:lineRule="auto"/>
              <w:jc w:val="center"/>
              <w:rPr>
                <w:rFonts w:eastAsia="Times New Roman" w:cstheme="minorHAnsi"/>
                <w:noProof/>
              </w:rPr>
            </w:pPr>
            <w:r>
              <w:rPr>
                <w:noProof/>
              </w:rPr>
              <w:t>Število</w:t>
            </w:r>
          </w:p>
        </w:tc>
        <w:tc>
          <w:tcPr>
            <w:tcW w:w="1014" w:type="dxa"/>
            <w:shd w:val="clear" w:color="auto" w:fill="C4EFCE"/>
            <w:vAlign w:val="center"/>
          </w:tcPr>
          <w:p w14:paraId="3A90B777" w14:textId="37BB98B3" w:rsidR="00F24946" w:rsidRDefault="00613B06">
            <w:pPr>
              <w:pStyle w:val="P68B1DB1-Normal12"/>
              <w:spacing w:after="0" w:line="240" w:lineRule="auto"/>
              <w:jc w:val="center"/>
              <w:rPr>
                <w:rFonts w:eastAsia="Times New Roman" w:cstheme="minorHAnsi"/>
                <w:noProof/>
              </w:rPr>
            </w:pPr>
            <w:r>
              <w:rPr>
                <w:noProof/>
              </w:rPr>
              <w:t>0</w:t>
            </w:r>
          </w:p>
        </w:tc>
        <w:tc>
          <w:tcPr>
            <w:tcW w:w="882" w:type="dxa"/>
            <w:shd w:val="clear" w:color="auto" w:fill="C4EFCE"/>
            <w:vAlign w:val="center"/>
          </w:tcPr>
          <w:p w14:paraId="5CDB17DC" w14:textId="772002B1" w:rsidR="00F24946" w:rsidRDefault="00613B06">
            <w:pPr>
              <w:pStyle w:val="P68B1DB1-Normal12"/>
              <w:spacing w:after="0" w:line="240" w:lineRule="auto"/>
              <w:jc w:val="center"/>
              <w:rPr>
                <w:rFonts w:eastAsia="Times New Roman" w:cstheme="minorHAnsi"/>
                <w:noProof/>
              </w:rPr>
            </w:pPr>
            <w:r>
              <w:rPr>
                <w:noProof/>
              </w:rPr>
              <w:t>91</w:t>
            </w:r>
          </w:p>
        </w:tc>
        <w:tc>
          <w:tcPr>
            <w:tcW w:w="680" w:type="dxa"/>
            <w:shd w:val="clear" w:color="auto" w:fill="C4EFCE"/>
            <w:vAlign w:val="center"/>
          </w:tcPr>
          <w:p w14:paraId="5C2F45A3" w14:textId="06EC7B74" w:rsidR="00F24946" w:rsidRDefault="00613B06">
            <w:pPr>
              <w:pStyle w:val="P68B1DB1-Normal12"/>
              <w:spacing w:after="0" w:line="240" w:lineRule="auto"/>
              <w:jc w:val="center"/>
              <w:rPr>
                <w:rFonts w:eastAsia="Times New Roman" w:cstheme="minorHAnsi"/>
                <w:noProof/>
              </w:rPr>
            </w:pPr>
            <w:r>
              <w:rPr>
                <w:noProof/>
              </w:rPr>
              <w:t>ČETRTLETJE 1</w:t>
            </w:r>
          </w:p>
        </w:tc>
        <w:tc>
          <w:tcPr>
            <w:tcW w:w="845" w:type="dxa"/>
            <w:shd w:val="clear" w:color="auto" w:fill="C4EFCE"/>
            <w:vAlign w:val="center"/>
          </w:tcPr>
          <w:p w14:paraId="1C8F5B94" w14:textId="3948B69B" w:rsidR="00F24946" w:rsidRDefault="00613B06">
            <w:pPr>
              <w:pStyle w:val="P68B1DB1-Normal12"/>
              <w:spacing w:after="0" w:line="240" w:lineRule="auto"/>
              <w:jc w:val="center"/>
              <w:rPr>
                <w:rFonts w:eastAsia="Times New Roman" w:cstheme="minorHAnsi"/>
                <w:noProof/>
              </w:rPr>
            </w:pPr>
            <w:r>
              <w:rPr>
                <w:noProof/>
              </w:rPr>
              <w:t>2026</w:t>
            </w:r>
          </w:p>
        </w:tc>
        <w:tc>
          <w:tcPr>
            <w:tcW w:w="4277" w:type="dxa"/>
            <w:shd w:val="clear" w:color="auto" w:fill="C4EFCE"/>
          </w:tcPr>
          <w:p w14:paraId="42B8FCAE" w14:textId="3605253D" w:rsidR="00F24946" w:rsidRDefault="00613B06">
            <w:pPr>
              <w:pStyle w:val="P68B1DB1-Normal12"/>
              <w:spacing w:after="0" w:line="240" w:lineRule="auto"/>
              <w:jc w:val="both"/>
              <w:rPr>
                <w:rFonts w:eastAsia="Times New Roman" w:cstheme="minorHAnsi"/>
                <w:noProof/>
              </w:rPr>
            </w:pPr>
            <w:r>
              <w:rPr>
                <w:noProof/>
              </w:rPr>
              <w:t xml:space="preserve">Število mest v domovih za oskrbo starejših (ERPI) se je razširilo ali prenovilo v avtonomni regiji Azori. </w:t>
            </w:r>
            <w:r>
              <w:rPr>
                <w:noProof/>
              </w:rPr>
              <w:br/>
              <w:t>V primeru gradnje novih stavb morajo biti potrebe po primarni energiji za vsaj 20 % nižje od potreb po skoraj nič-energijskih stavbah.</w:t>
            </w:r>
          </w:p>
        </w:tc>
      </w:tr>
      <w:tr w:rsidR="00F24946" w14:paraId="51E16407" w14:textId="77777777">
        <w:trPr>
          <w:trHeight w:val="1060"/>
        </w:trPr>
        <w:tc>
          <w:tcPr>
            <w:tcW w:w="1124" w:type="dxa"/>
            <w:shd w:val="clear" w:color="auto" w:fill="C4EFCE"/>
            <w:vAlign w:val="center"/>
          </w:tcPr>
          <w:p w14:paraId="31ECAE86" w14:textId="3C0FD4B9" w:rsidR="00F24946" w:rsidRDefault="00613B06">
            <w:pPr>
              <w:pStyle w:val="P68B1DB1-Normal11"/>
              <w:spacing w:after="0" w:line="240" w:lineRule="auto"/>
              <w:jc w:val="center"/>
              <w:rPr>
                <w:rFonts w:cstheme="minorHAnsi"/>
                <w:noProof/>
              </w:rPr>
            </w:pPr>
            <w:r>
              <w:rPr>
                <w:noProof/>
              </w:rPr>
              <w:t>3.29</w:t>
            </w:r>
          </w:p>
        </w:tc>
        <w:tc>
          <w:tcPr>
            <w:tcW w:w="1143" w:type="dxa"/>
            <w:shd w:val="clear" w:color="auto" w:fill="C4EFCE"/>
            <w:vAlign w:val="center"/>
          </w:tcPr>
          <w:p w14:paraId="5FF028A3" w14:textId="7F4C3916" w:rsidR="00F24946" w:rsidRDefault="00613B06">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1B53ECE1" w14:textId="6640AC21" w:rsidR="00F24946" w:rsidRDefault="00613B06">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7DB32A48" w14:textId="5A1867D2" w:rsidR="00F24946" w:rsidRDefault="00613B06">
            <w:pPr>
              <w:pStyle w:val="P68B1DB1-Normal12"/>
              <w:spacing w:after="0" w:line="240" w:lineRule="auto"/>
              <w:jc w:val="center"/>
              <w:rPr>
                <w:rFonts w:cstheme="minorHAnsi"/>
                <w:noProof/>
              </w:rPr>
            </w:pPr>
            <w:r>
              <w:rPr>
                <w:noProof/>
              </w:rPr>
              <w:t>Poročilo delovne skupine za enotno socialno dajatev</w:t>
            </w:r>
          </w:p>
        </w:tc>
        <w:tc>
          <w:tcPr>
            <w:tcW w:w="1486" w:type="dxa"/>
            <w:shd w:val="clear" w:color="auto" w:fill="C4EFCE"/>
            <w:vAlign w:val="center"/>
          </w:tcPr>
          <w:p w14:paraId="5D6A1559" w14:textId="7553CA76" w:rsidR="00F24946" w:rsidRDefault="00613B06">
            <w:pPr>
              <w:pStyle w:val="P68B1DB1-Normal12"/>
              <w:spacing w:after="0" w:line="240" w:lineRule="auto"/>
              <w:jc w:val="center"/>
              <w:rPr>
                <w:rFonts w:eastAsia="Times New Roman" w:cstheme="minorHAnsi"/>
                <w:noProof/>
              </w:rPr>
            </w:pPr>
            <w:r>
              <w:rPr>
                <w:noProof/>
              </w:rPr>
              <w:t xml:space="preserve">Objava poročila delovne skupine za enotno socialno dajatev </w:t>
            </w:r>
          </w:p>
        </w:tc>
        <w:tc>
          <w:tcPr>
            <w:tcW w:w="1014" w:type="dxa"/>
            <w:shd w:val="clear" w:color="auto" w:fill="C4EFCE"/>
            <w:vAlign w:val="center"/>
          </w:tcPr>
          <w:p w14:paraId="49C1E7A6" w14:textId="77777777" w:rsidR="00F24946" w:rsidRDefault="00F24946">
            <w:pPr>
              <w:spacing w:after="0" w:line="240" w:lineRule="auto"/>
              <w:jc w:val="center"/>
              <w:rPr>
                <w:rFonts w:cstheme="minorHAnsi"/>
                <w:noProof/>
                <w:sz w:val="16"/>
              </w:rPr>
            </w:pPr>
          </w:p>
        </w:tc>
        <w:tc>
          <w:tcPr>
            <w:tcW w:w="1014" w:type="dxa"/>
            <w:shd w:val="clear" w:color="auto" w:fill="C4EFCE"/>
            <w:vAlign w:val="center"/>
          </w:tcPr>
          <w:p w14:paraId="2EE0AFDC" w14:textId="77777777" w:rsidR="00F24946" w:rsidRDefault="00F24946">
            <w:pPr>
              <w:spacing w:after="0" w:line="240" w:lineRule="auto"/>
              <w:jc w:val="center"/>
              <w:rPr>
                <w:rFonts w:cstheme="minorHAnsi"/>
                <w:noProof/>
                <w:sz w:val="16"/>
              </w:rPr>
            </w:pPr>
          </w:p>
        </w:tc>
        <w:tc>
          <w:tcPr>
            <w:tcW w:w="882" w:type="dxa"/>
            <w:shd w:val="clear" w:color="auto" w:fill="C4EFCE"/>
            <w:vAlign w:val="center"/>
          </w:tcPr>
          <w:p w14:paraId="7CC75B9E" w14:textId="77777777" w:rsidR="00F24946" w:rsidRDefault="00F24946">
            <w:pPr>
              <w:spacing w:after="0" w:line="240" w:lineRule="auto"/>
              <w:jc w:val="center"/>
              <w:rPr>
                <w:rFonts w:cstheme="minorHAnsi"/>
                <w:noProof/>
                <w:sz w:val="16"/>
              </w:rPr>
            </w:pPr>
          </w:p>
        </w:tc>
        <w:tc>
          <w:tcPr>
            <w:tcW w:w="680" w:type="dxa"/>
            <w:shd w:val="clear" w:color="auto" w:fill="C4EFCE"/>
            <w:vAlign w:val="center"/>
          </w:tcPr>
          <w:p w14:paraId="0712AE4B" w14:textId="2A8B15A4" w:rsidR="00F24946" w:rsidRDefault="00613B06">
            <w:pPr>
              <w:pStyle w:val="P68B1DB1-Normal12"/>
              <w:spacing w:after="0" w:line="240" w:lineRule="auto"/>
              <w:jc w:val="center"/>
              <w:rPr>
                <w:rFonts w:cstheme="minorHAnsi"/>
                <w:noProof/>
              </w:rPr>
            </w:pPr>
            <w:r>
              <w:rPr>
                <w:noProof/>
              </w:rPr>
              <w:t>ČETRTLETJE 1</w:t>
            </w:r>
          </w:p>
        </w:tc>
        <w:tc>
          <w:tcPr>
            <w:tcW w:w="845" w:type="dxa"/>
            <w:shd w:val="clear" w:color="auto" w:fill="C4EFCE"/>
            <w:vAlign w:val="center"/>
          </w:tcPr>
          <w:p w14:paraId="72B52A51" w14:textId="34CA0953" w:rsidR="00F24946" w:rsidRDefault="00613B06">
            <w:pPr>
              <w:pStyle w:val="P68B1DB1-Normal12"/>
              <w:spacing w:after="0" w:line="240" w:lineRule="auto"/>
              <w:jc w:val="center"/>
              <w:rPr>
                <w:rFonts w:cstheme="minorHAnsi"/>
                <w:noProof/>
              </w:rPr>
            </w:pPr>
            <w:r>
              <w:rPr>
                <w:noProof/>
              </w:rPr>
              <w:t>2025</w:t>
            </w:r>
          </w:p>
        </w:tc>
        <w:tc>
          <w:tcPr>
            <w:tcW w:w="4277" w:type="dxa"/>
            <w:shd w:val="clear" w:color="auto" w:fill="C4EFCE"/>
          </w:tcPr>
          <w:p w14:paraId="2B2552AC" w14:textId="033FBD53" w:rsidR="00F24946" w:rsidRDefault="00613B06">
            <w:pPr>
              <w:pStyle w:val="P68B1DB1-Normal12"/>
              <w:spacing w:after="0" w:line="240" w:lineRule="auto"/>
              <w:jc w:val="both"/>
              <w:rPr>
                <w:rFonts w:cstheme="minorHAnsi"/>
                <w:noProof/>
              </w:rPr>
            </w:pPr>
            <w:r>
              <w:rPr>
                <w:noProof/>
              </w:rPr>
              <w:t>Objava poročila delovne skupine za enotno socialno dajatev, ki vsebuje glavne elemente njene zasnove in formalnega izvajanja. Poročilo vključuje oceno njegovega učinka na pokritost, raven ustreznosti in učinkovitosti, vključno z vidiki, kot so preprečevanje prekrivanj, odprava vrzeli v socialni zaščiti in izboljšanje ravni uporabe.</w:t>
            </w:r>
          </w:p>
        </w:tc>
      </w:tr>
      <w:tr w:rsidR="00F24946" w14:paraId="320C179B" w14:textId="77777777">
        <w:trPr>
          <w:trHeight w:val="1060"/>
        </w:trPr>
        <w:tc>
          <w:tcPr>
            <w:tcW w:w="1124" w:type="dxa"/>
            <w:shd w:val="clear" w:color="auto" w:fill="C4EFCE"/>
            <w:vAlign w:val="center"/>
          </w:tcPr>
          <w:p w14:paraId="6DED1EC3" w14:textId="46609D91" w:rsidR="00F24946" w:rsidRDefault="00613B06">
            <w:pPr>
              <w:pStyle w:val="P68B1DB1-Normal11"/>
              <w:spacing w:after="0" w:line="240" w:lineRule="auto"/>
              <w:jc w:val="center"/>
              <w:rPr>
                <w:rFonts w:cstheme="minorHAnsi"/>
                <w:noProof/>
              </w:rPr>
            </w:pPr>
            <w:r>
              <w:rPr>
                <w:noProof/>
              </w:rPr>
              <w:t>3.30</w:t>
            </w:r>
          </w:p>
        </w:tc>
        <w:tc>
          <w:tcPr>
            <w:tcW w:w="1143" w:type="dxa"/>
            <w:shd w:val="clear" w:color="auto" w:fill="C4EFCE"/>
            <w:vAlign w:val="center"/>
          </w:tcPr>
          <w:p w14:paraId="3CC2208B" w14:textId="71329F96" w:rsidR="00F24946" w:rsidRDefault="00613B06">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7E673827" w14:textId="115241B8" w:rsidR="00F24946" w:rsidRDefault="00613B06">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58E23131" w14:textId="741F88C0" w:rsidR="00F24946" w:rsidRDefault="00613B06">
            <w:pPr>
              <w:pStyle w:val="P68B1DB1-Normal12"/>
              <w:spacing w:after="0" w:line="240" w:lineRule="auto"/>
              <w:jc w:val="center"/>
              <w:rPr>
                <w:noProof/>
              </w:rPr>
            </w:pPr>
            <w:r>
              <w:rPr>
                <w:noProof/>
              </w:rPr>
              <w:t xml:space="preserve">Začetek veljavnosti enotne socialne dajatve (v okviru državljanskega sistema socialne zaščite) in zakonika o socialnih dajatvah </w:t>
            </w:r>
          </w:p>
        </w:tc>
        <w:tc>
          <w:tcPr>
            <w:tcW w:w="1486" w:type="dxa"/>
            <w:shd w:val="clear" w:color="auto" w:fill="C4EFCE"/>
            <w:vAlign w:val="center"/>
          </w:tcPr>
          <w:p w14:paraId="78861CE8" w14:textId="020506AF" w:rsidR="00F24946" w:rsidRDefault="00613B06">
            <w:pPr>
              <w:pStyle w:val="P68B1DB1-Normal12"/>
              <w:spacing w:after="0" w:line="240" w:lineRule="auto"/>
              <w:jc w:val="center"/>
              <w:rPr>
                <w:rFonts w:eastAsia="Times New Roman" w:cstheme="minorHAnsi"/>
                <w:noProof/>
              </w:rPr>
            </w:pPr>
            <w:r>
              <w:rPr>
                <w:noProof/>
              </w:rPr>
              <w:t xml:space="preserve">Določba v zakonodaji, ki označuje začetek veljavnosti zakonodaje </w:t>
            </w:r>
          </w:p>
        </w:tc>
        <w:tc>
          <w:tcPr>
            <w:tcW w:w="1014" w:type="dxa"/>
            <w:shd w:val="clear" w:color="auto" w:fill="C4EFCE"/>
            <w:vAlign w:val="center"/>
          </w:tcPr>
          <w:p w14:paraId="4C0FF700" w14:textId="77777777" w:rsidR="00F24946" w:rsidRDefault="00F24946">
            <w:pPr>
              <w:spacing w:after="0" w:line="240" w:lineRule="auto"/>
              <w:jc w:val="center"/>
              <w:rPr>
                <w:rFonts w:cstheme="minorHAnsi"/>
                <w:noProof/>
                <w:sz w:val="16"/>
              </w:rPr>
            </w:pPr>
          </w:p>
        </w:tc>
        <w:tc>
          <w:tcPr>
            <w:tcW w:w="1014" w:type="dxa"/>
            <w:shd w:val="clear" w:color="auto" w:fill="C4EFCE"/>
            <w:vAlign w:val="center"/>
          </w:tcPr>
          <w:p w14:paraId="1B83AB9F" w14:textId="77777777" w:rsidR="00F24946" w:rsidRDefault="00F24946">
            <w:pPr>
              <w:spacing w:after="0" w:line="240" w:lineRule="auto"/>
              <w:jc w:val="center"/>
              <w:rPr>
                <w:rFonts w:cstheme="minorHAnsi"/>
                <w:noProof/>
                <w:sz w:val="16"/>
              </w:rPr>
            </w:pPr>
          </w:p>
        </w:tc>
        <w:tc>
          <w:tcPr>
            <w:tcW w:w="882" w:type="dxa"/>
            <w:shd w:val="clear" w:color="auto" w:fill="C4EFCE"/>
            <w:vAlign w:val="center"/>
          </w:tcPr>
          <w:p w14:paraId="255BA677" w14:textId="77777777" w:rsidR="00F24946" w:rsidRDefault="00F24946">
            <w:pPr>
              <w:spacing w:after="0" w:line="240" w:lineRule="auto"/>
              <w:jc w:val="center"/>
              <w:rPr>
                <w:rFonts w:cstheme="minorHAnsi"/>
                <w:noProof/>
                <w:sz w:val="16"/>
              </w:rPr>
            </w:pPr>
          </w:p>
        </w:tc>
        <w:tc>
          <w:tcPr>
            <w:tcW w:w="680" w:type="dxa"/>
            <w:shd w:val="clear" w:color="auto" w:fill="C4EFCE"/>
            <w:vAlign w:val="center"/>
          </w:tcPr>
          <w:p w14:paraId="480DE372" w14:textId="1647FFAA" w:rsidR="00F24946" w:rsidRDefault="00613B06">
            <w:pPr>
              <w:pStyle w:val="P68B1DB1-Normal12"/>
              <w:spacing w:after="0" w:line="240" w:lineRule="auto"/>
              <w:jc w:val="center"/>
              <w:rPr>
                <w:rFonts w:cstheme="minorHAnsi"/>
                <w:noProof/>
              </w:rPr>
            </w:pPr>
            <w:r>
              <w:rPr>
                <w:noProof/>
              </w:rPr>
              <w:t>Q2</w:t>
            </w:r>
          </w:p>
        </w:tc>
        <w:tc>
          <w:tcPr>
            <w:tcW w:w="845" w:type="dxa"/>
            <w:shd w:val="clear" w:color="auto" w:fill="C4EFCE"/>
            <w:vAlign w:val="center"/>
          </w:tcPr>
          <w:p w14:paraId="57DB5970" w14:textId="6327CAC3" w:rsidR="00F24946" w:rsidRDefault="00613B06">
            <w:pPr>
              <w:pStyle w:val="P68B1DB1-Normal12"/>
              <w:spacing w:after="0" w:line="240" w:lineRule="auto"/>
              <w:jc w:val="center"/>
              <w:rPr>
                <w:rFonts w:cstheme="minorHAnsi"/>
                <w:noProof/>
              </w:rPr>
            </w:pPr>
            <w:r>
              <w:rPr>
                <w:noProof/>
              </w:rPr>
              <w:t>2026</w:t>
            </w:r>
          </w:p>
        </w:tc>
        <w:tc>
          <w:tcPr>
            <w:tcW w:w="4277" w:type="dxa"/>
            <w:shd w:val="clear" w:color="auto" w:fill="C4EFCE"/>
            <w:vAlign w:val="center"/>
          </w:tcPr>
          <w:p w14:paraId="5ECEC7B1" w14:textId="737ABB65" w:rsidR="00F24946" w:rsidRDefault="00613B06">
            <w:pPr>
              <w:pStyle w:val="P68B1DB1-Normal12"/>
              <w:spacing w:after="0" w:line="240" w:lineRule="auto"/>
              <w:jc w:val="both"/>
              <w:rPr>
                <w:noProof/>
              </w:rPr>
            </w:pPr>
            <w:r>
              <w:rPr>
                <w:noProof/>
              </w:rPr>
              <w:t xml:space="preserve">Začetek veljavnosti zakonodaje o vzpostavitvi enotne socialne dajatve (v okviru državljanskega sistema socialne zaščite) po objavi poročila delovne skupine za enotno socialno dajatev in posvetovanjih z ustreznimi deležniki. </w:t>
            </w:r>
          </w:p>
          <w:p w14:paraId="32A056B9" w14:textId="49C14321" w:rsidR="00F24946" w:rsidRDefault="00F24946">
            <w:pPr>
              <w:spacing w:after="0" w:line="240" w:lineRule="auto"/>
              <w:jc w:val="both"/>
              <w:rPr>
                <w:noProof/>
                <w:sz w:val="16"/>
              </w:rPr>
            </w:pPr>
          </w:p>
          <w:p w14:paraId="15031367" w14:textId="7F2F4187" w:rsidR="00F24946" w:rsidRDefault="00613B06">
            <w:pPr>
              <w:pStyle w:val="P68B1DB1-Normal12"/>
              <w:spacing w:after="0" w:line="240" w:lineRule="auto"/>
              <w:jc w:val="both"/>
              <w:rPr>
                <w:noProof/>
              </w:rPr>
            </w:pPr>
            <w:r>
              <w:rPr>
                <w:noProof/>
              </w:rPr>
              <w:t>Začetek veljavnosti zakonodaje o zakoniku o socialnih dajatvah, ki bo poenostavila, uskladila in utrdila zakonodajo, ki ureja socialne dajatve.</w:t>
            </w:r>
          </w:p>
        </w:tc>
      </w:tr>
    </w:tbl>
    <w:p w14:paraId="01FFACF8"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8BEF5A8"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78"/>
          <w:headerReference w:type="default" r:id="rId79"/>
          <w:footerReference w:type="even" r:id="rId80"/>
          <w:footerReference w:type="default" r:id="rId81"/>
          <w:headerReference w:type="first" r:id="rId82"/>
          <w:footerReference w:type="first" r:id="rId83"/>
          <w:pgSz w:w="16839" w:h="11907" w:orient="landscape"/>
          <w:pgMar w:top="1134" w:right="1134" w:bottom="1134" w:left="1134" w:header="567" w:footer="567" w:gutter="0"/>
          <w:cols w:space="720"/>
          <w:docGrid w:linePitch="360"/>
        </w:sectPr>
      </w:pPr>
    </w:p>
    <w:p w14:paraId="20E2D1A0"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D. KOMPONENTA 4: Kultura</w:t>
      </w:r>
    </w:p>
    <w:p w14:paraId="3890A551" w14:textId="77777777" w:rsidR="00F24946" w:rsidRDefault="00613B06">
      <w:pPr>
        <w:pStyle w:val="P68B1DB1-Normal4"/>
        <w:keepNext/>
        <w:spacing w:before="40" w:after="0" w:line="259" w:lineRule="auto"/>
        <w:jc w:val="both"/>
        <w:rPr>
          <w:rFonts w:eastAsiaTheme="minorEastAsia" w:cs="Times New Roman"/>
          <w:noProof/>
        </w:rPr>
      </w:pPr>
      <w:r>
        <w:rPr>
          <w:noProof/>
        </w:rPr>
        <w:t>Komponenta obravnava izzive, povezane s posledicami pandemije COVID-19, in težave, ki so posledica dolgotrajnega pomanjkanja sredstev za vzdrževanje, prenovo in posodobitev kulturnih objektov in opreme.</w:t>
      </w:r>
    </w:p>
    <w:p w14:paraId="2022E520" w14:textId="77777777" w:rsidR="00F24946" w:rsidRDefault="00613B06">
      <w:pPr>
        <w:pStyle w:val="P68B1DB1-Normal4"/>
        <w:keepNext/>
        <w:spacing w:before="40" w:after="0" w:line="259" w:lineRule="auto"/>
        <w:jc w:val="both"/>
        <w:rPr>
          <w:rFonts w:eastAsiaTheme="minorEastAsia" w:cs="Times New Roman"/>
          <w:noProof/>
        </w:rPr>
      </w:pPr>
      <w:r>
        <w:rPr>
          <w:noProof/>
        </w:rPr>
        <w:t>Glavni cilji komponente Kultura so obnova stavb in nacionalnih spomenikov; zaščito obrtniških tehnik in poklicev; posodobitev tehnološke infrastrukture in kulturnih objektov; digitalizacijo umetniških del in kulturne dediščine; ter internacionalizacija, posodobitev in digitalni prehod knjigarn in knjižnega založništva.</w:t>
      </w:r>
    </w:p>
    <w:p w14:paraId="75BCC82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Komponenta prispeva k obravnavi priporočil za posamezne države, da se sprejmejo vsi potrebni ukrepi za učinkovit odziv na pandemijo, ohranitev gospodarstva in podporo okrevanju gospodarstva (priporočilo za posamezno državo št. 1 2020); ter podpirati uporabo digitalnih tehnologij za povečanje konkurenčnosti podjetij (priporočilo za posamezno državo št. 2 2020). </w:t>
      </w:r>
    </w:p>
    <w:p w14:paraId="66575D9A"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40AECA44"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D.1. Opis reform in naložb za nepovratno finančno podporo</w:t>
      </w:r>
    </w:p>
    <w:p w14:paraId="0C926D12"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RE-C04-i01: Kulturne mreže in digitalni prehod</w:t>
      </w:r>
    </w:p>
    <w:p w14:paraId="686F0143" w14:textId="1C6FCC1E" w:rsidR="00F24946" w:rsidRDefault="00613B06">
      <w:pPr>
        <w:pStyle w:val="P68B1DB1-Normal4"/>
        <w:widowControl w:val="0"/>
        <w:spacing w:before="120" w:after="140" w:line="257" w:lineRule="auto"/>
        <w:jc w:val="both"/>
        <w:rPr>
          <w:rFonts w:eastAsiaTheme="minorEastAsia" w:cs="Times New Roman"/>
          <w:noProof/>
        </w:rPr>
      </w:pPr>
      <w:r>
        <w:rPr>
          <w:noProof/>
        </w:rPr>
        <w:t>Cilj ukrepa je nadgradnja tehnološke infrastrukture javnih kulturnih objektov, ki spodbuja njihov digitalni prehod. Natančneje, to vključuje prihodnje ohranjanje umetniških del in kulturne dediščine; izboljšanje kulturnih izkušenj; povečanje povpraševanja po kulturnih dejavnostih in doseganje novega občinstva, zlasti novih generacij. Pričakuje se, da se bo odpornost sektorja povečala s spodbujanjem novih poslovnih modelov, kot sta naročnina in pretakanje; ter podporo kulturnim območjem z močno tehnološko komponento, kot je produkcija tridimenzionalnih filmov.</w:t>
      </w:r>
    </w:p>
    <w:p w14:paraId="05904A40" w14:textId="77777777" w:rsidR="00F24946" w:rsidRDefault="00613B06">
      <w:pPr>
        <w:pStyle w:val="P68B1DB1-Normal4"/>
        <w:spacing w:before="40" w:after="0" w:line="259" w:lineRule="auto"/>
        <w:jc w:val="both"/>
        <w:rPr>
          <w:rFonts w:eastAsiaTheme="minorEastAsia" w:cs="Times New Roman"/>
          <w:noProof/>
        </w:rPr>
      </w:pPr>
      <w:r>
        <w:rPr>
          <w:noProof/>
        </w:rPr>
        <w:t xml:space="preserve">Ta naložba je sestavljena iz naslednjih intervencij: </w:t>
      </w:r>
    </w:p>
    <w:p w14:paraId="0B7D23BD" w14:textId="77777777" w:rsidR="00F24946" w:rsidRDefault="00613B06">
      <w:pPr>
        <w:pStyle w:val="P68B1DB1-Normal4"/>
        <w:numPr>
          <w:ilvl w:val="0"/>
          <w:numId w:val="56"/>
        </w:numPr>
        <w:spacing w:before="40" w:after="160" w:line="259" w:lineRule="auto"/>
        <w:ind w:hanging="357"/>
        <w:contextualSpacing/>
        <w:jc w:val="both"/>
        <w:rPr>
          <w:rFonts w:eastAsiaTheme="minorEastAsia" w:cs="Times New Roman"/>
          <w:noProof/>
        </w:rPr>
      </w:pPr>
      <w:r>
        <w:rPr>
          <w:noProof/>
        </w:rPr>
        <w:t>posodobitev tehnološke infrastrukture kulturnih objektov</w:t>
      </w:r>
    </w:p>
    <w:p w14:paraId="5AD0BCC3" w14:textId="7FCD7F04"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nakup opreme IT, ustvarjanje spletnih mobilnih knjižnic, informacijskih sistemov in integriranih katalogov za 239 javnih knjižnic;</w:t>
      </w:r>
    </w:p>
    <w:p w14:paraId="14E65A09" w14:textId="727DB745"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 xml:space="preserve">namestitev pokritja </w:t>
      </w:r>
      <w:r>
        <w:rPr>
          <w:i/>
          <w:noProof/>
        </w:rPr>
        <w:t>wifi</w:t>
      </w:r>
      <w:r>
        <w:rPr>
          <w:noProof/>
        </w:rPr>
        <w:t xml:space="preserve"> v 50 muzejih, palačeh in spomenikih;</w:t>
      </w:r>
    </w:p>
    <w:p w14:paraId="6418D2E6" w14:textId="7777777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nakup digitalne opreme in opreme za video projekcije 155 žarišč za cine in javne centre sodobne umetnosti;</w:t>
      </w:r>
    </w:p>
    <w:p w14:paraId="60152140" w14:textId="3D33612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tehnološka posodobitev in vzdrževanje javnih laboratorijev;</w:t>
      </w:r>
    </w:p>
    <w:p w14:paraId="1D93986E" w14:textId="596F8A12" w:rsidR="00F24946" w:rsidRDefault="00613B06">
      <w:pPr>
        <w:pStyle w:val="ListParagraph"/>
        <w:numPr>
          <w:ilvl w:val="1"/>
          <w:numId w:val="70"/>
        </w:numPr>
        <w:spacing w:before="40"/>
        <w:rPr>
          <w:noProof/>
        </w:rPr>
      </w:pPr>
      <w:r>
        <w:rPr>
          <w:noProof/>
        </w:rPr>
        <w:t>tehnološka posodobitev nacionalnega arhiva premičnih slik (ANIM);</w:t>
      </w:r>
    </w:p>
    <w:p w14:paraId="129B1E79" w14:textId="4144A407" w:rsidR="00F24946" w:rsidRDefault="00613B06">
      <w:pPr>
        <w:pStyle w:val="P68B1DB1-Normal4"/>
        <w:numPr>
          <w:ilvl w:val="1"/>
          <w:numId w:val="70"/>
        </w:numPr>
        <w:spacing w:before="40" w:after="160" w:line="259" w:lineRule="auto"/>
        <w:ind w:hanging="357"/>
        <w:contextualSpacing/>
        <w:jc w:val="both"/>
        <w:rPr>
          <w:rFonts w:eastAsia="Times New Roman" w:cs="Times New Roman"/>
          <w:noProof/>
        </w:rPr>
      </w:pPr>
      <w:r>
        <w:rPr>
          <w:noProof/>
        </w:rPr>
        <w:t>namestitev nacionalnega loka zvoka.</w:t>
      </w:r>
    </w:p>
    <w:p w14:paraId="63A92FE4" w14:textId="1C99C7CC" w:rsidR="00F24946" w:rsidRDefault="00613B06">
      <w:pPr>
        <w:pStyle w:val="P68B1DB1-Normal4"/>
        <w:numPr>
          <w:ilvl w:val="0"/>
          <w:numId w:val="56"/>
        </w:numPr>
        <w:spacing w:before="40" w:after="160" w:line="259" w:lineRule="auto"/>
        <w:ind w:hanging="357"/>
        <w:contextualSpacing/>
        <w:jc w:val="both"/>
        <w:rPr>
          <w:rFonts w:eastAsiaTheme="minorEastAsia" w:cs="Times New Roman"/>
          <w:noProof/>
        </w:rPr>
      </w:pPr>
      <w:r>
        <w:rPr>
          <w:noProof/>
        </w:rPr>
        <w:t>digitalizacija in virtualizacija zbirk generalnega direktorata za knjige, arhive in knjižnice (DGLAB), portugalske nacionalne knjižnice, javne knjižnice Évora, kinematoke, zbirk, ki jih upravlja Generalni direktorat za kulturno dediščino (DGPC) in regionalnih direktoratov za kulturo, ter digitalizacija avdiovizualnega gradiva iz zgodovinskih arhivov države:</w:t>
      </w:r>
    </w:p>
    <w:p w14:paraId="6C9F1DA9" w14:textId="7777777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digitalizacija in virtualizacija zbirk javnih knjižnic (20000000 slik);</w:t>
      </w:r>
    </w:p>
    <w:p w14:paraId="2F41C273" w14:textId="7777777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digitalizacija in virtualizacija zbirk nacionalnih arhivov (19 5 00 000 dokumentov);</w:t>
      </w:r>
    </w:p>
    <w:p w14:paraId="08CD788B" w14:textId="7777777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digitalizacija 59500 evidenc javnih muzejev;</w:t>
      </w:r>
    </w:p>
    <w:p w14:paraId="4D9619E7" w14:textId="63B3EDDD"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virtualni obiski muzejev;</w:t>
      </w:r>
    </w:p>
    <w:p w14:paraId="6147E91E" w14:textId="0637379A"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digitalizacija 1000 filmov (kinematografija); in</w:t>
      </w:r>
    </w:p>
    <w:p w14:paraId="126C8F9B" w14:textId="08B9174F"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digitalizacija in dajanje na voljo javnosti 45000 ur avdiovizualnega gradiva iz arhivov zgodovinskih medijev in ponudnikov storitev razširjanja televizijskih programov v državi</w:t>
      </w:r>
    </w:p>
    <w:p w14:paraId="69CDFB3B" w14:textId="6E712039" w:rsidR="00F24946" w:rsidRDefault="00613B06">
      <w:pPr>
        <w:pStyle w:val="ListParagraph"/>
        <w:numPr>
          <w:ilvl w:val="0"/>
          <w:numId w:val="71"/>
        </w:numPr>
        <w:spacing w:before="40"/>
        <w:rPr>
          <w:noProof/>
        </w:rPr>
      </w:pPr>
      <w:r>
        <w:rPr>
          <w:noProof/>
        </w:rPr>
        <w:t>Internacionalizacija, posodobitev in digitalni prehod knjig in avtorjev:</w:t>
      </w:r>
    </w:p>
    <w:p w14:paraId="1E2C030B" w14:textId="6017B88F"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podpora prevajanju in izdajanju knjig v tuje jezike.</w:t>
      </w:r>
    </w:p>
    <w:p w14:paraId="197D7319" w14:textId="77777777" w:rsidR="00F24946" w:rsidRDefault="00613B06">
      <w:pPr>
        <w:pStyle w:val="P68B1DB1-Normal4"/>
        <w:numPr>
          <w:ilvl w:val="1"/>
          <w:numId w:val="70"/>
        </w:numPr>
        <w:spacing w:before="40" w:after="160" w:line="259" w:lineRule="auto"/>
        <w:ind w:hanging="357"/>
        <w:contextualSpacing/>
        <w:jc w:val="both"/>
        <w:rPr>
          <w:rFonts w:eastAsiaTheme="minorEastAsia" w:cs="Times New Roman"/>
          <w:noProof/>
        </w:rPr>
      </w:pPr>
      <w:r>
        <w:rPr>
          <w:noProof/>
        </w:rPr>
        <w:t>podpora za prevajanje in izdajo literarnih del, vključno z zvočnimi knjigami in e-knjigami;</w:t>
      </w:r>
    </w:p>
    <w:p w14:paraId="2A41A423" w14:textId="6D165E09" w:rsidR="00F24946" w:rsidRDefault="00613B06">
      <w:pPr>
        <w:pStyle w:val="P68B1DB1-Normal4"/>
        <w:numPr>
          <w:ilvl w:val="1"/>
          <w:numId w:val="70"/>
        </w:numPr>
        <w:spacing w:before="40" w:after="160" w:line="259" w:lineRule="auto"/>
        <w:ind w:hanging="357"/>
        <w:contextualSpacing/>
        <w:jc w:val="both"/>
        <w:rPr>
          <w:rFonts w:eastAsia="Times New Roman" w:cs="Times New Roman"/>
          <w:noProof/>
        </w:rPr>
      </w:pPr>
      <w:r>
        <w:rPr>
          <w:noProof/>
        </w:rPr>
        <w:t>podpora posodobitvi in digitalnemu prehodu knjigarn za nakup opreme in tehnologije.</w:t>
      </w:r>
    </w:p>
    <w:p w14:paraId="496B0AF5" w14:textId="57DF3BD5" w:rsidR="00F24946" w:rsidRDefault="00F24946">
      <w:pPr>
        <w:spacing w:before="40" w:after="160" w:line="259" w:lineRule="auto"/>
        <w:ind w:left="1800"/>
        <w:contextualSpacing/>
        <w:jc w:val="both"/>
        <w:rPr>
          <w:rFonts w:ascii="Times New Roman" w:eastAsia="Times New Roman" w:hAnsi="Times New Roman" w:cs="Times New Roman"/>
          <w:noProof/>
          <w:sz w:val="24"/>
        </w:rPr>
      </w:pPr>
    </w:p>
    <w:p w14:paraId="75954FB6" w14:textId="41574F0B" w:rsidR="00F24946" w:rsidRDefault="00613B06">
      <w:pPr>
        <w:pStyle w:val="P68B1DB1-Normal4"/>
        <w:spacing w:before="40" w:after="0" w:line="259" w:lineRule="auto"/>
        <w:jc w:val="both"/>
        <w:rPr>
          <w:rFonts w:eastAsiaTheme="minorEastAsia" w:cs="Times New Roman"/>
          <w:noProof/>
        </w:rPr>
      </w:pPr>
      <w:r>
        <w:rPr>
          <w:noProof/>
        </w:rPr>
        <w:t>Naložba se izvede do 31. marca 2026.</w:t>
      </w:r>
    </w:p>
    <w:p w14:paraId="0CCAFF13" w14:textId="06C899D3" w:rsidR="00F24946" w:rsidRDefault="00F24946">
      <w:pPr>
        <w:spacing w:before="40" w:after="0" w:line="259" w:lineRule="auto"/>
        <w:jc w:val="both"/>
        <w:rPr>
          <w:rFonts w:ascii="Times New Roman" w:eastAsiaTheme="minorEastAsia" w:hAnsi="Times New Roman" w:cs="Times New Roman"/>
          <w:noProof/>
          <w:sz w:val="24"/>
        </w:rPr>
      </w:pPr>
    </w:p>
    <w:p w14:paraId="28A8ED10"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RE-C04-i02: Kulturne dediščine</w:t>
      </w:r>
    </w:p>
    <w:p w14:paraId="739B4265" w14:textId="3F51DE11" w:rsidR="00F24946" w:rsidRDefault="00613B06">
      <w:pPr>
        <w:pStyle w:val="P68B1DB1-Normal4"/>
        <w:keepNext/>
        <w:widowControl w:val="0"/>
        <w:spacing w:before="120" w:after="120" w:line="259" w:lineRule="auto"/>
        <w:jc w:val="both"/>
        <w:rPr>
          <w:rFonts w:eastAsiaTheme="minorEastAsia" w:cs="Times New Roman"/>
          <w:noProof/>
        </w:rPr>
      </w:pPr>
      <w:r>
        <w:rPr>
          <w:noProof/>
        </w:rPr>
        <w:t>Cilj tega ukrepa je obnova kulturnih objektov, razvrščenih kot kulturna dediščina. Eden glavnih ciljev je prilagoditev teh obratov novim okoljskim standardom. To vključuje ukrepe, kot je zmanjšanje porabe primarne energije v stavbah, skupaj z ukrepi v zgodovinskih zelenih parkih z edinstvenimi rastlinskimi in živalskimi vrstami za spodbujanje prilagajanja podnebnim spremembam in njihove blažitve z učinkovito ponovno uporabo vode za namakanje.</w:t>
      </w:r>
    </w:p>
    <w:p w14:paraId="264F16C0" w14:textId="77777777" w:rsidR="00F24946" w:rsidRDefault="00613B06">
      <w:pPr>
        <w:pStyle w:val="P68B1DB1-Normal4"/>
        <w:spacing w:before="120" w:after="120" w:line="259" w:lineRule="auto"/>
        <w:jc w:val="both"/>
        <w:rPr>
          <w:rFonts w:eastAsiaTheme="minorEastAsia" w:cs="Times New Roman"/>
          <w:noProof/>
        </w:rPr>
      </w:pPr>
      <w:r>
        <w:rPr>
          <w:noProof/>
        </w:rPr>
        <w:t xml:space="preserve">Ta naložba je sestavljena iz naslednjih intervencij: </w:t>
      </w:r>
    </w:p>
    <w:p w14:paraId="4328998B" w14:textId="77777777" w:rsidR="00F24946" w:rsidRDefault="00613B06">
      <w:pPr>
        <w:pStyle w:val="P68B1DB1-Normal4"/>
        <w:keepNext/>
        <w:numPr>
          <w:ilvl w:val="0"/>
          <w:numId w:val="51"/>
        </w:numPr>
        <w:spacing w:before="120" w:after="120" w:line="259" w:lineRule="auto"/>
        <w:contextualSpacing/>
        <w:jc w:val="both"/>
        <w:rPr>
          <w:rFonts w:eastAsiaTheme="minorEastAsia" w:cs="Times New Roman"/>
          <w:noProof/>
        </w:rPr>
      </w:pPr>
      <w:r>
        <w:rPr>
          <w:noProof/>
        </w:rPr>
        <w:t>vzpostavitev odložišča informacij in dokumentacije o domači obrtni proizvodnji, identifikaciji in kartiranju surovin;</w:t>
      </w:r>
    </w:p>
    <w:p w14:paraId="07974284" w14:textId="77777777" w:rsidR="00F24946" w:rsidRDefault="00613B06">
      <w:pPr>
        <w:pStyle w:val="P68B1DB1-Normal4"/>
        <w:keepNext/>
        <w:numPr>
          <w:ilvl w:val="0"/>
          <w:numId w:val="51"/>
        </w:numPr>
        <w:spacing w:before="120" w:after="120" w:line="259" w:lineRule="auto"/>
        <w:contextualSpacing/>
        <w:jc w:val="both"/>
        <w:rPr>
          <w:rFonts w:eastAsiaTheme="minorEastAsia" w:cs="Times New Roman"/>
          <w:noProof/>
        </w:rPr>
      </w:pPr>
      <w:r>
        <w:rPr>
          <w:noProof/>
        </w:rPr>
        <w:t>namestitev laboratorijev in poti v okviru pobude za tehnološki center</w:t>
      </w:r>
      <w:r>
        <w:rPr>
          <w:i/>
          <w:noProof/>
        </w:rPr>
        <w:t>Saber Fazer</w:t>
      </w:r>
      <w:r>
        <w:rPr>
          <w:noProof/>
        </w:rPr>
        <w:t>(zaščita obrtniških tehnik in poklicev), vključno s trženjem proizvodov;</w:t>
      </w:r>
    </w:p>
    <w:p w14:paraId="50DF6D56" w14:textId="106A4F30" w:rsidR="00F24946" w:rsidRDefault="00613B06">
      <w:pPr>
        <w:pStyle w:val="P68B1DB1-Normal4"/>
        <w:keepNext/>
        <w:numPr>
          <w:ilvl w:val="0"/>
          <w:numId w:val="51"/>
        </w:numPr>
        <w:spacing w:before="120" w:after="120" w:line="259" w:lineRule="auto"/>
        <w:contextualSpacing/>
        <w:jc w:val="both"/>
        <w:rPr>
          <w:rFonts w:eastAsiaTheme="minorEastAsia" w:cs="Times New Roman"/>
          <w:noProof/>
        </w:rPr>
      </w:pPr>
      <w:r>
        <w:rPr>
          <w:noProof/>
        </w:rPr>
        <w:t>ustvarjanje dejavnosti (pedagoške in informativne o tradicionalnih tehnikah);</w:t>
      </w:r>
    </w:p>
    <w:p w14:paraId="773D0F6E" w14:textId="596CA147" w:rsidR="00F24946" w:rsidRDefault="00613B06">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dokončanje del v muzejih, spomenikih, državnih palačah in nacionalnih gledališčih, vključno z obnovo in/ali prekvalifikacijo;</w:t>
      </w:r>
    </w:p>
    <w:p w14:paraId="78989F13" w14:textId="56AD200E" w:rsidR="00F24946" w:rsidRDefault="00613B06">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gradnja stavbe Nacionalnega loka Sounda.</w:t>
      </w:r>
    </w:p>
    <w:p w14:paraId="07BCF263" w14:textId="5FACEEE5" w:rsidR="00F24946" w:rsidRDefault="00F24946">
      <w:pPr>
        <w:keepNext/>
        <w:spacing w:before="120" w:after="0" w:line="259" w:lineRule="auto"/>
        <w:contextualSpacing/>
        <w:jc w:val="both"/>
        <w:rPr>
          <w:rFonts w:ascii="Times New Roman" w:eastAsia="Times New Roman" w:hAnsi="Times New Roman" w:cs="Times New Roman"/>
          <w:noProof/>
          <w:sz w:val="24"/>
        </w:rPr>
      </w:pPr>
    </w:p>
    <w:p w14:paraId="406F9B64" w14:textId="7A3749EE" w:rsidR="00F24946" w:rsidRDefault="00613B06">
      <w:pPr>
        <w:pStyle w:val="P68B1DB1-Normal4"/>
        <w:keepNext/>
        <w:spacing w:before="120" w:after="0" w:line="259" w:lineRule="auto"/>
        <w:contextualSpacing/>
        <w:jc w:val="both"/>
        <w:rPr>
          <w:rFonts w:eastAsiaTheme="minorEastAsia" w:cs="Times New Roman"/>
          <w:noProof/>
        </w:rPr>
      </w:pPr>
      <w:r>
        <w:rPr>
          <w:noProof/>
        </w:rPr>
        <w:t>Naložba se izvede do 31. marca 2026.</w:t>
      </w:r>
    </w:p>
    <w:p w14:paraId="22EEA54D" w14:textId="77777777" w:rsidR="00F24946" w:rsidRDefault="00F24946">
      <w:pPr>
        <w:rPr>
          <w:rFonts w:ascii="Times New Roman" w:eastAsiaTheme="minorEastAsia" w:hAnsi="Times New Roman" w:cs="Times New Roman"/>
          <w:noProof/>
          <w:sz w:val="24"/>
        </w:rPr>
      </w:pPr>
    </w:p>
    <w:p w14:paraId="461EECF2" w14:textId="77777777" w:rsidR="00F24946" w:rsidRDefault="00F24946">
      <w:pPr>
        <w:rPr>
          <w:rFonts w:ascii="Times New Roman" w:eastAsiaTheme="minorEastAsia" w:hAnsi="Times New Roman" w:cs="Times New Roman"/>
          <w:noProof/>
          <w:sz w:val="24"/>
        </w:rPr>
      </w:pPr>
    </w:p>
    <w:p w14:paraId="3E877F21" w14:textId="77777777" w:rsidR="00F24946" w:rsidRDefault="00F24946">
      <w:pPr>
        <w:rPr>
          <w:rFonts w:ascii="Times New Roman" w:eastAsiaTheme="minorEastAsia" w:hAnsi="Times New Roman" w:cs="Times New Roman"/>
          <w:noProof/>
          <w:sz w:val="24"/>
        </w:rPr>
      </w:pPr>
    </w:p>
    <w:p w14:paraId="74F6E330" w14:textId="5CC31371" w:rsidR="00F24946" w:rsidRDefault="00613B06">
      <w:pPr>
        <w:pStyle w:val="P68B1DB1-Normal4"/>
        <w:tabs>
          <w:tab w:val="left" w:pos="3527"/>
        </w:tabs>
        <w:rPr>
          <w:rFonts w:eastAsia="Times New Roman" w:cs="Times New Roman"/>
          <w:noProof/>
        </w:rPr>
      </w:pPr>
      <w:r>
        <w:rPr>
          <w:noProof/>
        </w:rPr>
        <w:tab/>
      </w:r>
    </w:p>
    <w:p w14:paraId="67590288" w14:textId="77777777" w:rsidR="00F24946" w:rsidRDefault="00F24946">
      <w:pPr>
        <w:rPr>
          <w:rFonts w:ascii="Times New Roman" w:eastAsia="Times New Roman" w:hAnsi="Times New Roman" w:cs="Times New Roman"/>
          <w:noProof/>
          <w:sz w:val="24"/>
        </w:rPr>
      </w:pPr>
    </w:p>
    <w:p w14:paraId="33277AD8" w14:textId="77777777" w:rsidR="00F24946" w:rsidRDefault="00F24946">
      <w:pPr>
        <w:rPr>
          <w:rFonts w:ascii="Times New Roman" w:eastAsiaTheme="minorEastAsia" w:hAnsi="Times New Roman" w:cs="Times New Roman"/>
          <w:noProof/>
          <w:sz w:val="24"/>
        </w:rPr>
        <w:sectPr w:rsidR="00F24946" w:rsidSect="00E00EDD">
          <w:headerReference w:type="even" r:id="rId84"/>
          <w:headerReference w:type="default" r:id="rId85"/>
          <w:footerReference w:type="even" r:id="rId86"/>
          <w:footerReference w:type="default" r:id="rId87"/>
          <w:headerReference w:type="first" r:id="rId88"/>
          <w:footerReference w:type="first" r:id="rId89"/>
          <w:pgSz w:w="11907" w:h="16839"/>
          <w:pgMar w:top="1134" w:right="1134" w:bottom="1134" w:left="1134" w:header="567" w:footer="567" w:gutter="0"/>
          <w:cols w:space="720"/>
          <w:docGrid w:linePitch="360"/>
        </w:sectPr>
      </w:pPr>
    </w:p>
    <w:p w14:paraId="0CA086A4" w14:textId="77777777" w:rsidR="00F24946" w:rsidRDefault="00613B06">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D.2. </w:t>
      </w:r>
      <w:r>
        <w:rPr>
          <w:noProof/>
        </w:rPr>
        <w:tab/>
      </w:r>
      <w:r>
        <w:rPr>
          <w:rFonts w:ascii="Times New Roman" w:hAnsi="Times New Roman"/>
          <w:b/>
          <w:noProof/>
          <w:sz w:val="24"/>
          <w:u w:val="single"/>
        </w:rPr>
        <w:t>Mejniki, cilji, kazalniki in časovni razpored za spremljanje in izvajanje nepovratne finančne podpore Naslednje;</w:t>
      </w:r>
    </w:p>
    <w:p w14:paraId="0559F0B6"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191"/>
        <w:gridCol w:w="1060"/>
        <w:gridCol w:w="1588"/>
        <w:gridCol w:w="1193"/>
        <w:gridCol w:w="930"/>
        <w:gridCol w:w="1225"/>
        <w:gridCol w:w="671"/>
        <w:gridCol w:w="539"/>
        <w:gridCol w:w="672"/>
        <w:gridCol w:w="3756"/>
      </w:tblGrid>
      <w:tr w:rsidR="00F24946" w14:paraId="04D8F8F1" w14:textId="77777777">
        <w:trPr>
          <w:trHeight w:val="910"/>
          <w:tblHeader/>
        </w:trPr>
        <w:tc>
          <w:tcPr>
            <w:tcW w:w="1067" w:type="dxa"/>
            <w:vMerge w:val="restart"/>
            <w:shd w:val="clear" w:color="auto" w:fill="B4C6E7"/>
            <w:vAlign w:val="center"/>
            <w:hideMark/>
          </w:tcPr>
          <w:p w14:paraId="66743342"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191" w:type="dxa"/>
            <w:vMerge w:val="restart"/>
            <w:shd w:val="clear" w:color="auto" w:fill="B4C6E7"/>
            <w:vAlign w:val="center"/>
            <w:hideMark/>
          </w:tcPr>
          <w:p w14:paraId="12DF4D36" w14:textId="77777777" w:rsidR="00F24946" w:rsidRDefault="00613B06">
            <w:pPr>
              <w:pStyle w:val="P68B1DB1-Normal16"/>
              <w:spacing w:after="0" w:line="240" w:lineRule="auto"/>
              <w:jc w:val="center"/>
              <w:rPr>
                <w:rFonts w:eastAsia="Times New Roman" w:cs="Times New Roman"/>
                <w:b/>
                <w:noProof/>
              </w:rPr>
            </w:pPr>
            <w:r>
              <w:rPr>
                <w:b/>
                <w:noProof/>
              </w:rPr>
              <w:t>Ukrep (reforma ali naložba)</w:t>
            </w:r>
            <w:r>
              <w:rPr>
                <w:noProof/>
              </w:rPr>
              <w:t> </w:t>
            </w:r>
          </w:p>
        </w:tc>
        <w:tc>
          <w:tcPr>
            <w:tcW w:w="1060" w:type="dxa"/>
            <w:vMerge w:val="restart"/>
            <w:shd w:val="clear" w:color="auto" w:fill="B4C6E7"/>
            <w:vAlign w:val="center"/>
            <w:hideMark/>
          </w:tcPr>
          <w:p w14:paraId="1BA1C91E" w14:textId="292277FC" w:rsidR="00F24946" w:rsidRDefault="00613B06">
            <w:pPr>
              <w:pStyle w:val="P68B1DB1-Normal16"/>
              <w:spacing w:after="0" w:line="240" w:lineRule="auto"/>
              <w:jc w:val="center"/>
              <w:rPr>
                <w:rFonts w:eastAsia="Times New Roman" w:cs="Times New Roman"/>
                <w:b/>
                <w:noProof/>
              </w:rPr>
            </w:pPr>
            <w:r>
              <w:rPr>
                <w:b/>
                <w:noProof/>
              </w:rPr>
              <w:t>Mejnik/</w:t>
            </w:r>
            <w:r>
              <w:rPr>
                <w:noProof/>
              </w:rPr>
              <w:t xml:space="preserve"> </w:t>
            </w:r>
            <w:r>
              <w:rPr>
                <w:b/>
                <w:noProof/>
              </w:rPr>
              <w:t>cilj</w:t>
            </w:r>
          </w:p>
        </w:tc>
        <w:tc>
          <w:tcPr>
            <w:tcW w:w="1588" w:type="dxa"/>
            <w:vMerge w:val="restart"/>
            <w:shd w:val="clear" w:color="auto" w:fill="B4C6E7"/>
            <w:vAlign w:val="center"/>
            <w:hideMark/>
          </w:tcPr>
          <w:p w14:paraId="28AD35BA" w14:textId="77777777" w:rsidR="00F24946" w:rsidRDefault="00613B06">
            <w:pPr>
              <w:pStyle w:val="P68B1DB1-Normal16"/>
              <w:spacing w:after="0" w:line="240" w:lineRule="auto"/>
              <w:jc w:val="center"/>
              <w:rPr>
                <w:rFonts w:eastAsia="Times New Roman" w:cs="Times New Roman"/>
                <w:b/>
                <w:noProof/>
              </w:rPr>
            </w:pPr>
            <w:r>
              <w:rPr>
                <w:b/>
                <w:noProof/>
              </w:rPr>
              <w:t>Ime</w:t>
            </w:r>
            <w:r>
              <w:rPr>
                <w:noProof/>
              </w:rPr>
              <w:t> </w:t>
            </w:r>
          </w:p>
        </w:tc>
        <w:tc>
          <w:tcPr>
            <w:tcW w:w="1193" w:type="dxa"/>
            <w:vMerge w:val="restart"/>
            <w:shd w:val="clear" w:color="auto" w:fill="B4C6E7"/>
            <w:vAlign w:val="center"/>
            <w:hideMark/>
          </w:tcPr>
          <w:p w14:paraId="17F2F265" w14:textId="77777777" w:rsidR="00F24946" w:rsidRDefault="00613B06">
            <w:pPr>
              <w:pStyle w:val="P68B1DB1-Normal16"/>
              <w:spacing w:after="0" w:line="240" w:lineRule="auto"/>
              <w:jc w:val="center"/>
              <w:rPr>
                <w:rFonts w:eastAsia="Times New Roman" w:cs="Times New Roman"/>
                <w:b/>
                <w:noProof/>
              </w:rPr>
            </w:pPr>
            <w:r>
              <w:rPr>
                <w:b/>
                <w:noProof/>
              </w:rPr>
              <w:t>Kvalitativni kazalniki za mejnike</w:t>
            </w:r>
            <w:r>
              <w:rPr>
                <w:noProof/>
              </w:rPr>
              <w:t> </w:t>
            </w:r>
          </w:p>
        </w:tc>
        <w:tc>
          <w:tcPr>
            <w:tcW w:w="2826" w:type="dxa"/>
            <w:gridSpan w:val="3"/>
            <w:shd w:val="clear" w:color="auto" w:fill="B4C6E7"/>
            <w:vAlign w:val="center"/>
            <w:hideMark/>
          </w:tcPr>
          <w:p w14:paraId="5E49CDA7" w14:textId="77777777" w:rsidR="00F24946" w:rsidRDefault="00613B06">
            <w:pPr>
              <w:pStyle w:val="P68B1DB1-Normal16"/>
              <w:spacing w:after="0" w:line="240" w:lineRule="auto"/>
              <w:jc w:val="center"/>
              <w:rPr>
                <w:rFonts w:eastAsia="Times New Roman" w:cs="Times New Roman"/>
                <w:b/>
                <w:noProof/>
              </w:rPr>
            </w:pPr>
            <w:r>
              <w:rPr>
                <w:b/>
                <w:noProof/>
              </w:rPr>
              <w:t>Kvantitativni kazalniki (za ciljne vrednosti)</w:t>
            </w:r>
            <w:r>
              <w:rPr>
                <w:noProof/>
              </w:rPr>
              <w:t> </w:t>
            </w:r>
          </w:p>
        </w:tc>
        <w:tc>
          <w:tcPr>
            <w:tcW w:w="1211" w:type="dxa"/>
            <w:gridSpan w:val="2"/>
            <w:shd w:val="clear" w:color="auto" w:fill="B4C6E7"/>
            <w:vAlign w:val="center"/>
            <w:hideMark/>
          </w:tcPr>
          <w:p w14:paraId="50636C03" w14:textId="77777777" w:rsidR="00F24946" w:rsidRDefault="00613B06">
            <w:pPr>
              <w:pStyle w:val="P68B1DB1-Normal16"/>
              <w:spacing w:after="0" w:line="240" w:lineRule="auto"/>
              <w:jc w:val="center"/>
              <w:rPr>
                <w:rFonts w:eastAsia="Times New Roman" w:cs="Times New Roman"/>
                <w:b/>
                <w:noProof/>
              </w:rPr>
            </w:pPr>
            <w:r>
              <w:rPr>
                <w:b/>
                <w:noProof/>
              </w:rPr>
              <w:t>Okvirni časovni razpored za dokončanje</w:t>
            </w:r>
            <w:r>
              <w:rPr>
                <w:noProof/>
              </w:rPr>
              <w:t> </w:t>
            </w:r>
          </w:p>
        </w:tc>
        <w:tc>
          <w:tcPr>
            <w:tcW w:w="3756" w:type="dxa"/>
            <w:vMerge w:val="restart"/>
            <w:shd w:val="clear" w:color="auto" w:fill="B4C6E7"/>
            <w:noWrap/>
            <w:vAlign w:val="center"/>
            <w:hideMark/>
          </w:tcPr>
          <w:p w14:paraId="1133A1F5" w14:textId="77777777" w:rsidR="00F24946" w:rsidRDefault="00613B06">
            <w:pPr>
              <w:pStyle w:val="P68B1DB1-Normal16"/>
              <w:spacing w:after="0" w:line="240" w:lineRule="auto"/>
              <w:jc w:val="center"/>
              <w:rPr>
                <w:rFonts w:eastAsia="Times New Roman" w:cs="Times New Roman"/>
                <w:b/>
                <w:noProof/>
              </w:rPr>
            </w:pPr>
            <w:r>
              <w:rPr>
                <w:b/>
                <w:noProof/>
              </w:rPr>
              <w:t>Opis in jasna opredelitev vsakega mejnika in cilja</w:t>
            </w:r>
            <w:r>
              <w:rPr>
                <w:noProof/>
              </w:rPr>
              <w:t> </w:t>
            </w:r>
          </w:p>
        </w:tc>
      </w:tr>
      <w:tr w:rsidR="00F24946" w14:paraId="52076021" w14:textId="77777777">
        <w:trPr>
          <w:trHeight w:val="470"/>
          <w:tblHeader/>
        </w:trPr>
        <w:tc>
          <w:tcPr>
            <w:tcW w:w="1067" w:type="dxa"/>
            <w:vMerge/>
            <w:vAlign w:val="center"/>
            <w:hideMark/>
          </w:tcPr>
          <w:p w14:paraId="12D2ED3A" w14:textId="77777777" w:rsidR="00F24946" w:rsidRDefault="00F24946">
            <w:pPr>
              <w:spacing w:after="0" w:line="240" w:lineRule="auto"/>
              <w:rPr>
                <w:rFonts w:ascii="Times New Roman" w:eastAsia="Times New Roman" w:hAnsi="Times New Roman" w:cs="Times New Roman"/>
                <w:b/>
                <w:noProof/>
                <w:sz w:val="18"/>
              </w:rPr>
            </w:pPr>
          </w:p>
        </w:tc>
        <w:tc>
          <w:tcPr>
            <w:tcW w:w="1191" w:type="dxa"/>
            <w:vMerge/>
            <w:vAlign w:val="center"/>
            <w:hideMark/>
          </w:tcPr>
          <w:p w14:paraId="40E37BF9" w14:textId="77777777" w:rsidR="00F24946" w:rsidRDefault="00F24946">
            <w:pPr>
              <w:spacing w:after="0" w:line="240" w:lineRule="auto"/>
              <w:rPr>
                <w:rFonts w:ascii="Times New Roman" w:eastAsia="Times New Roman" w:hAnsi="Times New Roman" w:cs="Times New Roman"/>
                <w:b/>
                <w:noProof/>
                <w:sz w:val="18"/>
              </w:rPr>
            </w:pPr>
          </w:p>
        </w:tc>
        <w:tc>
          <w:tcPr>
            <w:tcW w:w="1060" w:type="dxa"/>
            <w:vMerge/>
            <w:vAlign w:val="center"/>
            <w:hideMark/>
          </w:tcPr>
          <w:p w14:paraId="7217D83F" w14:textId="40991F61" w:rsidR="00F24946" w:rsidRDefault="00F24946">
            <w:pPr>
              <w:spacing w:after="0" w:line="240" w:lineRule="auto"/>
              <w:jc w:val="center"/>
              <w:rPr>
                <w:rFonts w:ascii="Times New Roman" w:eastAsia="Times New Roman" w:hAnsi="Times New Roman" w:cs="Times New Roman"/>
                <w:b/>
                <w:noProof/>
                <w:sz w:val="18"/>
              </w:rPr>
            </w:pPr>
          </w:p>
        </w:tc>
        <w:tc>
          <w:tcPr>
            <w:tcW w:w="1588" w:type="dxa"/>
            <w:vMerge/>
            <w:vAlign w:val="center"/>
            <w:hideMark/>
          </w:tcPr>
          <w:p w14:paraId="17CFCC18" w14:textId="77777777" w:rsidR="00F24946" w:rsidRDefault="00F24946">
            <w:pPr>
              <w:spacing w:after="0" w:line="240" w:lineRule="auto"/>
              <w:rPr>
                <w:rFonts w:ascii="Times New Roman" w:eastAsia="Times New Roman" w:hAnsi="Times New Roman" w:cs="Times New Roman"/>
                <w:b/>
                <w:noProof/>
                <w:sz w:val="18"/>
              </w:rPr>
            </w:pPr>
          </w:p>
        </w:tc>
        <w:tc>
          <w:tcPr>
            <w:tcW w:w="1193" w:type="dxa"/>
            <w:vMerge/>
            <w:vAlign w:val="center"/>
            <w:hideMark/>
          </w:tcPr>
          <w:p w14:paraId="19D57B14" w14:textId="77777777" w:rsidR="00F24946" w:rsidRDefault="00F24946">
            <w:pPr>
              <w:spacing w:after="0" w:line="240" w:lineRule="auto"/>
              <w:rPr>
                <w:rFonts w:ascii="Times New Roman" w:eastAsia="Times New Roman" w:hAnsi="Times New Roman" w:cs="Times New Roman"/>
                <w:b/>
                <w:noProof/>
                <w:sz w:val="18"/>
              </w:rPr>
            </w:pPr>
          </w:p>
        </w:tc>
        <w:tc>
          <w:tcPr>
            <w:tcW w:w="930" w:type="dxa"/>
            <w:shd w:val="clear" w:color="auto" w:fill="B4C6E7"/>
            <w:vAlign w:val="center"/>
            <w:hideMark/>
          </w:tcPr>
          <w:p w14:paraId="2DDF773F" w14:textId="77777777" w:rsidR="00F24946" w:rsidRDefault="00613B06">
            <w:pPr>
              <w:pStyle w:val="P68B1DB1-Normal16"/>
              <w:spacing w:after="0" w:line="240" w:lineRule="auto"/>
              <w:jc w:val="center"/>
              <w:rPr>
                <w:rFonts w:eastAsia="Times New Roman" w:cs="Times New Roman"/>
                <w:b/>
                <w:noProof/>
              </w:rPr>
            </w:pPr>
            <w:r>
              <w:rPr>
                <w:b/>
                <w:noProof/>
              </w:rPr>
              <w:t>Merska enota</w:t>
            </w:r>
            <w:r>
              <w:rPr>
                <w:noProof/>
              </w:rPr>
              <w:t> </w:t>
            </w:r>
          </w:p>
        </w:tc>
        <w:tc>
          <w:tcPr>
            <w:tcW w:w="1225" w:type="dxa"/>
            <w:shd w:val="clear" w:color="auto" w:fill="B4C6E7"/>
            <w:vAlign w:val="center"/>
            <w:hideMark/>
          </w:tcPr>
          <w:p w14:paraId="70EE8293" w14:textId="77777777" w:rsidR="00F24946" w:rsidRDefault="00613B06">
            <w:pPr>
              <w:pStyle w:val="P68B1DB1-Normal16"/>
              <w:spacing w:after="0" w:line="240" w:lineRule="auto"/>
              <w:jc w:val="center"/>
              <w:rPr>
                <w:rFonts w:eastAsia="Times New Roman" w:cs="Times New Roman"/>
                <w:b/>
                <w:noProof/>
              </w:rPr>
            </w:pPr>
            <w:r>
              <w:rPr>
                <w:b/>
                <w:noProof/>
              </w:rPr>
              <w:t>Izhodišče</w:t>
            </w:r>
            <w:r>
              <w:rPr>
                <w:noProof/>
              </w:rPr>
              <w:t> </w:t>
            </w:r>
          </w:p>
        </w:tc>
        <w:tc>
          <w:tcPr>
            <w:tcW w:w="671" w:type="dxa"/>
            <w:shd w:val="clear" w:color="auto" w:fill="B4C6E7"/>
            <w:vAlign w:val="center"/>
            <w:hideMark/>
          </w:tcPr>
          <w:p w14:paraId="091447AD" w14:textId="77777777" w:rsidR="00F24946" w:rsidRDefault="00613B06">
            <w:pPr>
              <w:pStyle w:val="P68B1DB1-Normal16"/>
              <w:spacing w:after="0" w:line="240" w:lineRule="auto"/>
              <w:jc w:val="center"/>
              <w:rPr>
                <w:rFonts w:eastAsia="Times New Roman" w:cs="Times New Roman"/>
                <w:b/>
                <w:noProof/>
              </w:rPr>
            </w:pPr>
            <w:r>
              <w:rPr>
                <w:b/>
                <w:noProof/>
              </w:rPr>
              <w:t>Cilj</w:t>
            </w:r>
            <w:r>
              <w:rPr>
                <w:noProof/>
              </w:rPr>
              <w:t> </w:t>
            </w:r>
          </w:p>
        </w:tc>
        <w:tc>
          <w:tcPr>
            <w:tcW w:w="539" w:type="dxa"/>
            <w:shd w:val="clear" w:color="auto" w:fill="B4C6E7"/>
            <w:vAlign w:val="center"/>
            <w:hideMark/>
          </w:tcPr>
          <w:p w14:paraId="6A0E7E81" w14:textId="77777777" w:rsidR="00F24946" w:rsidRDefault="00613B06">
            <w:pPr>
              <w:pStyle w:val="P68B1DB1-Normal16"/>
              <w:spacing w:after="0" w:line="240" w:lineRule="auto"/>
              <w:jc w:val="center"/>
              <w:rPr>
                <w:rFonts w:eastAsia="Times New Roman" w:cs="Times New Roman"/>
                <w:b/>
                <w:noProof/>
              </w:rPr>
            </w:pPr>
            <w:r>
              <w:rPr>
                <w:b/>
                <w:noProof/>
              </w:rPr>
              <w:t>Q</w:t>
            </w:r>
            <w:r>
              <w:rPr>
                <w:noProof/>
              </w:rPr>
              <w:t> </w:t>
            </w:r>
          </w:p>
        </w:tc>
        <w:tc>
          <w:tcPr>
            <w:tcW w:w="672" w:type="dxa"/>
            <w:shd w:val="clear" w:color="auto" w:fill="B4C6E7"/>
            <w:vAlign w:val="center"/>
            <w:hideMark/>
          </w:tcPr>
          <w:p w14:paraId="4917FFB7" w14:textId="77777777" w:rsidR="00F24946" w:rsidRDefault="00613B06">
            <w:pPr>
              <w:pStyle w:val="P68B1DB1-Normal16"/>
              <w:spacing w:after="0" w:line="240" w:lineRule="auto"/>
              <w:jc w:val="center"/>
              <w:rPr>
                <w:rFonts w:eastAsia="Times New Roman" w:cs="Times New Roman"/>
                <w:b/>
                <w:noProof/>
              </w:rPr>
            </w:pPr>
            <w:r>
              <w:rPr>
                <w:b/>
                <w:noProof/>
              </w:rPr>
              <w:t>Leto</w:t>
            </w:r>
            <w:r>
              <w:rPr>
                <w:noProof/>
              </w:rPr>
              <w:t> </w:t>
            </w:r>
          </w:p>
        </w:tc>
        <w:tc>
          <w:tcPr>
            <w:tcW w:w="3756" w:type="dxa"/>
            <w:vMerge/>
            <w:vAlign w:val="center"/>
            <w:hideMark/>
          </w:tcPr>
          <w:p w14:paraId="38B9FC0D" w14:textId="77777777" w:rsidR="00F24946" w:rsidRDefault="00F24946">
            <w:pPr>
              <w:spacing w:after="0" w:line="240" w:lineRule="auto"/>
              <w:rPr>
                <w:rFonts w:ascii="Times New Roman" w:eastAsia="Times New Roman" w:hAnsi="Times New Roman" w:cs="Times New Roman"/>
                <w:b/>
                <w:noProof/>
                <w:sz w:val="18"/>
              </w:rPr>
            </w:pPr>
          </w:p>
        </w:tc>
      </w:tr>
      <w:tr w:rsidR="00F24946" w14:paraId="69100ED4" w14:textId="77777777">
        <w:trPr>
          <w:trHeight w:val="1480"/>
        </w:trPr>
        <w:tc>
          <w:tcPr>
            <w:tcW w:w="1067" w:type="dxa"/>
            <w:shd w:val="clear" w:color="auto" w:fill="C5EFCE"/>
            <w:vAlign w:val="center"/>
            <w:hideMark/>
          </w:tcPr>
          <w:p w14:paraId="7FFFB0EB" w14:textId="77777777" w:rsidR="00F24946" w:rsidRDefault="00613B06">
            <w:pPr>
              <w:pStyle w:val="P68B1DB1-Normal7"/>
              <w:spacing w:after="0" w:line="240" w:lineRule="auto"/>
              <w:jc w:val="center"/>
              <w:rPr>
                <w:rFonts w:eastAsia="Times New Roman" w:cs="Calibri"/>
                <w:noProof/>
              </w:rPr>
            </w:pPr>
            <w:r>
              <w:rPr>
                <w:noProof/>
              </w:rPr>
              <w:t>4.1</w:t>
            </w:r>
          </w:p>
        </w:tc>
        <w:tc>
          <w:tcPr>
            <w:tcW w:w="1191" w:type="dxa"/>
            <w:shd w:val="clear" w:color="auto" w:fill="C4EFCE"/>
            <w:vAlign w:val="center"/>
            <w:hideMark/>
          </w:tcPr>
          <w:p w14:paraId="0F332CE6" w14:textId="77777777" w:rsidR="00F24946" w:rsidRDefault="00613B06">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94E1B0B" w14:textId="77777777" w:rsidR="00F24946" w:rsidRDefault="00613B06">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04704446" w14:textId="77777777" w:rsidR="00F24946" w:rsidRDefault="00613B06">
            <w:pPr>
              <w:pStyle w:val="P68B1DB1-Normal8"/>
              <w:spacing w:after="0" w:line="240" w:lineRule="auto"/>
              <w:jc w:val="center"/>
              <w:rPr>
                <w:rFonts w:eastAsia="Times New Roman" w:cs="Calibri"/>
                <w:noProof/>
              </w:rPr>
            </w:pPr>
            <w:r>
              <w:rPr>
                <w:noProof/>
              </w:rPr>
              <w:t>Tehnološke specifikacije za mrežo kulturnih objektov</w:t>
            </w:r>
          </w:p>
        </w:tc>
        <w:tc>
          <w:tcPr>
            <w:tcW w:w="1193" w:type="dxa"/>
            <w:shd w:val="clear" w:color="auto" w:fill="C4EFCE"/>
            <w:vAlign w:val="center"/>
            <w:hideMark/>
          </w:tcPr>
          <w:p w14:paraId="61F7EBA6" w14:textId="77777777" w:rsidR="00F24946" w:rsidRDefault="00613B06">
            <w:pPr>
              <w:pStyle w:val="P68B1DB1-Normal8"/>
              <w:spacing w:after="0" w:line="240" w:lineRule="auto"/>
              <w:jc w:val="center"/>
              <w:rPr>
                <w:rFonts w:eastAsia="Times New Roman" w:cs="Calibri"/>
                <w:noProof/>
              </w:rPr>
            </w:pPr>
            <w:r>
              <w:rPr>
                <w:noProof/>
              </w:rPr>
              <w:t>Poročilo o tehnoloških specifikacijah za mrežo kulturnih objektov</w:t>
            </w:r>
          </w:p>
        </w:tc>
        <w:tc>
          <w:tcPr>
            <w:tcW w:w="930" w:type="dxa"/>
            <w:shd w:val="clear" w:color="auto" w:fill="C4EFCE"/>
            <w:vAlign w:val="center"/>
            <w:hideMark/>
          </w:tcPr>
          <w:p w14:paraId="7F181E4F" w14:textId="77777777" w:rsidR="00F24946" w:rsidRDefault="00613B06">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B4FC930" w14:textId="77777777" w:rsidR="00F24946" w:rsidRDefault="00613B06">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1EE62675" w14:textId="77777777" w:rsidR="00F24946" w:rsidRDefault="00613B06">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E5E1F2E" w14:textId="77777777" w:rsidR="00F24946" w:rsidRDefault="00613B06">
            <w:pPr>
              <w:pStyle w:val="P68B1DB1-Normal8"/>
              <w:spacing w:after="0" w:line="240" w:lineRule="auto"/>
              <w:jc w:val="center"/>
              <w:rPr>
                <w:rFonts w:eastAsia="Times New Roman" w:cs="Calibri"/>
                <w:noProof/>
              </w:rPr>
            </w:pPr>
            <w:r>
              <w:rPr>
                <w:noProof/>
              </w:rPr>
              <w:t>Q2 </w:t>
            </w:r>
          </w:p>
        </w:tc>
        <w:tc>
          <w:tcPr>
            <w:tcW w:w="672" w:type="dxa"/>
            <w:shd w:val="clear" w:color="auto" w:fill="C4EFCE"/>
            <w:vAlign w:val="center"/>
            <w:hideMark/>
          </w:tcPr>
          <w:p w14:paraId="7BDF2F41" w14:textId="77777777" w:rsidR="00F24946" w:rsidRDefault="00613B06">
            <w:pPr>
              <w:pStyle w:val="P68B1DB1-Normal8"/>
              <w:spacing w:after="0" w:line="240" w:lineRule="auto"/>
              <w:jc w:val="center"/>
              <w:rPr>
                <w:rFonts w:eastAsia="Times New Roman" w:cs="Calibri"/>
                <w:noProof/>
              </w:rPr>
            </w:pPr>
            <w:r>
              <w:rPr>
                <w:noProof/>
              </w:rPr>
              <w:t>2022 </w:t>
            </w:r>
          </w:p>
        </w:tc>
        <w:tc>
          <w:tcPr>
            <w:tcW w:w="3756" w:type="dxa"/>
            <w:shd w:val="clear" w:color="auto" w:fill="C4EFCE"/>
            <w:noWrap/>
            <w:vAlign w:val="center"/>
            <w:hideMark/>
          </w:tcPr>
          <w:p w14:paraId="3C24C115" w14:textId="77777777" w:rsidR="00F24946" w:rsidRDefault="00613B06">
            <w:pPr>
              <w:pStyle w:val="P68B1DB1-Normal8"/>
              <w:spacing w:after="0" w:line="240" w:lineRule="auto"/>
              <w:jc w:val="both"/>
              <w:rPr>
                <w:rFonts w:eastAsia="Times New Roman" w:cs="Calibri"/>
                <w:noProof/>
              </w:rPr>
            </w:pPr>
            <w:r>
              <w:rPr>
                <w:noProof/>
              </w:rPr>
              <w:t>Podrobna opredelitev tehnoloških specifikacij za mrežo kulturnih objektov </w:t>
            </w:r>
          </w:p>
        </w:tc>
      </w:tr>
      <w:tr w:rsidR="00F24946" w14:paraId="6A18F214" w14:textId="77777777">
        <w:trPr>
          <w:trHeight w:val="1060"/>
        </w:trPr>
        <w:tc>
          <w:tcPr>
            <w:tcW w:w="1067" w:type="dxa"/>
            <w:shd w:val="clear" w:color="auto" w:fill="C5EFCE"/>
            <w:vAlign w:val="center"/>
            <w:hideMark/>
          </w:tcPr>
          <w:p w14:paraId="2815D0CE" w14:textId="77777777" w:rsidR="00F24946" w:rsidRDefault="00613B06">
            <w:pPr>
              <w:pStyle w:val="P68B1DB1-Normal7"/>
              <w:spacing w:after="0" w:line="240" w:lineRule="auto"/>
              <w:jc w:val="center"/>
              <w:rPr>
                <w:rFonts w:eastAsia="Times New Roman" w:cs="Calibri"/>
                <w:noProof/>
              </w:rPr>
            </w:pPr>
            <w:r>
              <w:rPr>
                <w:noProof/>
              </w:rPr>
              <w:t>4.2</w:t>
            </w:r>
          </w:p>
        </w:tc>
        <w:tc>
          <w:tcPr>
            <w:tcW w:w="1191" w:type="dxa"/>
            <w:shd w:val="clear" w:color="auto" w:fill="C4EFCE"/>
            <w:vAlign w:val="center"/>
            <w:hideMark/>
          </w:tcPr>
          <w:p w14:paraId="67F836FD" w14:textId="77777777" w:rsidR="00F24946" w:rsidRDefault="00613B06">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862850B" w14:textId="77777777" w:rsidR="00F24946" w:rsidRDefault="00613B06">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3696B783" w14:textId="77777777" w:rsidR="00F24946" w:rsidRDefault="00613B06">
            <w:pPr>
              <w:pStyle w:val="P68B1DB1-Normal8"/>
              <w:spacing w:after="0" w:line="240" w:lineRule="auto"/>
              <w:jc w:val="center"/>
              <w:rPr>
                <w:rFonts w:eastAsia="Times New Roman" w:cs="Calibri"/>
                <w:noProof/>
              </w:rPr>
            </w:pPr>
            <w:r>
              <w:rPr>
                <w:noProof/>
              </w:rPr>
              <w:t>Finančna podpora za digitalni prehod knjigarn</w:t>
            </w:r>
          </w:p>
        </w:tc>
        <w:tc>
          <w:tcPr>
            <w:tcW w:w="1193" w:type="dxa"/>
            <w:shd w:val="clear" w:color="auto" w:fill="C4EFCE"/>
            <w:vAlign w:val="center"/>
            <w:hideMark/>
          </w:tcPr>
          <w:p w14:paraId="4F0ADF20" w14:textId="77777777" w:rsidR="00F24946" w:rsidRDefault="00613B06">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6F1EB3DA" w14:textId="77777777" w:rsidR="00F24946" w:rsidRDefault="00613B06">
            <w:pPr>
              <w:pStyle w:val="P68B1DB1-Normal8"/>
              <w:spacing w:after="0" w:line="240" w:lineRule="auto"/>
              <w:jc w:val="center"/>
              <w:rPr>
                <w:rFonts w:eastAsia="Times New Roman" w:cs="Calibri"/>
                <w:noProof/>
              </w:rPr>
            </w:pPr>
            <w:r>
              <w:rPr>
                <w:noProof/>
              </w:rPr>
              <w:t>Število</w:t>
            </w:r>
          </w:p>
        </w:tc>
        <w:tc>
          <w:tcPr>
            <w:tcW w:w="1225" w:type="dxa"/>
            <w:shd w:val="clear" w:color="auto" w:fill="C4EFCE"/>
            <w:vAlign w:val="center"/>
            <w:hideMark/>
          </w:tcPr>
          <w:p w14:paraId="07E69B40" w14:textId="77777777" w:rsidR="00F24946" w:rsidRDefault="00613B06">
            <w:pPr>
              <w:pStyle w:val="P68B1DB1-Normal8"/>
              <w:spacing w:after="0" w:line="240" w:lineRule="auto"/>
              <w:jc w:val="center"/>
              <w:rPr>
                <w:rFonts w:eastAsia="Times New Roman" w:cs="Calibri"/>
                <w:noProof/>
              </w:rPr>
            </w:pPr>
            <w:r>
              <w:rPr>
                <w:noProof/>
              </w:rPr>
              <w:t>0 </w:t>
            </w:r>
          </w:p>
        </w:tc>
        <w:tc>
          <w:tcPr>
            <w:tcW w:w="671" w:type="dxa"/>
            <w:shd w:val="clear" w:color="auto" w:fill="C4EFCE"/>
            <w:vAlign w:val="center"/>
            <w:hideMark/>
          </w:tcPr>
          <w:p w14:paraId="34DE8CD7" w14:textId="77777777" w:rsidR="00F24946" w:rsidRDefault="00613B06">
            <w:pPr>
              <w:pStyle w:val="P68B1DB1-Normal8"/>
              <w:spacing w:after="0" w:line="240" w:lineRule="auto"/>
              <w:jc w:val="center"/>
              <w:rPr>
                <w:rFonts w:eastAsia="Times New Roman" w:cs="Calibri"/>
                <w:noProof/>
              </w:rPr>
            </w:pPr>
            <w:r>
              <w:rPr>
                <w:noProof/>
              </w:rPr>
              <w:t>200 </w:t>
            </w:r>
          </w:p>
        </w:tc>
        <w:tc>
          <w:tcPr>
            <w:tcW w:w="539" w:type="dxa"/>
            <w:shd w:val="clear" w:color="auto" w:fill="C4EFCE"/>
            <w:vAlign w:val="center"/>
            <w:hideMark/>
          </w:tcPr>
          <w:p w14:paraId="58CDDC7C" w14:textId="77777777" w:rsidR="00F24946" w:rsidRDefault="00613B06">
            <w:pPr>
              <w:pStyle w:val="P68B1DB1-Normal8"/>
              <w:spacing w:after="0" w:line="240" w:lineRule="auto"/>
              <w:jc w:val="center"/>
              <w:rPr>
                <w:rFonts w:eastAsia="Times New Roman" w:cs="Calibri"/>
                <w:noProof/>
              </w:rPr>
            </w:pPr>
            <w:r>
              <w:rPr>
                <w:noProof/>
              </w:rPr>
              <w:t>Q4 </w:t>
            </w:r>
          </w:p>
        </w:tc>
        <w:tc>
          <w:tcPr>
            <w:tcW w:w="672" w:type="dxa"/>
            <w:shd w:val="clear" w:color="auto" w:fill="C4EFCE"/>
            <w:vAlign w:val="center"/>
            <w:hideMark/>
          </w:tcPr>
          <w:p w14:paraId="6C906CB7" w14:textId="77777777" w:rsidR="00F24946" w:rsidRDefault="00613B06">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7BA7A95B" w14:textId="5C3C166A" w:rsidR="00F24946" w:rsidRDefault="00613B06">
            <w:pPr>
              <w:pStyle w:val="P68B1DB1-Normal8"/>
              <w:spacing w:after="0" w:line="240" w:lineRule="auto"/>
              <w:jc w:val="both"/>
              <w:rPr>
                <w:rFonts w:eastAsia="Times New Roman" w:cs="Calibri"/>
                <w:noProof/>
              </w:rPr>
            </w:pPr>
            <w:r>
              <w:rPr>
                <w:noProof/>
              </w:rPr>
              <w:t>Število knjigarn je prejelo finančno podporo za digitalni prehod knjigarn s subvencioniranjem 60 % stroškov košarice tehnične opreme in storitev na knjigarno (npr. skener za knjige, omrežja Wi-fi in VPN, spletna stran za knjigarna, integrirani računovodski sistem itd.)</w:t>
            </w:r>
          </w:p>
        </w:tc>
      </w:tr>
      <w:tr w:rsidR="00F24946" w14:paraId="26C8893F" w14:textId="77777777">
        <w:trPr>
          <w:trHeight w:val="290"/>
        </w:trPr>
        <w:tc>
          <w:tcPr>
            <w:tcW w:w="1067" w:type="dxa"/>
            <w:shd w:val="clear" w:color="auto" w:fill="C5EFCE"/>
            <w:vAlign w:val="center"/>
            <w:hideMark/>
          </w:tcPr>
          <w:p w14:paraId="5A0BEA5E" w14:textId="77777777" w:rsidR="00F24946" w:rsidRDefault="00613B06">
            <w:pPr>
              <w:pStyle w:val="P68B1DB1-Normal7"/>
              <w:spacing w:after="0" w:line="240" w:lineRule="auto"/>
              <w:jc w:val="center"/>
              <w:rPr>
                <w:rFonts w:eastAsia="Times New Roman" w:cs="Calibri"/>
                <w:noProof/>
              </w:rPr>
            </w:pPr>
            <w:r>
              <w:rPr>
                <w:noProof/>
              </w:rPr>
              <w:t>4.3</w:t>
            </w:r>
          </w:p>
        </w:tc>
        <w:tc>
          <w:tcPr>
            <w:tcW w:w="1191" w:type="dxa"/>
            <w:shd w:val="clear" w:color="auto" w:fill="C4EFCE"/>
            <w:vAlign w:val="center"/>
            <w:hideMark/>
          </w:tcPr>
          <w:p w14:paraId="162AF0B7" w14:textId="77777777" w:rsidR="00F24946" w:rsidRDefault="00613B06">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08616AC9" w14:textId="77777777" w:rsidR="00F24946" w:rsidRDefault="00613B06">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1C4A4D61" w14:textId="77777777" w:rsidR="00F24946" w:rsidRDefault="00613B06">
            <w:pPr>
              <w:pStyle w:val="P68B1DB1-Normal8"/>
              <w:spacing w:after="0" w:line="240" w:lineRule="auto"/>
              <w:jc w:val="center"/>
              <w:rPr>
                <w:rFonts w:eastAsia="Times New Roman" w:cs="Calibri"/>
                <w:noProof/>
              </w:rPr>
            </w:pPr>
            <w:r>
              <w:rPr>
                <w:noProof/>
              </w:rPr>
              <w:t xml:space="preserve">Digitalizacija in virtualizacija javnih zbirk </w:t>
            </w:r>
          </w:p>
        </w:tc>
        <w:tc>
          <w:tcPr>
            <w:tcW w:w="1193" w:type="dxa"/>
            <w:shd w:val="clear" w:color="auto" w:fill="C4EFCE"/>
            <w:vAlign w:val="center"/>
            <w:hideMark/>
          </w:tcPr>
          <w:p w14:paraId="69874A18" w14:textId="77777777" w:rsidR="00F24946" w:rsidRDefault="00613B06">
            <w:pPr>
              <w:pStyle w:val="P68B1DB1-Normal8"/>
              <w:spacing w:after="0" w:line="240" w:lineRule="auto"/>
              <w:jc w:val="center"/>
              <w:rPr>
                <w:rFonts w:eastAsia="Times New Roman" w:cs="Calibri"/>
                <w:noProof/>
              </w:rPr>
            </w:pPr>
            <w:r>
              <w:rPr>
                <w:noProof/>
              </w:rPr>
              <w:t>Digitalizacija in virtualizacija javnih zbirk</w:t>
            </w:r>
          </w:p>
        </w:tc>
        <w:tc>
          <w:tcPr>
            <w:tcW w:w="930" w:type="dxa"/>
            <w:shd w:val="clear" w:color="auto" w:fill="C4EFCE"/>
            <w:vAlign w:val="center"/>
            <w:hideMark/>
          </w:tcPr>
          <w:p w14:paraId="06325BFB" w14:textId="77777777" w:rsidR="00F24946" w:rsidRDefault="00613B06">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4FF56D1" w14:textId="77777777" w:rsidR="00F24946" w:rsidRDefault="00613B06">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62B27753" w14:textId="77777777" w:rsidR="00F24946" w:rsidRDefault="00613B06">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3989E77" w14:textId="77777777" w:rsidR="00F24946" w:rsidRDefault="00613B06">
            <w:pPr>
              <w:pStyle w:val="P68B1DB1-Normal8"/>
              <w:spacing w:after="0" w:line="240" w:lineRule="auto"/>
              <w:jc w:val="center"/>
              <w:rPr>
                <w:rFonts w:eastAsia="Times New Roman" w:cs="Calibri"/>
                <w:noProof/>
              </w:rPr>
            </w:pPr>
            <w:r>
              <w:rPr>
                <w:noProof/>
              </w:rPr>
              <w:t>Q4 </w:t>
            </w:r>
          </w:p>
        </w:tc>
        <w:tc>
          <w:tcPr>
            <w:tcW w:w="672" w:type="dxa"/>
            <w:shd w:val="clear" w:color="auto" w:fill="C4EFCE"/>
            <w:vAlign w:val="center"/>
            <w:hideMark/>
          </w:tcPr>
          <w:p w14:paraId="410429FA" w14:textId="77777777" w:rsidR="00F24946" w:rsidRDefault="00613B06">
            <w:pPr>
              <w:pStyle w:val="P68B1DB1-Normal8"/>
              <w:spacing w:after="0" w:line="240" w:lineRule="auto"/>
              <w:jc w:val="center"/>
              <w:rPr>
                <w:rFonts w:eastAsia="Times New Roman" w:cs="Calibri"/>
                <w:noProof/>
              </w:rPr>
            </w:pPr>
            <w:r>
              <w:rPr>
                <w:noProof/>
              </w:rPr>
              <w:t>2025 </w:t>
            </w:r>
          </w:p>
        </w:tc>
        <w:tc>
          <w:tcPr>
            <w:tcW w:w="3756" w:type="dxa"/>
            <w:shd w:val="clear" w:color="auto" w:fill="C4EFCE"/>
            <w:noWrap/>
            <w:vAlign w:val="center"/>
            <w:hideMark/>
          </w:tcPr>
          <w:p w14:paraId="61F98F7A" w14:textId="77777777" w:rsidR="00F24946" w:rsidRDefault="00613B06">
            <w:pPr>
              <w:pStyle w:val="P68B1DB1-Normal8"/>
              <w:spacing w:after="0" w:line="240" w:lineRule="auto"/>
              <w:jc w:val="both"/>
              <w:rPr>
                <w:rFonts w:eastAsia="Times New Roman" w:cs="Calibri"/>
                <w:noProof/>
              </w:rPr>
            </w:pPr>
            <w:r>
              <w:rPr>
                <w:noProof/>
              </w:rPr>
              <w:t>Digitalizacija in virtualizacija zbirk</w:t>
            </w:r>
            <w:bookmarkStart w:id="7" w:name="_Int_JLJ2Ng8K"/>
            <w:r>
              <w:rPr>
                <w:noProof/>
              </w:rPr>
              <w:t>:</w:t>
            </w:r>
            <w:bookmarkEnd w:id="7"/>
            <w:r>
              <w:rPr>
                <w:noProof/>
              </w:rPr>
              <w:t xml:space="preserve"> generalni direktorat za knjige, arhive in knjižnice; </w:t>
            </w:r>
          </w:p>
          <w:p w14:paraId="4D6FD7CE" w14:textId="77777777" w:rsidR="00F24946" w:rsidRDefault="00613B06">
            <w:pPr>
              <w:pStyle w:val="P68B1DB1-Normal8"/>
              <w:spacing w:after="0" w:line="240" w:lineRule="auto"/>
              <w:jc w:val="both"/>
              <w:rPr>
                <w:rFonts w:eastAsia="Times New Roman" w:cs="Calibri"/>
                <w:noProof/>
              </w:rPr>
            </w:pPr>
            <w:r>
              <w:rPr>
                <w:noProof/>
              </w:rPr>
              <w:t xml:space="preserve">Portugalska narodna knjižnica, </w:t>
            </w:r>
          </w:p>
          <w:p w14:paraId="04887855" w14:textId="77777777" w:rsidR="00F24946" w:rsidRDefault="00613B06">
            <w:pPr>
              <w:pStyle w:val="P68B1DB1-Normal8"/>
              <w:spacing w:after="0" w:line="240" w:lineRule="auto"/>
              <w:jc w:val="both"/>
              <w:rPr>
                <w:rFonts w:eastAsia="Times New Roman" w:cs="Calibri"/>
                <w:noProof/>
              </w:rPr>
            </w:pPr>
            <w:r>
              <w:rPr>
                <w:noProof/>
              </w:rPr>
              <w:t>javno knjižnico Évora, </w:t>
            </w:r>
          </w:p>
          <w:p w14:paraId="125C26EB" w14:textId="77777777" w:rsidR="00F24946" w:rsidRDefault="00613B06">
            <w:pPr>
              <w:pStyle w:val="P68B1DB1-Normal8"/>
              <w:spacing w:after="0" w:line="240" w:lineRule="auto"/>
              <w:jc w:val="both"/>
              <w:rPr>
                <w:rFonts w:eastAsia="Times New Roman" w:cs="Calibri"/>
                <w:noProof/>
              </w:rPr>
            </w:pPr>
            <w:r>
              <w:rPr>
                <w:noProof/>
              </w:rPr>
              <w:t>kinematografija in muzeji (pod vodstvom DGPC in regionalnih direktoratov za kulturo)</w:t>
            </w:r>
          </w:p>
          <w:p w14:paraId="4C43F75A" w14:textId="77777777" w:rsidR="00F24946" w:rsidRDefault="00613B06">
            <w:pPr>
              <w:pStyle w:val="P68B1DB1-Normal8"/>
              <w:spacing w:after="0" w:line="240" w:lineRule="auto"/>
              <w:jc w:val="both"/>
              <w:rPr>
                <w:rFonts w:eastAsia="Times New Roman" w:cs="Calibri"/>
                <w:noProof/>
              </w:rPr>
            </w:pPr>
            <w:r>
              <w:rPr>
                <w:noProof/>
              </w:rPr>
              <w:t xml:space="preserve">Javne knjižnice (20000000 slik) </w:t>
            </w:r>
          </w:p>
          <w:p w14:paraId="3A6A5CC5" w14:textId="77777777" w:rsidR="00F24946" w:rsidRDefault="00613B06">
            <w:pPr>
              <w:pStyle w:val="P68B1DB1-Normal8"/>
              <w:spacing w:after="0" w:line="240" w:lineRule="auto"/>
              <w:jc w:val="both"/>
              <w:rPr>
                <w:rFonts w:eastAsia="Times New Roman" w:cs="Calibri"/>
                <w:noProof/>
              </w:rPr>
            </w:pPr>
            <w:r>
              <w:rPr>
                <w:noProof/>
              </w:rPr>
              <w:t xml:space="preserve">Nacionalni arhivi (19500000 dokumentov) </w:t>
            </w:r>
          </w:p>
          <w:p w14:paraId="0C26521C" w14:textId="0DC785F2" w:rsidR="00F24946" w:rsidRDefault="00613B06">
            <w:pPr>
              <w:pStyle w:val="P68B1DB1-Normal8"/>
              <w:spacing w:after="0" w:line="240" w:lineRule="auto"/>
              <w:jc w:val="both"/>
              <w:rPr>
                <w:rFonts w:eastAsia="Times New Roman" w:cs="Calibri"/>
                <w:noProof/>
              </w:rPr>
            </w:pPr>
            <w:r>
              <w:rPr>
                <w:noProof/>
              </w:rPr>
              <w:t>Javni muzeji (59500 zapisov)</w:t>
            </w:r>
          </w:p>
          <w:p w14:paraId="5E5FA37C" w14:textId="77777777" w:rsidR="00F24946" w:rsidRDefault="00613B06">
            <w:pPr>
              <w:pStyle w:val="P68B1DB1-Normal8"/>
              <w:spacing w:after="0" w:line="240" w:lineRule="auto"/>
              <w:jc w:val="both"/>
              <w:rPr>
                <w:rFonts w:eastAsia="Times New Roman" w:cs="Calibri"/>
                <w:noProof/>
              </w:rPr>
            </w:pPr>
            <w:r>
              <w:rPr>
                <w:noProof/>
              </w:rPr>
              <w:t>Virtualni obiski muzejev (65 muzejev)</w:t>
            </w:r>
          </w:p>
          <w:p w14:paraId="4A3AECA6" w14:textId="503848A9" w:rsidR="00F24946" w:rsidRDefault="00613B06">
            <w:pPr>
              <w:pStyle w:val="P68B1DB1-Normal8"/>
              <w:spacing w:after="0" w:line="240" w:lineRule="auto"/>
              <w:jc w:val="both"/>
              <w:rPr>
                <w:rFonts w:eastAsia="Times New Roman" w:cs="Calibri"/>
                <w:noProof/>
              </w:rPr>
            </w:pPr>
            <w:r>
              <w:rPr>
                <w:noProof/>
              </w:rPr>
              <w:t>Kinematografija (1000 filmov)</w:t>
            </w:r>
          </w:p>
          <w:p w14:paraId="57CB2147" w14:textId="0C2B23D7" w:rsidR="00F24946" w:rsidRDefault="00613B06">
            <w:pPr>
              <w:pStyle w:val="P68B1DB1-Normal8"/>
              <w:spacing w:after="0" w:line="240" w:lineRule="auto"/>
              <w:jc w:val="both"/>
              <w:rPr>
                <w:rFonts w:eastAsia="Times New Roman" w:cs="Calibri"/>
                <w:noProof/>
              </w:rPr>
            </w:pPr>
            <w:r>
              <w:rPr>
                <w:noProof/>
              </w:rPr>
              <w:t>Arhivi ponudnikov zgodovinskih medijskih in televizijskih radiodifuzijskih storitev (digitalizirani in dani na voljo javnosti, 45000 ur video kasete)</w:t>
            </w:r>
          </w:p>
        </w:tc>
      </w:tr>
      <w:tr w:rsidR="00F24946" w14:paraId="0744F11D" w14:textId="77777777">
        <w:trPr>
          <w:trHeight w:val="1690"/>
        </w:trPr>
        <w:tc>
          <w:tcPr>
            <w:tcW w:w="1067" w:type="dxa"/>
            <w:shd w:val="clear" w:color="auto" w:fill="C5EFCE"/>
            <w:vAlign w:val="center"/>
            <w:hideMark/>
          </w:tcPr>
          <w:p w14:paraId="01436334" w14:textId="77777777" w:rsidR="00F24946" w:rsidRDefault="00613B06">
            <w:pPr>
              <w:pStyle w:val="P68B1DB1-Normal7"/>
              <w:spacing w:after="0" w:line="240" w:lineRule="auto"/>
              <w:jc w:val="center"/>
              <w:rPr>
                <w:rFonts w:eastAsia="Times New Roman" w:cs="Calibri"/>
                <w:noProof/>
              </w:rPr>
            </w:pPr>
            <w:r>
              <w:rPr>
                <w:noProof/>
              </w:rPr>
              <w:t>4.4</w:t>
            </w:r>
          </w:p>
        </w:tc>
        <w:tc>
          <w:tcPr>
            <w:tcW w:w="1191" w:type="dxa"/>
            <w:shd w:val="clear" w:color="auto" w:fill="C4EFCE"/>
            <w:vAlign w:val="center"/>
            <w:hideMark/>
          </w:tcPr>
          <w:p w14:paraId="1141670F" w14:textId="77777777" w:rsidR="00F24946" w:rsidRDefault="00613B06">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151B6187" w14:textId="77777777" w:rsidR="00F24946" w:rsidRDefault="00613B06">
            <w:pPr>
              <w:pStyle w:val="P68B1DB1-Normal8"/>
              <w:spacing w:after="0" w:line="240" w:lineRule="auto"/>
              <w:jc w:val="center"/>
              <w:rPr>
                <w:rFonts w:eastAsia="Times New Roman" w:cs="Calibri"/>
                <w:noProof/>
              </w:rPr>
            </w:pPr>
            <w:r>
              <w:rPr>
                <w:noProof/>
              </w:rPr>
              <w:t>M</w:t>
            </w:r>
          </w:p>
        </w:tc>
        <w:tc>
          <w:tcPr>
            <w:tcW w:w="1588" w:type="dxa"/>
            <w:shd w:val="clear" w:color="auto" w:fill="C4EFCE"/>
            <w:vAlign w:val="center"/>
            <w:hideMark/>
          </w:tcPr>
          <w:p w14:paraId="56792410" w14:textId="77777777" w:rsidR="00F24946" w:rsidRDefault="00613B06">
            <w:pPr>
              <w:pStyle w:val="P68B1DB1-Normal8"/>
              <w:spacing w:after="0" w:line="240" w:lineRule="auto"/>
              <w:jc w:val="center"/>
              <w:rPr>
                <w:rFonts w:eastAsia="Times New Roman" w:cs="Calibri"/>
                <w:noProof/>
              </w:rPr>
            </w:pPr>
            <w:r>
              <w:rPr>
                <w:noProof/>
              </w:rPr>
              <w:t>Vzpostavitev posodobljene tehnološke infrastrukture za mrežo kulturnih objektov </w:t>
            </w:r>
          </w:p>
        </w:tc>
        <w:tc>
          <w:tcPr>
            <w:tcW w:w="1193" w:type="dxa"/>
            <w:shd w:val="clear" w:color="auto" w:fill="C4EFCE"/>
            <w:vAlign w:val="center"/>
            <w:hideMark/>
          </w:tcPr>
          <w:p w14:paraId="00695BDC" w14:textId="77777777" w:rsidR="00F24946" w:rsidRDefault="00613B06">
            <w:pPr>
              <w:pStyle w:val="P68B1DB1-Normal8"/>
              <w:spacing w:after="0" w:line="240" w:lineRule="auto"/>
              <w:jc w:val="center"/>
              <w:rPr>
                <w:rFonts w:eastAsia="Times New Roman" w:cs="Calibri"/>
                <w:noProof/>
              </w:rPr>
            </w:pPr>
            <w:r>
              <w:rPr>
                <w:noProof/>
              </w:rPr>
              <w:t>Zagotavljanje posodobljene tehnološke infrastrukture za kulturne objekte</w:t>
            </w:r>
          </w:p>
        </w:tc>
        <w:tc>
          <w:tcPr>
            <w:tcW w:w="930" w:type="dxa"/>
            <w:shd w:val="clear" w:color="auto" w:fill="C4EFCE"/>
            <w:vAlign w:val="center"/>
            <w:hideMark/>
          </w:tcPr>
          <w:p w14:paraId="64F5C137" w14:textId="77777777" w:rsidR="00F24946" w:rsidRDefault="00613B06">
            <w:pPr>
              <w:pStyle w:val="P68B1DB1-Normal9"/>
              <w:spacing w:after="0" w:line="240" w:lineRule="auto"/>
              <w:rPr>
                <w:rFonts w:eastAsia="Times New Roman" w:cs="Calibri"/>
                <w:noProof/>
              </w:rPr>
            </w:pPr>
            <w:r>
              <w:rPr>
                <w:noProof/>
              </w:rPr>
              <w:t> </w:t>
            </w:r>
          </w:p>
        </w:tc>
        <w:tc>
          <w:tcPr>
            <w:tcW w:w="1225" w:type="dxa"/>
            <w:shd w:val="clear" w:color="auto" w:fill="C4EFCE"/>
            <w:vAlign w:val="center"/>
            <w:hideMark/>
          </w:tcPr>
          <w:p w14:paraId="430240F6" w14:textId="77777777" w:rsidR="00F24946" w:rsidRDefault="00613B06">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4882E765" w14:textId="77777777" w:rsidR="00F24946" w:rsidRDefault="00613B06">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60F3F936" w14:textId="361C2C84" w:rsidR="00F24946" w:rsidRDefault="00613B06">
            <w:pPr>
              <w:pStyle w:val="P68B1DB1-Normal8"/>
              <w:spacing w:after="0" w:line="240" w:lineRule="auto"/>
              <w:jc w:val="center"/>
              <w:rPr>
                <w:rFonts w:eastAsia="Times New Roman" w:cs="Calibri"/>
                <w:noProof/>
              </w:rPr>
            </w:pPr>
            <w:r>
              <w:rPr>
                <w:noProof/>
              </w:rPr>
              <w:t>ČETRTLETJE 1 </w:t>
            </w:r>
          </w:p>
        </w:tc>
        <w:tc>
          <w:tcPr>
            <w:tcW w:w="672" w:type="dxa"/>
            <w:shd w:val="clear" w:color="auto" w:fill="C4EFCE"/>
            <w:vAlign w:val="center"/>
            <w:hideMark/>
          </w:tcPr>
          <w:p w14:paraId="0AAC7F90" w14:textId="71E4A3EF" w:rsidR="00F24946" w:rsidRDefault="00613B06">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16A65CDB" w14:textId="5B3C9491" w:rsidR="00F24946" w:rsidRDefault="00613B06">
            <w:pPr>
              <w:pStyle w:val="P68B1DB1-Normal8"/>
              <w:spacing w:after="0" w:line="240" w:lineRule="auto"/>
              <w:jc w:val="both"/>
              <w:rPr>
                <w:rFonts w:eastAsia="Times New Roman" w:cs="Calibri"/>
                <w:noProof/>
              </w:rPr>
            </w:pPr>
            <w:r>
              <w:rPr>
                <w:noProof/>
              </w:rPr>
              <w:t>Dobava računalniške opreme ter integriranih informacijskih in kataloških sistemov za 239 javnih knjižnic; pokritost 50 muzejev, palač in spomenikov z brezžičnim omrežjem; nakup video in kinematografske opreme za 155 platišč in javnih sodobnih umetniških centrov.</w:t>
            </w:r>
          </w:p>
        </w:tc>
      </w:tr>
      <w:tr w:rsidR="00F24946" w14:paraId="20E65D52" w14:textId="77777777">
        <w:trPr>
          <w:trHeight w:val="1124"/>
        </w:trPr>
        <w:tc>
          <w:tcPr>
            <w:tcW w:w="1067" w:type="dxa"/>
            <w:shd w:val="clear" w:color="auto" w:fill="C5EFCE"/>
            <w:vAlign w:val="center"/>
            <w:hideMark/>
          </w:tcPr>
          <w:p w14:paraId="7AE297CF" w14:textId="77777777" w:rsidR="00F24946" w:rsidRDefault="00613B06">
            <w:pPr>
              <w:pStyle w:val="P68B1DB1-Normal7"/>
              <w:spacing w:after="0" w:line="240" w:lineRule="auto"/>
              <w:jc w:val="center"/>
              <w:rPr>
                <w:rFonts w:eastAsia="Times New Roman" w:cs="Calibri"/>
                <w:noProof/>
              </w:rPr>
            </w:pPr>
            <w:r>
              <w:rPr>
                <w:noProof/>
              </w:rPr>
              <w:t>4.5</w:t>
            </w:r>
          </w:p>
        </w:tc>
        <w:tc>
          <w:tcPr>
            <w:tcW w:w="1191" w:type="dxa"/>
            <w:shd w:val="clear" w:color="auto" w:fill="C4EFCE"/>
            <w:vAlign w:val="center"/>
            <w:hideMark/>
          </w:tcPr>
          <w:p w14:paraId="61E6DBD4" w14:textId="77777777" w:rsidR="00F24946" w:rsidRDefault="00613B06">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708C4920" w14:textId="77777777" w:rsidR="00F24946" w:rsidRDefault="00613B06">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50DE4D28" w14:textId="77777777" w:rsidR="00F24946" w:rsidRDefault="00613B06">
            <w:pPr>
              <w:pStyle w:val="P68B1DB1-Normal8"/>
              <w:spacing w:after="0" w:line="240" w:lineRule="auto"/>
              <w:jc w:val="center"/>
              <w:rPr>
                <w:rFonts w:eastAsia="Times New Roman" w:cs="Calibri"/>
                <w:noProof/>
              </w:rPr>
            </w:pPr>
            <w:r>
              <w:rPr>
                <w:noProof/>
              </w:rPr>
              <w:t>Finančna podpora za prevajanje in izdajanje književnih del</w:t>
            </w:r>
          </w:p>
        </w:tc>
        <w:tc>
          <w:tcPr>
            <w:tcW w:w="1193" w:type="dxa"/>
            <w:shd w:val="clear" w:color="auto" w:fill="C4EFCE"/>
            <w:vAlign w:val="center"/>
            <w:hideMark/>
          </w:tcPr>
          <w:p w14:paraId="7B42CD2C" w14:textId="77777777" w:rsidR="00F24946" w:rsidRDefault="00613B06">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4CC6026D" w14:textId="77777777" w:rsidR="00F24946" w:rsidRDefault="00613B06">
            <w:pPr>
              <w:pStyle w:val="P68B1DB1-Normal8"/>
              <w:spacing w:after="0" w:line="240" w:lineRule="auto"/>
              <w:jc w:val="center"/>
              <w:rPr>
                <w:rFonts w:eastAsia="Times New Roman" w:cs="Calibri"/>
                <w:noProof/>
              </w:rPr>
            </w:pPr>
            <w:r>
              <w:rPr>
                <w:noProof/>
              </w:rPr>
              <w:t>Število</w:t>
            </w:r>
          </w:p>
        </w:tc>
        <w:tc>
          <w:tcPr>
            <w:tcW w:w="1225" w:type="dxa"/>
            <w:shd w:val="clear" w:color="auto" w:fill="C4EFCE"/>
            <w:vAlign w:val="center"/>
            <w:hideMark/>
          </w:tcPr>
          <w:p w14:paraId="6357E9BC" w14:textId="77777777" w:rsidR="00F24946" w:rsidRDefault="00613B06">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3EAEBED8" w14:textId="77777777" w:rsidR="00F24946" w:rsidRDefault="00613B06">
            <w:pPr>
              <w:pStyle w:val="P68B1DB1-Normal8"/>
              <w:spacing w:after="0" w:line="240" w:lineRule="auto"/>
              <w:jc w:val="center"/>
              <w:rPr>
                <w:rFonts w:eastAsia="Times New Roman" w:cs="Calibri"/>
                <w:noProof/>
              </w:rPr>
            </w:pPr>
            <w:r>
              <w:rPr>
                <w:noProof/>
              </w:rPr>
              <w:t>5 200 </w:t>
            </w:r>
          </w:p>
        </w:tc>
        <w:tc>
          <w:tcPr>
            <w:tcW w:w="539" w:type="dxa"/>
            <w:shd w:val="clear" w:color="auto" w:fill="C4EFCE"/>
            <w:vAlign w:val="center"/>
            <w:hideMark/>
          </w:tcPr>
          <w:p w14:paraId="50DC2D60" w14:textId="77777777" w:rsidR="00F24946" w:rsidRDefault="00613B06">
            <w:pPr>
              <w:pStyle w:val="P68B1DB1-Normal8"/>
              <w:spacing w:after="0" w:line="240" w:lineRule="auto"/>
              <w:jc w:val="center"/>
              <w:rPr>
                <w:rFonts w:eastAsia="Times New Roman" w:cs="Calibri"/>
                <w:noProof/>
              </w:rPr>
            </w:pPr>
            <w:r>
              <w:rPr>
                <w:noProof/>
              </w:rPr>
              <w:t>Q4 </w:t>
            </w:r>
          </w:p>
        </w:tc>
        <w:tc>
          <w:tcPr>
            <w:tcW w:w="672" w:type="dxa"/>
            <w:shd w:val="clear" w:color="auto" w:fill="C4EFCE"/>
            <w:vAlign w:val="center"/>
            <w:hideMark/>
          </w:tcPr>
          <w:p w14:paraId="29C58B9A" w14:textId="77777777" w:rsidR="00F24946" w:rsidRDefault="00613B06">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315D085F" w14:textId="0B09D103" w:rsidR="00F24946" w:rsidRDefault="00F24946">
            <w:pPr>
              <w:spacing w:after="0" w:line="240" w:lineRule="auto"/>
              <w:jc w:val="both"/>
              <w:rPr>
                <w:rFonts w:ascii="Calibri" w:eastAsia="Times New Roman" w:hAnsi="Calibri" w:cs="Calibri"/>
                <w:noProof/>
                <w:sz w:val="16"/>
              </w:rPr>
            </w:pPr>
          </w:p>
          <w:p w14:paraId="1A89509D" w14:textId="1230369A" w:rsidR="00F24946" w:rsidRDefault="00613B06">
            <w:pPr>
              <w:pStyle w:val="P68B1DB1-Normal8"/>
              <w:spacing w:after="0" w:line="240" w:lineRule="auto"/>
              <w:jc w:val="both"/>
              <w:rPr>
                <w:rFonts w:eastAsia="Times New Roman" w:cs="Calibri"/>
                <w:noProof/>
              </w:rPr>
            </w:pPr>
            <w:r>
              <w:rPr>
                <w:noProof/>
              </w:rPr>
              <w:t>Število književnih del, ki so bila finančno podprta za prevajanje in izdajanje književnih del ter izdaje zvočnih knjig in e-knjig s financiranjem 60–70 % stroškov prevajanja in založništva.</w:t>
            </w:r>
          </w:p>
        </w:tc>
      </w:tr>
      <w:tr w:rsidR="00F24946" w14:paraId="69C93F6D" w14:textId="77777777">
        <w:trPr>
          <w:trHeight w:val="1252"/>
        </w:trPr>
        <w:tc>
          <w:tcPr>
            <w:tcW w:w="1067" w:type="dxa"/>
            <w:shd w:val="clear" w:color="auto" w:fill="C5EFCE"/>
            <w:vAlign w:val="center"/>
            <w:hideMark/>
          </w:tcPr>
          <w:p w14:paraId="4136033A" w14:textId="7FAAF2FA" w:rsidR="00F24946" w:rsidRDefault="00613B06">
            <w:pPr>
              <w:pStyle w:val="P68B1DB1-Normal7"/>
              <w:spacing w:line="240" w:lineRule="auto"/>
              <w:jc w:val="center"/>
              <w:rPr>
                <w:rFonts w:eastAsia="Times New Roman" w:cs="Calibri"/>
                <w:noProof/>
              </w:rPr>
            </w:pPr>
            <w:r>
              <w:rPr>
                <w:noProof/>
              </w:rPr>
              <w:t>4.9</w:t>
            </w:r>
          </w:p>
        </w:tc>
        <w:tc>
          <w:tcPr>
            <w:tcW w:w="1191" w:type="dxa"/>
            <w:shd w:val="clear" w:color="auto" w:fill="C4EFCE"/>
            <w:vAlign w:val="center"/>
            <w:hideMark/>
          </w:tcPr>
          <w:p w14:paraId="087D8C01" w14:textId="1509E774" w:rsidR="00F24946" w:rsidRDefault="00613B06">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102CD47A" w14:textId="3BE67781" w:rsidR="00F24946" w:rsidRDefault="00613B06">
            <w:pPr>
              <w:pStyle w:val="P68B1DB1-Normal8"/>
              <w:spacing w:line="240" w:lineRule="auto"/>
              <w:jc w:val="center"/>
              <w:rPr>
                <w:rFonts w:eastAsia="Times New Roman" w:cs="Calibri"/>
                <w:noProof/>
              </w:rPr>
            </w:pPr>
            <w:r>
              <w:rPr>
                <w:noProof/>
              </w:rPr>
              <w:t>M</w:t>
            </w:r>
          </w:p>
        </w:tc>
        <w:tc>
          <w:tcPr>
            <w:tcW w:w="1588" w:type="dxa"/>
            <w:shd w:val="clear" w:color="auto" w:fill="C4EFCE"/>
            <w:vAlign w:val="center"/>
            <w:hideMark/>
          </w:tcPr>
          <w:p w14:paraId="226CD61A" w14:textId="4958D1C6" w:rsidR="00F24946" w:rsidRDefault="00613B06">
            <w:pPr>
              <w:pStyle w:val="P68B1DB1-Normal8"/>
              <w:widowControl w:val="0"/>
              <w:spacing w:before="320" w:after="0" w:line="240" w:lineRule="auto"/>
              <w:jc w:val="center"/>
              <w:rPr>
                <w:rFonts w:eastAsia="Calibri" w:cs="Calibri"/>
                <w:noProof/>
              </w:rPr>
            </w:pPr>
            <w:r>
              <w:rPr>
                <w:noProof/>
              </w:rPr>
              <w:t>Tehnološka posodobitev ANIM – Nacionalni arhiv gibanja</w:t>
            </w:r>
          </w:p>
        </w:tc>
        <w:tc>
          <w:tcPr>
            <w:tcW w:w="1193" w:type="dxa"/>
            <w:shd w:val="clear" w:color="auto" w:fill="C4EFCE"/>
            <w:vAlign w:val="center"/>
            <w:hideMark/>
          </w:tcPr>
          <w:p w14:paraId="36622BAB" w14:textId="2B99FCB6" w:rsidR="00F24946" w:rsidRDefault="00613B06">
            <w:pPr>
              <w:pStyle w:val="P68B1DB1-Normal8"/>
              <w:spacing w:line="240" w:lineRule="auto"/>
              <w:jc w:val="center"/>
              <w:rPr>
                <w:rFonts w:eastAsia="Times New Roman" w:cs="Calibri"/>
                <w:noProof/>
              </w:rPr>
            </w:pPr>
            <w:r>
              <w:rPr>
                <w:noProof/>
              </w:rPr>
              <w:t>Dostava opreme</w:t>
            </w:r>
          </w:p>
        </w:tc>
        <w:tc>
          <w:tcPr>
            <w:tcW w:w="930" w:type="dxa"/>
            <w:shd w:val="clear" w:color="auto" w:fill="C4EFCE"/>
            <w:vAlign w:val="center"/>
            <w:hideMark/>
          </w:tcPr>
          <w:p w14:paraId="50A25E56" w14:textId="4285FAF0" w:rsidR="00F24946" w:rsidRDefault="00F24946">
            <w:pPr>
              <w:spacing w:line="240" w:lineRule="auto"/>
              <w:jc w:val="center"/>
              <w:rPr>
                <w:rFonts w:ascii="Calibri" w:eastAsia="Times New Roman" w:hAnsi="Calibri" w:cs="Calibri"/>
                <w:noProof/>
                <w:sz w:val="16"/>
              </w:rPr>
            </w:pPr>
          </w:p>
        </w:tc>
        <w:tc>
          <w:tcPr>
            <w:tcW w:w="1225" w:type="dxa"/>
            <w:shd w:val="clear" w:color="auto" w:fill="C4EFCE"/>
            <w:vAlign w:val="center"/>
            <w:hideMark/>
          </w:tcPr>
          <w:p w14:paraId="3A7664CF" w14:textId="533FA4EC" w:rsidR="00F24946" w:rsidRDefault="00F24946">
            <w:pPr>
              <w:spacing w:line="240" w:lineRule="auto"/>
              <w:jc w:val="center"/>
              <w:rPr>
                <w:rFonts w:ascii="Calibri" w:eastAsia="Times New Roman" w:hAnsi="Calibri" w:cs="Calibri"/>
                <w:noProof/>
                <w:sz w:val="16"/>
              </w:rPr>
            </w:pPr>
          </w:p>
        </w:tc>
        <w:tc>
          <w:tcPr>
            <w:tcW w:w="671" w:type="dxa"/>
            <w:shd w:val="clear" w:color="auto" w:fill="C4EFCE"/>
            <w:vAlign w:val="center"/>
            <w:hideMark/>
          </w:tcPr>
          <w:p w14:paraId="4B934F52" w14:textId="168F57DB" w:rsidR="00F24946" w:rsidRDefault="00F24946">
            <w:pPr>
              <w:spacing w:line="240" w:lineRule="auto"/>
              <w:jc w:val="center"/>
              <w:rPr>
                <w:rFonts w:ascii="Calibri" w:eastAsia="Times New Roman" w:hAnsi="Calibri" w:cs="Calibri"/>
                <w:noProof/>
                <w:sz w:val="16"/>
              </w:rPr>
            </w:pPr>
          </w:p>
        </w:tc>
        <w:tc>
          <w:tcPr>
            <w:tcW w:w="539" w:type="dxa"/>
            <w:shd w:val="clear" w:color="auto" w:fill="C4EFCE"/>
            <w:vAlign w:val="center"/>
            <w:hideMark/>
          </w:tcPr>
          <w:p w14:paraId="2BB5A574" w14:textId="38582661" w:rsidR="00F24946" w:rsidRDefault="00613B06">
            <w:pPr>
              <w:pStyle w:val="P68B1DB1-Normal8"/>
              <w:spacing w:line="240" w:lineRule="auto"/>
              <w:jc w:val="center"/>
              <w:rPr>
                <w:rFonts w:eastAsia="Times New Roman" w:cs="Calibri"/>
                <w:noProof/>
              </w:rPr>
            </w:pPr>
            <w:r>
              <w:rPr>
                <w:noProof/>
              </w:rPr>
              <w:t>Q3</w:t>
            </w:r>
          </w:p>
        </w:tc>
        <w:tc>
          <w:tcPr>
            <w:tcW w:w="672" w:type="dxa"/>
            <w:shd w:val="clear" w:color="auto" w:fill="C4EFCE"/>
            <w:vAlign w:val="center"/>
            <w:hideMark/>
          </w:tcPr>
          <w:p w14:paraId="4FE4F2D2" w14:textId="215CF13E" w:rsidR="00F24946" w:rsidRDefault="00613B06">
            <w:pPr>
              <w:pStyle w:val="P68B1DB1-Normal8"/>
              <w:spacing w:line="240" w:lineRule="auto"/>
              <w:jc w:val="center"/>
              <w:rPr>
                <w:rFonts w:eastAsia="Times New Roman" w:cs="Calibri"/>
                <w:noProof/>
              </w:rPr>
            </w:pPr>
            <w:r>
              <w:rPr>
                <w:noProof/>
              </w:rPr>
              <w:t>2023</w:t>
            </w:r>
          </w:p>
        </w:tc>
        <w:tc>
          <w:tcPr>
            <w:tcW w:w="3756" w:type="dxa"/>
            <w:shd w:val="clear" w:color="auto" w:fill="C4EFCE"/>
            <w:vAlign w:val="center"/>
            <w:hideMark/>
          </w:tcPr>
          <w:p w14:paraId="0A05C053" w14:textId="1A2F05CC" w:rsidR="00F24946" w:rsidRDefault="00613B06">
            <w:pPr>
              <w:pStyle w:val="P68B1DB1-Normal8"/>
              <w:spacing w:before="40" w:after="160" w:line="240" w:lineRule="auto"/>
              <w:contextualSpacing/>
              <w:jc w:val="both"/>
              <w:rPr>
                <w:rFonts w:eastAsia="Calibri" w:cs="Calibri"/>
                <w:noProof/>
              </w:rPr>
            </w:pPr>
            <w:r>
              <w:rPr>
                <w:noProof/>
              </w:rPr>
              <w:t>Dobava opreme za tehnološko posodobitev nacionalnega arhiva premikajočih se posnetkov.</w:t>
            </w:r>
          </w:p>
        </w:tc>
      </w:tr>
      <w:tr w:rsidR="00F24946" w14:paraId="7A6F89CA" w14:textId="77777777">
        <w:trPr>
          <w:trHeight w:val="1883"/>
        </w:trPr>
        <w:tc>
          <w:tcPr>
            <w:tcW w:w="1067" w:type="dxa"/>
            <w:shd w:val="clear" w:color="auto" w:fill="C5EFCE"/>
            <w:vAlign w:val="center"/>
            <w:hideMark/>
          </w:tcPr>
          <w:p w14:paraId="0F231483" w14:textId="3BD0B995" w:rsidR="00F24946" w:rsidRDefault="00613B06">
            <w:pPr>
              <w:pStyle w:val="P68B1DB1-Normal7"/>
              <w:spacing w:line="240" w:lineRule="auto"/>
              <w:jc w:val="center"/>
              <w:rPr>
                <w:rFonts w:eastAsia="Times New Roman" w:cs="Calibri"/>
                <w:noProof/>
              </w:rPr>
            </w:pPr>
            <w:r>
              <w:rPr>
                <w:noProof/>
              </w:rPr>
              <w:t>4.10</w:t>
            </w:r>
          </w:p>
        </w:tc>
        <w:tc>
          <w:tcPr>
            <w:tcW w:w="1191" w:type="dxa"/>
            <w:shd w:val="clear" w:color="auto" w:fill="C4EFCE"/>
            <w:vAlign w:val="center"/>
            <w:hideMark/>
          </w:tcPr>
          <w:p w14:paraId="3A7259C4" w14:textId="3A73E587" w:rsidR="00F24946" w:rsidRDefault="00613B06">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707B69E4" w14:textId="522C4E35" w:rsidR="00F24946" w:rsidRDefault="00613B06">
            <w:pPr>
              <w:pStyle w:val="P68B1DB1-Normal8"/>
              <w:spacing w:line="240" w:lineRule="auto"/>
              <w:jc w:val="center"/>
              <w:rPr>
                <w:rFonts w:eastAsia="Times New Roman" w:cs="Calibri"/>
                <w:noProof/>
              </w:rPr>
            </w:pPr>
            <w:r>
              <w:rPr>
                <w:noProof/>
              </w:rPr>
              <w:t>T</w:t>
            </w:r>
          </w:p>
        </w:tc>
        <w:tc>
          <w:tcPr>
            <w:tcW w:w="1588" w:type="dxa"/>
            <w:shd w:val="clear" w:color="auto" w:fill="C4EFCE"/>
            <w:vAlign w:val="center"/>
            <w:hideMark/>
          </w:tcPr>
          <w:p w14:paraId="600DDD24" w14:textId="12D6D904" w:rsidR="00F24946" w:rsidRDefault="00613B06">
            <w:pPr>
              <w:pStyle w:val="P68B1DB1-Normal8"/>
              <w:widowControl w:val="0"/>
              <w:spacing w:before="320" w:after="0" w:line="240" w:lineRule="auto"/>
              <w:jc w:val="center"/>
              <w:rPr>
                <w:rFonts w:eastAsia="Calibri" w:cs="Calibri"/>
                <w:noProof/>
              </w:rPr>
            </w:pPr>
            <w:r>
              <w:rPr>
                <w:noProof/>
              </w:rPr>
              <w:t>Dobava opreme za namestitev nacionalnega loka zvoka in za tehnološko posodobitev javnih laboratorijev</w:t>
            </w:r>
          </w:p>
        </w:tc>
        <w:tc>
          <w:tcPr>
            <w:tcW w:w="1193" w:type="dxa"/>
            <w:shd w:val="clear" w:color="auto" w:fill="C4EFCE"/>
            <w:vAlign w:val="center"/>
            <w:hideMark/>
          </w:tcPr>
          <w:p w14:paraId="3916C5A9" w14:textId="2EEBDAB8" w:rsidR="00F24946" w:rsidRDefault="00F24946">
            <w:pPr>
              <w:spacing w:line="240" w:lineRule="auto"/>
              <w:jc w:val="center"/>
              <w:rPr>
                <w:rFonts w:ascii="Calibri" w:eastAsia="Times New Roman" w:hAnsi="Calibri" w:cs="Calibri"/>
                <w:noProof/>
                <w:sz w:val="16"/>
              </w:rPr>
            </w:pPr>
          </w:p>
        </w:tc>
        <w:tc>
          <w:tcPr>
            <w:tcW w:w="930" w:type="dxa"/>
            <w:shd w:val="clear" w:color="auto" w:fill="C4EFCE"/>
            <w:vAlign w:val="center"/>
            <w:hideMark/>
          </w:tcPr>
          <w:p w14:paraId="3EC993CE" w14:textId="4B407D21" w:rsidR="00F24946" w:rsidRDefault="00613B06">
            <w:pPr>
              <w:pStyle w:val="P68B1DB1-Normal8"/>
              <w:spacing w:line="240" w:lineRule="auto"/>
              <w:jc w:val="center"/>
              <w:rPr>
                <w:rFonts w:eastAsia="Times New Roman" w:cs="Calibri"/>
                <w:noProof/>
              </w:rPr>
            </w:pPr>
            <w:r>
              <w:rPr>
                <w:noProof/>
              </w:rPr>
              <w:t>Število</w:t>
            </w:r>
          </w:p>
        </w:tc>
        <w:tc>
          <w:tcPr>
            <w:tcW w:w="1225" w:type="dxa"/>
            <w:shd w:val="clear" w:color="auto" w:fill="C4EFCE"/>
            <w:vAlign w:val="center"/>
            <w:hideMark/>
          </w:tcPr>
          <w:p w14:paraId="40DF9AC1" w14:textId="69274E4F" w:rsidR="00F24946" w:rsidRDefault="00613B06">
            <w:pPr>
              <w:pStyle w:val="P68B1DB1-Normal8"/>
              <w:spacing w:line="240" w:lineRule="auto"/>
              <w:jc w:val="center"/>
              <w:rPr>
                <w:rFonts w:eastAsia="Times New Roman" w:cs="Calibri"/>
                <w:noProof/>
              </w:rPr>
            </w:pPr>
            <w:r>
              <w:rPr>
                <w:noProof/>
              </w:rPr>
              <w:t>0</w:t>
            </w:r>
          </w:p>
        </w:tc>
        <w:tc>
          <w:tcPr>
            <w:tcW w:w="671" w:type="dxa"/>
            <w:shd w:val="clear" w:color="auto" w:fill="C4EFCE"/>
            <w:vAlign w:val="center"/>
            <w:hideMark/>
          </w:tcPr>
          <w:p w14:paraId="706ECCC2" w14:textId="057ADB86" w:rsidR="00F24946" w:rsidRDefault="00613B06">
            <w:pPr>
              <w:pStyle w:val="P68B1DB1-Normal8"/>
              <w:spacing w:line="240" w:lineRule="auto"/>
              <w:jc w:val="center"/>
              <w:rPr>
                <w:rFonts w:eastAsia="Times New Roman" w:cs="Calibri"/>
                <w:noProof/>
              </w:rPr>
            </w:pPr>
            <w:r>
              <w:rPr>
                <w:noProof/>
              </w:rPr>
              <w:t>5</w:t>
            </w:r>
          </w:p>
        </w:tc>
        <w:tc>
          <w:tcPr>
            <w:tcW w:w="539" w:type="dxa"/>
            <w:shd w:val="clear" w:color="auto" w:fill="C4EFCE"/>
            <w:vAlign w:val="center"/>
            <w:hideMark/>
          </w:tcPr>
          <w:p w14:paraId="03E2A86D" w14:textId="0364350D" w:rsidR="00F24946" w:rsidRDefault="00613B06">
            <w:pPr>
              <w:pStyle w:val="P68B1DB1-Normal8"/>
              <w:spacing w:line="240" w:lineRule="auto"/>
              <w:jc w:val="center"/>
              <w:rPr>
                <w:rFonts w:eastAsia="Times New Roman" w:cs="Calibri"/>
                <w:noProof/>
              </w:rPr>
            </w:pPr>
            <w:r>
              <w:rPr>
                <w:noProof/>
              </w:rPr>
              <w:t>ČETRTLETJE 1</w:t>
            </w:r>
          </w:p>
        </w:tc>
        <w:tc>
          <w:tcPr>
            <w:tcW w:w="672" w:type="dxa"/>
            <w:shd w:val="clear" w:color="auto" w:fill="C4EFCE"/>
            <w:vAlign w:val="center"/>
            <w:hideMark/>
          </w:tcPr>
          <w:p w14:paraId="217FE2C8" w14:textId="0B333ABA" w:rsidR="00F24946" w:rsidRDefault="00613B06">
            <w:pPr>
              <w:pStyle w:val="P68B1DB1-Normal8"/>
              <w:spacing w:line="240" w:lineRule="auto"/>
              <w:jc w:val="center"/>
              <w:rPr>
                <w:rFonts w:eastAsia="Times New Roman" w:cs="Calibri"/>
                <w:noProof/>
              </w:rPr>
            </w:pPr>
            <w:r>
              <w:rPr>
                <w:noProof/>
              </w:rPr>
              <w:t>2026</w:t>
            </w:r>
          </w:p>
        </w:tc>
        <w:tc>
          <w:tcPr>
            <w:tcW w:w="3756" w:type="dxa"/>
            <w:shd w:val="clear" w:color="auto" w:fill="C4EFCE"/>
            <w:vAlign w:val="center"/>
            <w:hideMark/>
          </w:tcPr>
          <w:p w14:paraId="752F7E82" w14:textId="604FBA79" w:rsidR="00F24946" w:rsidRDefault="00613B06">
            <w:pPr>
              <w:pStyle w:val="P68B1DB1-Normal8"/>
              <w:widowControl w:val="0"/>
              <w:spacing w:after="160" w:line="240" w:lineRule="auto"/>
              <w:rPr>
                <w:rFonts w:eastAsia="Calibri" w:cs="Calibri"/>
                <w:noProof/>
              </w:rPr>
            </w:pPr>
            <w:r>
              <w:rPr>
                <w:noProof/>
              </w:rPr>
              <w:t>Število stavb in laboratorijev, za katere je bila dobavljena oprema (nacionalni arhiv zvoka in javni laboratoriji: José Figueiredo Laboratory, CNANS, LARQ in Forte de Sacavém).</w:t>
            </w:r>
          </w:p>
        </w:tc>
      </w:tr>
      <w:tr w:rsidR="00F24946" w14:paraId="6CE186ED" w14:textId="77777777">
        <w:trPr>
          <w:trHeight w:val="2740"/>
        </w:trPr>
        <w:tc>
          <w:tcPr>
            <w:tcW w:w="1067" w:type="dxa"/>
            <w:shd w:val="clear" w:color="auto" w:fill="C5EFCE"/>
            <w:vAlign w:val="center"/>
            <w:hideMark/>
          </w:tcPr>
          <w:p w14:paraId="4096D4CD" w14:textId="77777777" w:rsidR="00F24946" w:rsidRDefault="00613B06">
            <w:pPr>
              <w:pStyle w:val="P68B1DB1-Normal7"/>
              <w:spacing w:after="0" w:line="240" w:lineRule="auto"/>
              <w:jc w:val="center"/>
              <w:rPr>
                <w:rFonts w:eastAsia="Times New Roman" w:cs="Calibri"/>
                <w:noProof/>
              </w:rPr>
            </w:pPr>
            <w:r>
              <w:rPr>
                <w:noProof/>
              </w:rPr>
              <w:t>4.6</w:t>
            </w:r>
          </w:p>
        </w:tc>
        <w:tc>
          <w:tcPr>
            <w:tcW w:w="1191" w:type="dxa"/>
            <w:shd w:val="clear" w:color="auto" w:fill="C4EFCE"/>
            <w:vAlign w:val="center"/>
            <w:hideMark/>
          </w:tcPr>
          <w:p w14:paraId="756E9748" w14:textId="77777777" w:rsidR="00F24946" w:rsidRDefault="00613B06">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EAEAB0E" w14:textId="77777777" w:rsidR="00F24946" w:rsidRDefault="00613B06">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7DE50256" w14:textId="77777777" w:rsidR="00F24946" w:rsidRDefault="00613B06">
            <w:pPr>
              <w:pStyle w:val="P68B1DB1-Normal8"/>
              <w:spacing w:after="0" w:line="240" w:lineRule="auto"/>
              <w:jc w:val="center"/>
              <w:rPr>
                <w:rFonts w:eastAsia="Times New Roman" w:cs="Calibri"/>
                <w:noProof/>
              </w:rPr>
            </w:pPr>
            <w:r>
              <w:rPr>
                <w:noProof/>
              </w:rPr>
              <w:t>Vzpostavitev mreže „Saber Fazer“ </w:t>
            </w:r>
          </w:p>
        </w:tc>
        <w:tc>
          <w:tcPr>
            <w:tcW w:w="1193" w:type="dxa"/>
            <w:shd w:val="clear" w:color="auto" w:fill="C4EFCE"/>
            <w:vAlign w:val="center"/>
            <w:hideMark/>
          </w:tcPr>
          <w:p w14:paraId="55979DAB" w14:textId="7F73E08D" w:rsidR="00F24946" w:rsidRDefault="00613B06">
            <w:pPr>
              <w:pStyle w:val="P68B1DB1-Normal8"/>
              <w:spacing w:after="0" w:line="240" w:lineRule="auto"/>
              <w:jc w:val="center"/>
              <w:rPr>
                <w:rFonts w:eastAsia="Times New Roman" w:cs="Calibri"/>
                <w:noProof/>
              </w:rPr>
            </w:pPr>
            <w:r>
              <w:rPr>
                <w:noProof/>
              </w:rPr>
              <w:t xml:space="preserve">Vzpostavitev odložišča informacij in dokumentacije o domači obrtni proizvodnji, identifikaciji in kartiranju surovin </w:t>
            </w:r>
          </w:p>
        </w:tc>
        <w:tc>
          <w:tcPr>
            <w:tcW w:w="930" w:type="dxa"/>
            <w:shd w:val="clear" w:color="auto" w:fill="C4EFCE"/>
            <w:vAlign w:val="center"/>
            <w:hideMark/>
          </w:tcPr>
          <w:p w14:paraId="34888FD9" w14:textId="77777777" w:rsidR="00F24946" w:rsidRDefault="00613B06">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760352CB" w14:textId="77777777" w:rsidR="00F24946" w:rsidRDefault="00613B06">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788C2337" w14:textId="77777777" w:rsidR="00F24946" w:rsidRDefault="00613B06">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332FDD5B" w14:textId="77777777" w:rsidR="00F24946" w:rsidRDefault="00613B06">
            <w:pPr>
              <w:pStyle w:val="P68B1DB1-Normal8"/>
              <w:spacing w:after="0" w:line="240" w:lineRule="auto"/>
              <w:jc w:val="center"/>
              <w:rPr>
                <w:rFonts w:eastAsia="Times New Roman" w:cs="Calibri"/>
                <w:noProof/>
              </w:rPr>
            </w:pPr>
            <w:r>
              <w:rPr>
                <w:noProof/>
              </w:rPr>
              <w:t>Q4 </w:t>
            </w:r>
          </w:p>
        </w:tc>
        <w:tc>
          <w:tcPr>
            <w:tcW w:w="672" w:type="dxa"/>
            <w:shd w:val="clear" w:color="auto" w:fill="C4EFCE"/>
            <w:vAlign w:val="center"/>
            <w:hideMark/>
          </w:tcPr>
          <w:p w14:paraId="4E4BC6F2" w14:textId="77777777" w:rsidR="00F24946" w:rsidRDefault="00613B06">
            <w:pPr>
              <w:pStyle w:val="P68B1DB1-Normal8"/>
              <w:spacing w:after="0" w:line="240" w:lineRule="auto"/>
              <w:jc w:val="center"/>
              <w:rPr>
                <w:rFonts w:eastAsia="Times New Roman" w:cs="Calibri"/>
                <w:noProof/>
              </w:rPr>
            </w:pPr>
            <w:r>
              <w:rPr>
                <w:noProof/>
              </w:rPr>
              <w:t>2022 </w:t>
            </w:r>
          </w:p>
        </w:tc>
        <w:tc>
          <w:tcPr>
            <w:tcW w:w="3756" w:type="dxa"/>
            <w:shd w:val="clear" w:color="auto" w:fill="C4EFCE"/>
            <w:vAlign w:val="center"/>
            <w:hideMark/>
          </w:tcPr>
          <w:p w14:paraId="4C1C186A" w14:textId="77777777" w:rsidR="00F24946" w:rsidRDefault="00613B06">
            <w:pPr>
              <w:pStyle w:val="P68B1DB1-Normal8"/>
              <w:spacing w:after="0" w:line="240" w:lineRule="auto"/>
              <w:jc w:val="both"/>
              <w:rPr>
                <w:rFonts w:eastAsia="Times New Roman" w:cs="Calibri"/>
                <w:noProof/>
              </w:rPr>
            </w:pPr>
            <w:r>
              <w:rPr>
                <w:noProof/>
              </w:rPr>
              <w:t>Vzpostavitev mreže „Saber Fazer“: vzpostavitev odložišča informacij in dokumentacije o domači obrtni proizvodnji; ter opredelitev in kartiranje surovin, ki se uporabljajo v obrtni proizvodnji.</w:t>
            </w:r>
          </w:p>
        </w:tc>
      </w:tr>
      <w:tr w:rsidR="00F24946" w14:paraId="35C27186" w14:textId="77777777">
        <w:trPr>
          <w:trHeight w:val="1492"/>
        </w:trPr>
        <w:tc>
          <w:tcPr>
            <w:tcW w:w="1067" w:type="dxa"/>
            <w:shd w:val="clear" w:color="auto" w:fill="C5EFCE"/>
            <w:vAlign w:val="center"/>
            <w:hideMark/>
          </w:tcPr>
          <w:p w14:paraId="23022BEF" w14:textId="77777777" w:rsidR="00F24946" w:rsidRDefault="00613B06">
            <w:pPr>
              <w:pStyle w:val="P68B1DB1-Normal7"/>
              <w:spacing w:after="0" w:line="240" w:lineRule="auto"/>
              <w:jc w:val="center"/>
              <w:rPr>
                <w:rFonts w:eastAsia="Times New Roman" w:cs="Calibri"/>
                <w:noProof/>
              </w:rPr>
            </w:pPr>
            <w:r>
              <w:rPr>
                <w:noProof/>
              </w:rPr>
              <w:t>4.7</w:t>
            </w:r>
          </w:p>
        </w:tc>
        <w:tc>
          <w:tcPr>
            <w:tcW w:w="1191" w:type="dxa"/>
            <w:shd w:val="clear" w:color="auto" w:fill="C4EFCE"/>
            <w:vAlign w:val="center"/>
            <w:hideMark/>
          </w:tcPr>
          <w:p w14:paraId="255C30CA" w14:textId="77777777" w:rsidR="00F24946" w:rsidRDefault="00613B06">
            <w:pPr>
              <w:pStyle w:val="P68B1DB1-Normal8"/>
              <w:spacing w:after="0" w:line="240" w:lineRule="auto"/>
              <w:jc w:val="center"/>
              <w:rPr>
                <w:rFonts w:eastAsia="Times New Roman" w:cs="Calibri"/>
                <w:noProof/>
              </w:rPr>
            </w:pPr>
            <w:r>
              <w:rPr>
                <w:noProof/>
              </w:rPr>
              <w:t xml:space="preserve">Re-C04-i02  </w:t>
            </w:r>
          </w:p>
        </w:tc>
        <w:tc>
          <w:tcPr>
            <w:tcW w:w="1060" w:type="dxa"/>
            <w:shd w:val="clear" w:color="auto" w:fill="C4EFCE"/>
            <w:vAlign w:val="center"/>
            <w:hideMark/>
          </w:tcPr>
          <w:p w14:paraId="5CC87B5D" w14:textId="77777777" w:rsidR="00F24946" w:rsidRDefault="00613B06">
            <w:pPr>
              <w:pStyle w:val="P68B1DB1-Normal8"/>
              <w:spacing w:after="0" w:line="240" w:lineRule="auto"/>
              <w:jc w:val="center"/>
              <w:rPr>
                <w:rFonts w:eastAsia="Times New Roman" w:cs="Calibri"/>
                <w:noProof/>
              </w:rPr>
            </w:pPr>
            <w:r>
              <w:rPr>
                <w:noProof/>
              </w:rPr>
              <w:t>T</w:t>
            </w:r>
          </w:p>
        </w:tc>
        <w:tc>
          <w:tcPr>
            <w:tcW w:w="1588" w:type="dxa"/>
            <w:shd w:val="clear" w:color="auto" w:fill="C4EFCE"/>
            <w:vAlign w:val="center"/>
            <w:hideMark/>
          </w:tcPr>
          <w:p w14:paraId="123191A7" w14:textId="77777777" w:rsidR="00F24946" w:rsidRDefault="00613B06">
            <w:pPr>
              <w:pStyle w:val="P68B1DB1-Normal8"/>
              <w:spacing w:after="0" w:line="240" w:lineRule="auto"/>
              <w:jc w:val="center"/>
              <w:rPr>
                <w:rFonts w:eastAsia="Times New Roman" w:cs="Calibri"/>
                <w:noProof/>
              </w:rPr>
            </w:pPr>
            <w:r>
              <w:rPr>
                <w:noProof/>
              </w:rPr>
              <w:t>Podpisane pogodbe za sanacijo in ohranjanje stavb kulturne dediščine in nacionalnih gledališča</w:t>
            </w:r>
          </w:p>
        </w:tc>
        <w:tc>
          <w:tcPr>
            <w:tcW w:w="1193" w:type="dxa"/>
            <w:shd w:val="clear" w:color="auto" w:fill="C4EFCE"/>
            <w:vAlign w:val="center"/>
            <w:hideMark/>
          </w:tcPr>
          <w:p w14:paraId="12AD789B" w14:textId="77777777" w:rsidR="00F24946" w:rsidRDefault="00613B06">
            <w:pPr>
              <w:pStyle w:val="P68B1DB1-Normal8"/>
              <w:spacing w:after="0" w:line="240" w:lineRule="auto"/>
              <w:rPr>
                <w:rFonts w:eastAsia="Times New Roman" w:cs="Calibri"/>
                <w:noProof/>
              </w:rPr>
            </w:pPr>
            <w:r>
              <w:rPr>
                <w:noProof/>
              </w:rPr>
              <w:t>Podpisane pogodbe</w:t>
            </w:r>
          </w:p>
        </w:tc>
        <w:tc>
          <w:tcPr>
            <w:tcW w:w="930" w:type="dxa"/>
            <w:shd w:val="clear" w:color="auto" w:fill="C4EFCE"/>
            <w:vAlign w:val="center"/>
            <w:hideMark/>
          </w:tcPr>
          <w:p w14:paraId="23F889FB" w14:textId="77777777" w:rsidR="00F24946" w:rsidRDefault="00613B06">
            <w:pPr>
              <w:pStyle w:val="P68B1DB1-Normal8"/>
              <w:spacing w:after="0" w:line="240" w:lineRule="auto"/>
              <w:jc w:val="center"/>
              <w:rPr>
                <w:rFonts w:eastAsia="Times New Roman" w:cs="Calibri"/>
                <w:noProof/>
              </w:rPr>
            </w:pPr>
            <w:r>
              <w:rPr>
                <w:noProof/>
              </w:rPr>
              <w:t>Število</w:t>
            </w:r>
          </w:p>
        </w:tc>
        <w:tc>
          <w:tcPr>
            <w:tcW w:w="1225" w:type="dxa"/>
            <w:shd w:val="clear" w:color="auto" w:fill="C4EFCE"/>
            <w:vAlign w:val="center"/>
            <w:hideMark/>
          </w:tcPr>
          <w:p w14:paraId="10D23A74" w14:textId="77777777" w:rsidR="00F24946" w:rsidRDefault="00613B06">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6C192691" w14:textId="77777777" w:rsidR="00F24946" w:rsidRDefault="00613B06">
            <w:pPr>
              <w:pStyle w:val="P68B1DB1-Normal8"/>
              <w:spacing w:after="0" w:line="240" w:lineRule="auto"/>
              <w:jc w:val="center"/>
              <w:rPr>
                <w:rFonts w:eastAsia="Times New Roman" w:cs="Calibri"/>
                <w:noProof/>
              </w:rPr>
            </w:pPr>
            <w:r>
              <w:rPr>
                <w:noProof/>
              </w:rPr>
              <w:t>49</w:t>
            </w:r>
          </w:p>
        </w:tc>
        <w:tc>
          <w:tcPr>
            <w:tcW w:w="539" w:type="dxa"/>
            <w:shd w:val="clear" w:color="auto" w:fill="C4EFCE"/>
            <w:vAlign w:val="center"/>
            <w:hideMark/>
          </w:tcPr>
          <w:p w14:paraId="1BE96BE2" w14:textId="77777777" w:rsidR="00F24946" w:rsidRDefault="00613B06">
            <w:pPr>
              <w:pStyle w:val="P68B1DB1-Normal8"/>
              <w:spacing w:after="0" w:line="240" w:lineRule="auto"/>
              <w:jc w:val="center"/>
              <w:rPr>
                <w:rFonts w:eastAsia="Times New Roman" w:cs="Calibri"/>
                <w:noProof/>
              </w:rPr>
            </w:pPr>
            <w:r>
              <w:rPr>
                <w:noProof/>
              </w:rPr>
              <w:t>Q3</w:t>
            </w:r>
          </w:p>
        </w:tc>
        <w:tc>
          <w:tcPr>
            <w:tcW w:w="672" w:type="dxa"/>
            <w:shd w:val="clear" w:color="auto" w:fill="C4EFCE"/>
            <w:vAlign w:val="center"/>
            <w:hideMark/>
          </w:tcPr>
          <w:p w14:paraId="64DC8375" w14:textId="77777777" w:rsidR="00F24946" w:rsidRDefault="00613B06">
            <w:pPr>
              <w:pStyle w:val="P68B1DB1-Normal8"/>
              <w:spacing w:after="0" w:line="240" w:lineRule="auto"/>
              <w:jc w:val="center"/>
              <w:rPr>
                <w:rFonts w:eastAsia="Times New Roman" w:cs="Calibri"/>
                <w:noProof/>
              </w:rPr>
            </w:pPr>
            <w:r>
              <w:rPr>
                <w:noProof/>
              </w:rPr>
              <w:t>2023</w:t>
            </w:r>
          </w:p>
        </w:tc>
        <w:tc>
          <w:tcPr>
            <w:tcW w:w="3756" w:type="dxa"/>
            <w:shd w:val="clear" w:color="auto" w:fill="C4EFCE"/>
            <w:vAlign w:val="center"/>
            <w:hideMark/>
          </w:tcPr>
          <w:p w14:paraId="7AAC0ED8" w14:textId="3E3946FA" w:rsidR="00F24946" w:rsidRDefault="00613B06">
            <w:pPr>
              <w:pStyle w:val="P68B1DB1-Normal8"/>
              <w:spacing w:after="0" w:line="240" w:lineRule="auto"/>
              <w:jc w:val="both"/>
              <w:rPr>
                <w:rFonts w:eastAsia="Times New Roman" w:cs="Calibri"/>
                <w:noProof/>
              </w:rPr>
            </w:pPr>
            <w:r>
              <w:rPr>
                <w:noProof/>
              </w:rPr>
              <w:t>Število kulturnih znamenitosti, za katere so podpisane pogodbe za sanacijo in ohranjanje muzejev, spomenikov, državnih palač in nacionalnih gledališča.</w:t>
            </w:r>
          </w:p>
        </w:tc>
      </w:tr>
      <w:tr w:rsidR="00F24946" w14:paraId="21A4EBFD" w14:textId="77777777">
        <w:trPr>
          <w:trHeight w:val="1691"/>
        </w:trPr>
        <w:tc>
          <w:tcPr>
            <w:tcW w:w="1067" w:type="dxa"/>
            <w:shd w:val="clear" w:color="auto" w:fill="C5EFCE"/>
            <w:vAlign w:val="center"/>
            <w:hideMark/>
          </w:tcPr>
          <w:p w14:paraId="53135006" w14:textId="77777777" w:rsidR="00F24946" w:rsidRDefault="00613B06">
            <w:pPr>
              <w:pStyle w:val="P68B1DB1-Normal7"/>
              <w:spacing w:after="0" w:line="240" w:lineRule="auto"/>
              <w:jc w:val="center"/>
              <w:rPr>
                <w:rFonts w:eastAsia="Times New Roman" w:cs="Calibri"/>
                <w:noProof/>
              </w:rPr>
            </w:pPr>
            <w:r>
              <w:rPr>
                <w:noProof/>
              </w:rPr>
              <w:t>4.8</w:t>
            </w:r>
          </w:p>
        </w:tc>
        <w:tc>
          <w:tcPr>
            <w:tcW w:w="1191" w:type="dxa"/>
            <w:shd w:val="clear" w:color="auto" w:fill="C4EFCE"/>
            <w:vAlign w:val="center"/>
            <w:hideMark/>
          </w:tcPr>
          <w:p w14:paraId="26F1C65B" w14:textId="77777777" w:rsidR="00F24946" w:rsidRDefault="00613B06">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453522C" w14:textId="77777777" w:rsidR="00F24946" w:rsidRDefault="00613B06">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2B8435E8" w14:textId="2A41D561" w:rsidR="00F24946" w:rsidRDefault="00613B06">
            <w:pPr>
              <w:pStyle w:val="P68B1DB1-Normal8"/>
              <w:spacing w:after="0" w:line="240" w:lineRule="auto"/>
              <w:jc w:val="center"/>
              <w:rPr>
                <w:rFonts w:eastAsia="Times New Roman" w:cs="Calibri"/>
                <w:noProof/>
              </w:rPr>
            </w:pPr>
            <w:r>
              <w:rPr>
                <w:noProof/>
              </w:rPr>
              <w:t xml:space="preserve">Končana dela za sanacijo in ohranjanje stavb kulturne dediščine in nacionalnih gledališč </w:t>
            </w:r>
          </w:p>
        </w:tc>
        <w:tc>
          <w:tcPr>
            <w:tcW w:w="1193" w:type="dxa"/>
            <w:shd w:val="clear" w:color="auto" w:fill="C4EFCE"/>
            <w:vAlign w:val="center"/>
            <w:hideMark/>
          </w:tcPr>
          <w:p w14:paraId="0A14C98B" w14:textId="77777777" w:rsidR="00F24946" w:rsidRDefault="00613B06">
            <w:pPr>
              <w:pStyle w:val="P68B1DB1-Normal8"/>
              <w:spacing w:after="0" w:line="240" w:lineRule="auto"/>
              <w:rPr>
                <w:rFonts w:eastAsia="Times New Roman" w:cs="Calibri"/>
                <w:noProof/>
              </w:rPr>
            </w:pPr>
            <w:r>
              <w:rPr>
                <w:noProof/>
              </w:rPr>
              <w:t>Dokončanje del</w:t>
            </w:r>
          </w:p>
        </w:tc>
        <w:tc>
          <w:tcPr>
            <w:tcW w:w="930" w:type="dxa"/>
            <w:shd w:val="clear" w:color="auto" w:fill="C4EFCE"/>
            <w:vAlign w:val="center"/>
            <w:hideMark/>
          </w:tcPr>
          <w:p w14:paraId="5A849F2E" w14:textId="77777777" w:rsidR="00F24946" w:rsidRDefault="00613B06">
            <w:pPr>
              <w:pStyle w:val="P68B1DB1-Normal8"/>
              <w:spacing w:after="0" w:line="240" w:lineRule="auto"/>
              <w:jc w:val="center"/>
              <w:rPr>
                <w:rFonts w:eastAsia="Times New Roman" w:cs="Calibri"/>
                <w:noProof/>
              </w:rPr>
            </w:pPr>
            <w:r>
              <w:rPr>
                <w:noProof/>
              </w:rPr>
              <w:t>Število</w:t>
            </w:r>
          </w:p>
        </w:tc>
        <w:tc>
          <w:tcPr>
            <w:tcW w:w="1225" w:type="dxa"/>
            <w:shd w:val="clear" w:color="auto" w:fill="C4EFCE"/>
            <w:vAlign w:val="center"/>
            <w:hideMark/>
          </w:tcPr>
          <w:p w14:paraId="2CDB7EB4" w14:textId="77777777" w:rsidR="00F24946" w:rsidRDefault="00613B06">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7B9894CE" w14:textId="6B71FBD0" w:rsidR="00F24946" w:rsidRDefault="00613B06">
            <w:pPr>
              <w:pStyle w:val="P68B1DB1-Normal8"/>
              <w:spacing w:after="0" w:line="240" w:lineRule="auto"/>
              <w:jc w:val="center"/>
              <w:rPr>
                <w:rFonts w:eastAsia="Times New Roman" w:cs="Calibri"/>
                <w:noProof/>
              </w:rPr>
            </w:pPr>
            <w:r>
              <w:rPr>
                <w:noProof/>
              </w:rPr>
              <w:t>75</w:t>
            </w:r>
          </w:p>
        </w:tc>
        <w:tc>
          <w:tcPr>
            <w:tcW w:w="539" w:type="dxa"/>
            <w:shd w:val="clear" w:color="auto" w:fill="C4EFCE"/>
            <w:vAlign w:val="center"/>
            <w:hideMark/>
          </w:tcPr>
          <w:p w14:paraId="2791A5BD" w14:textId="0ED63B4C" w:rsidR="00F24946" w:rsidRDefault="00613B06">
            <w:pPr>
              <w:pStyle w:val="P68B1DB1-Normal8"/>
              <w:spacing w:after="0" w:line="240" w:lineRule="auto"/>
              <w:jc w:val="center"/>
              <w:rPr>
                <w:rFonts w:eastAsia="Times New Roman" w:cs="Calibri"/>
                <w:noProof/>
              </w:rPr>
            </w:pPr>
            <w:r>
              <w:rPr>
                <w:noProof/>
              </w:rPr>
              <w:t>ČETRTLETJE 1 </w:t>
            </w:r>
          </w:p>
        </w:tc>
        <w:tc>
          <w:tcPr>
            <w:tcW w:w="672" w:type="dxa"/>
            <w:shd w:val="clear" w:color="auto" w:fill="C4EFCE"/>
            <w:vAlign w:val="center"/>
            <w:hideMark/>
          </w:tcPr>
          <w:p w14:paraId="199003BA" w14:textId="4BAD9944" w:rsidR="00F24946" w:rsidRDefault="00613B06">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44EBB5A9" w14:textId="5E647B96" w:rsidR="00F24946" w:rsidRDefault="00613B06">
            <w:pPr>
              <w:pStyle w:val="P68B1DB1-Normal8"/>
              <w:spacing w:after="0" w:line="240" w:lineRule="auto"/>
              <w:jc w:val="both"/>
              <w:rPr>
                <w:rFonts w:eastAsia="Times New Roman" w:cs="Calibri"/>
                <w:noProof/>
              </w:rPr>
            </w:pPr>
            <w:r>
              <w:rPr>
                <w:noProof/>
              </w:rPr>
              <w:t>Število kulturnih znamenitosti, za katere so dokončana dela za rehabilitacijo in ohranjanje muzejev, spomenikov, državnih palač in nacionalnih gledališča.</w:t>
            </w:r>
          </w:p>
        </w:tc>
      </w:tr>
      <w:tr w:rsidR="00F24946" w14:paraId="6C8F3CC5" w14:textId="77777777">
        <w:trPr>
          <w:trHeight w:val="2486"/>
        </w:trPr>
        <w:tc>
          <w:tcPr>
            <w:tcW w:w="1067" w:type="dxa"/>
            <w:shd w:val="clear" w:color="auto" w:fill="C5EFCE"/>
            <w:vAlign w:val="center"/>
          </w:tcPr>
          <w:p w14:paraId="14F7780E" w14:textId="50B225CD" w:rsidR="00F24946" w:rsidRDefault="00613B06">
            <w:pPr>
              <w:pStyle w:val="P68B1DB1-Normal11"/>
              <w:spacing w:line="240" w:lineRule="auto"/>
              <w:jc w:val="center"/>
              <w:rPr>
                <w:rFonts w:eastAsiaTheme="minorEastAsia"/>
                <w:noProof/>
              </w:rPr>
            </w:pPr>
            <w:r>
              <w:rPr>
                <w:noProof/>
              </w:rPr>
              <w:t>4.11</w:t>
            </w:r>
          </w:p>
        </w:tc>
        <w:tc>
          <w:tcPr>
            <w:tcW w:w="1191" w:type="dxa"/>
            <w:shd w:val="clear" w:color="auto" w:fill="C4EFCE"/>
            <w:vAlign w:val="center"/>
          </w:tcPr>
          <w:p w14:paraId="031805CE" w14:textId="198EF4ED" w:rsidR="00F24946" w:rsidRDefault="00613B06">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tcPr>
          <w:p w14:paraId="0170B3FA" w14:textId="1839734A" w:rsidR="00F24946" w:rsidRDefault="00613B06">
            <w:pPr>
              <w:pStyle w:val="P68B1DB1-Normal12"/>
              <w:spacing w:line="240" w:lineRule="auto"/>
              <w:jc w:val="center"/>
              <w:rPr>
                <w:rFonts w:eastAsiaTheme="minorEastAsia"/>
                <w:noProof/>
              </w:rPr>
            </w:pPr>
            <w:r>
              <w:rPr>
                <w:noProof/>
              </w:rPr>
              <w:t>M</w:t>
            </w:r>
          </w:p>
        </w:tc>
        <w:tc>
          <w:tcPr>
            <w:tcW w:w="1588" w:type="dxa"/>
            <w:shd w:val="clear" w:color="auto" w:fill="C4EFCE"/>
            <w:vAlign w:val="center"/>
          </w:tcPr>
          <w:p w14:paraId="7A827ECC" w14:textId="31B94B99" w:rsidR="00F24946" w:rsidRDefault="00613B06">
            <w:pPr>
              <w:pStyle w:val="P68B1DB1-Normal8"/>
              <w:widowControl w:val="0"/>
              <w:spacing w:after="0" w:line="240" w:lineRule="auto"/>
              <w:jc w:val="center"/>
              <w:rPr>
                <w:rFonts w:eastAsia="Calibri" w:cs="Calibri"/>
                <w:noProof/>
              </w:rPr>
            </w:pPr>
            <w:r>
              <w:rPr>
                <w:noProof/>
              </w:rPr>
              <w:t>Namestitev laboratorijev in poti pobude za tehnološki center „Saber Fazer“ ter vzpostavitev pedagoških in informativnih dejavnosti o tradicionalnih tehnikah.</w:t>
            </w:r>
          </w:p>
        </w:tc>
        <w:tc>
          <w:tcPr>
            <w:tcW w:w="1193" w:type="dxa"/>
            <w:shd w:val="clear" w:color="auto" w:fill="C4EFCE"/>
            <w:vAlign w:val="center"/>
          </w:tcPr>
          <w:p w14:paraId="02EC0D5B" w14:textId="2468D793" w:rsidR="00F24946" w:rsidRDefault="00613B06">
            <w:pPr>
              <w:pStyle w:val="P68B1DB1-Normal8"/>
              <w:spacing w:after="0" w:line="240" w:lineRule="auto"/>
              <w:jc w:val="center"/>
              <w:rPr>
                <w:rFonts w:eastAsia="Calibri" w:cs="Calibri"/>
                <w:noProof/>
              </w:rPr>
            </w:pPr>
            <w:r>
              <w:rPr>
                <w:noProof/>
              </w:rPr>
              <w:t>Namestitev laboratorijev in poti ter vzpostavitev informativnih dejavnosti</w:t>
            </w:r>
          </w:p>
        </w:tc>
        <w:tc>
          <w:tcPr>
            <w:tcW w:w="930" w:type="dxa"/>
            <w:shd w:val="clear" w:color="auto" w:fill="C4EFCE"/>
            <w:vAlign w:val="center"/>
          </w:tcPr>
          <w:p w14:paraId="00D6DCB5" w14:textId="6E4FFB7F" w:rsidR="00F24946" w:rsidRDefault="00F24946">
            <w:pPr>
              <w:spacing w:line="240" w:lineRule="auto"/>
              <w:jc w:val="center"/>
              <w:rPr>
                <w:rFonts w:eastAsiaTheme="minorEastAsia"/>
                <w:noProof/>
                <w:sz w:val="16"/>
              </w:rPr>
            </w:pPr>
          </w:p>
        </w:tc>
        <w:tc>
          <w:tcPr>
            <w:tcW w:w="1225" w:type="dxa"/>
            <w:shd w:val="clear" w:color="auto" w:fill="C4EFCE"/>
            <w:vAlign w:val="center"/>
          </w:tcPr>
          <w:p w14:paraId="212F99FB" w14:textId="75AD13CC" w:rsidR="00F24946" w:rsidRDefault="00F24946">
            <w:pPr>
              <w:spacing w:line="240" w:lineRule="auto"/>
              <w:jc w:val="center"/>
              <w:rPr>
                <w:rFonts w:eastAsiaTheme="minorEastAsia"/>
                <w:noProof/>
                <w:sz w:val="16"/>
              </w:rPr>
            </w:pPr>
          </w:p>
        </w:tc>
        <w:tc>
          <w:tcPr>
            <w:tcW w:w="671" w:type="dxa"/>
            <w:shd w:val="clear" w:color="auto" w:fill="C4EFCE"/>
            <w:vAlign w:val="center"/>
          </w:tcPr>
          <w:p w14:paraId="55B67104" w14:textId="32C4CF8D" w:rsidR="00F24946" w:rsidRDefault="00F24946">
            <w:pPr>
              <w:spacing w:line="240" w:lineRule="auto"/>
              <w:jc w:val="center"/>
              <w:rPr>
                <w:rFonts w:eastAsiaTheme="minorEastAsia"/>
                <w:noProof/>
                <w:sz w:val="16"/>
              </w:rPr>
            </w:pPr>
          </w:p>
        </w:tc>
        <w:tc>
          <w:tcPr>
            <w:tcW w:w="539" w:type="dxa"/>
            <w:shd w:val="clear" w:color="auto" w:fill="C4EFCE"/>
            <w:vAlign w:val="center"/>
          </w:tcPr>
          <w:p w14:paraId="21CA84BA" w14:textId="4EA4C59D" w:rsidR="00F24946" w:rsidRDefault="00613B06">
            <w:pPr>
              <w:pStyle w:val="P68B1DB1-Normal12"/>
              <w:spacing w:line="240" w:lineRule="auto"/>
              <w:jc w:val="center"/>
              <w:rPr>
                <w:rFonts w:eastAsiaTheme="minorEastAsia"/>
                <w:noProof/>
              </w:rPr>
            </w:pPr>
            <w:r>
              <w:rPr>
                <w:noProof/>
              </w:rPr>
              <w:t>Q4</w:t>
            </w:r>
          </w:p>
        </w:tc>
        <w:tc>
          <w:tcPr>
            <w:tcW w:w="672" w:type="dxa"/>
            <w:shd w:val="clear" w:color="auto" w:fill="C4EFCE"/>
            <w:vAlign w:val="center"/>
          </w:tcPr>
          <w:p w14:paraId="48405223" w14:textId="3B99029C" w:rsidR="00F24946" w:rsidRDefault="00613B06">
            <w:pPr>
              <w:pStyle w:val="P68B1DB1-Normal12"/>
              <w:spacing w:line="240" w:lineRule="auto"/>
              <w:jc w:val="center"/>
              <w:rPr>
                <w:rFonts w:eastAsiaTheme="minorEastAsia"/>
                <w:noProof/>
              </w:rPr>
            </w:pPr>
            <w:r>
              <w:rPr>
                <w:noProof/>
              </w:rPr>
              <w:t>2025</w:t>
            </w:r>
          </w:p>
        </w:tc>
        <w:tc>
          <w:tcPr>
            <w:tcW w:w="3756" w:type="dxa"/>
            <w:shd w:val="clear" w:color="auto" w:fill="C4EFCE"/>
            <w:vAlign w:val="center"/>
          </w:tcPr>
          <w:p w14:paraId="68A57C86" w14:textId="204DEDB9" w:rsidR="00F24946" w:rsidRDefault="00613B06">
            <w:pPr>
              <w:pStyle w:val="P68B1DB1-Normal8"/>
              <w:spacing w:line="240" w:lineRule="auto"/>
              <w:rPr>
                <w:rFonts w:eastAsia="Calibri" w:cs="Calibri"/>
                <w:noProof/>
              </w:rPr>
            </w:pPr>
            <w:r>
              <w:rPr>
                <w:noProof/>
              </w:rPr>
              <w:t>Namestijo se laboratoriji in poti pobude za tehnološki center „Saber Fazer“.</w:t>
            </w:r>
          </w:p>
          <w:p w14:paraId="4A586D50" w14:textId="49FECD44" w:rsidR="00F24946" w:rsidRDefault="00613B06">
            <w:pPr>
              <w:pStyle w:val="P68B1DB1-Normal8"/>
              <w:spacing w:line="240" w:lineRule="auto"/>
              <w:rPr>
                <w:rFonts w:eastAsia="Calibri" w:cs="Calibri"/>
                <w:noProof/>
              </w:rPr>
            </w:pPr>
            <w:r>
              <w:rPr>
                <w:noProof/>
              </w:rPr>
              <w:t>Ustvarijo se pedagoške in informativne dejavnosti o tradicionalnih tehnikah.</w:t>
            </w:r>
          </w:p>
        </w:tc>
      </w:tr>
      <w:tr w:rsidR="00F24946" w14:paraId="2E9B74C5" w14:textId="77777777">
        <w:trPr>
          <w:trHeight w:val="1232"/>
        </w:trPr>
        <w:tc>
          <w:tcPr>
            <w:tcW w:w="1067" w:type="dxa"/>
            <w:shd w:val="clear" w:color="auto" w:fill="C5EFCE"/>
            <w:vAlign w:val="center"/>
          </w:tcPr>
          <w:p w14:paraId="7B23F4D9" w14:textId="656A027C" w:rsidR="00F24946" w:rsidRDefault="00613B06">
            <w:pPr>
              <w:pStyle w:val="P68B1DB1-Normal11"/>
              <w:spacing w:after="0" w:line="240" w:lineRule="auto"/>
              <w:jc w:val="center"/>
              <w:rPr>
                <w:rFonts w:eastAsiaTheme="minorEastAsia"/>
                <w:noProof/>
              </w:rPr>
            </w:pPr>
            <w:r>
              <w:rPr>
                <w:noProof/>
              </w:rPr>
              <w:t>4.12</w:t>
            </w:r>
          </w:p>
        </w:tc>
        <w:tc>
          <w:tcPr>
            <w:tcW w:w="1191" w:type="dxa"/>
            <w:shd w:val="clear" w:color="auto" w:fill="C4EFCE"/>
            <w:vAlign w:val="center"/>
          </w:tcPr>
          <w:p w14:paraId="2D75212B" w14:textId="699667CF" w:rsidR="00F24946" w:rsidRDefault="00613B06">
            <w:pPr>
              <w:pStyle w:val="P68B1DB1-Normal12"/>
              <w:spacing w:line="240" w:lineRule="auto"/>
              <w:jc w:val="center"/>
              <w:rPr>
                <w:rFonts w:eastAsiaTheme="minorEastAsia"/>
                <w:noProof/>
              </w:rPr>
            </w:pPr>
            <w:r>
              <w:rPr>
                <w:noProof/>
              </w:rPr>
              <w:t>Re-C04-i02</w:t>
            </w:r>
          </w:p>
        </w:tc>
        <w:tc>
          <w:tcPr>
            <w:tcW w:w="1060" w:type="dxa"/>
            <w:shd w:val="clear" w:color="auto" w:fill="C4EFCE"/>
            <w:vAlign w:val="center"/>
          </w:tcPr>
          <w:p w14:paraId="01863DAD" w14:textId="500BD97C" w:rsidR="00F24946" w:rsidRDefault="00613B06">
            <w:pPr>
              <w:pStyle w:val="P68B1DB1-Normal12"/>
              <w:spacing w:after="0" w:line="240" w:lineRule="auto"/>
              <w:jc w:val="center"/>
              <w:rPr>
                <w:rFonts w:eastAsiaTheme="minorEastAsia"/>
                <w:noProof/>
              </w:rPr>
            </w:pPr>
            <w:r>
              <w:rPr>
                <w:noProof/>
              </w:rPr>
              <w:t>M</w:t>
            </w:r>
          </w:p>
        </w:tc>
        <w:tc>
          <w:tcPr>
            <w:tcW w:w="1588" w:type="dxa"/>
            <w:shd w:val="clear" w:color="auto" w:fill="C4EFCE"/>
            <w:vAlign w:val="center"/>
          </w:tcPr>
          <w:p w14:paraId="15F8BB2A" w14:textId="4AD42237" w:rsidR="00F24946" w:rsidRDefault="00613B06">
            <w:pPr>
              <w:pStyle w:val="P68B1DB1-Normal12"/>
              <w:widowControl w:val="0"/>
              <w:spacing w:after="0" w:line="240" w:lineRule="auto"/>
              <w:jc w:val="center"/>
              <w:rPr>
                <w:rFonts w:eastAsia="Calibri"/>
                <w:noProof/>
              </w:rPr>
            </w:pPr>
            <w:r>
              <w:rPr>
                <w:noProof/>
              </w:rPr>
              <w:t>Zaključek gradnje Nacionalnega loka Sounda</w:t>
            </w:r>
          </w:p>
        </w:tc>
        <w:tc>
          <w:tcPr>
            <w:tcW w:w="1193" w:type="dxa"/>
            <w:shd w:val="clear" w:color="auto" w:fill="C4EFCE"/>
            <w:vAlign w:val="center"/>
          </w:tcPr>
          <w:p w14:paraId="21192B9D" w14:textId="5381A138" w:rsidR="00F24946" w:rsidRDefault="00613B06">
            <w:pPr>
              <w:pStyle w:val="P68B1DB1-Normal12"/>
              <w:spacing w:after="0" w:line="240" w:lineRule="auto"/>
              <w:jc w:val="center"/>
              <w:rPr>
                <w:rFonts w:eastAsiaTheme="minorEastAsia"/>
                <w:noProof/>
              </w:rPr>
            </w:pPr>
            <w:r>
              <w:rPr>
                <w:noProof/>
              </w:rPr>
              <w:t>Dokončanje gradbenih del</w:t>
            </w:r>
          </w:p>
          <w:p w14:paraId="0230FF46" w14:textId="6B7D17FB" w:rsidR="00F24946" w:rsidRDefault="00F24946">
            <w:pPr>
              <w:spacing w:after="0" w:line="240" w:lineRule="auto"/>
              <w:jc w:val="center"/>
              <w:rPr>
                <w:rFonts w:eastAsiaTheme="minorEastAsia"/>
                <w:noProof/>
                <w:sz w:val="16"/>
              </w:rPr>
            </w:pPr>
          </w:p>
        </w:tc>
        <w:tc>
          <w:tcPr>
            <w:tcW w:w="930" w:type="dxa"/>
            <w:shd w:val="clear" w:color="auto" w:fill="C4EFCE"/>
            <w:vAlign w:val="center"/>
          </w:tcPr>
          <w:p w14:paraId="2CBDC436" w14:textId="77777777" w:rsidR="00F24946" w:rsidRDefault="00F24946">
            <w:pPr>
              <w:spacing w:after="0" w:line="240" w:lineRule="auto"/>
              <w:jc w:val="center"/>
              <w:rPr>
                <w:rFonts w:eastAsiaTheme="minorEastAsia"/>
                <w:noProof/>
                <w:sz w:val="16"/>
              </w:rPr>
            </w:pPr>
          </w:p>
        </w:tc>
        <w:tc>
          <w:tcPr>
            <w:tcW w:w="1225" w:type="dxa"/>
            <w:shd w:val="clear" w:color="auto" w:fill="C4EFCE"/>
            <w:vAlign w:val="center"/>
          </w:tcPr>
          <w:p w14:paraId="071D080E" w14:textId="77777777" w:rsidR="00F24946" w:rsidRDefault="00F24946">
            <w:pPr>
              <w:spacing w:after="0" w:line="240" w:lineRule="auto"/>
              <w:jc w:val="center"/>
              <w:rPr>
                <w:rFonts w:eastAsiaTheme="minorEastAsia"/>
                <w:noProof/>
                <w:sz w:val="16"/>
              </w:rPr>
            </w:pPr>
          </w:p>
        </w:tc>
        <w:tc>
          <w:tcPr>
            <w:tcW w:w="671" w:type="dxa"/>
            <w:shd w:val="clear" w:color="auto" w:fill="C4EFCE"/>
            <w:vAlign w:val="center"/>
          </w:tcPr>
          <w:p w14:paraId="7FCAA4F0" w14:textId="77777777" w:rsidR="00F24946" w:rsidRDefault="00F24946">
            <w:pPr>
              <w:spacing w:after="0" w:line="240" w:lineRule="auto"/>
              <w:jc w:val="center"/>
              <w:rPr>
                <w:rFonts w:eastAsiaTheme="minorEastAsia"/>
                <w:noProof/>
                <w:sz w:val="16"/>
              </w:rPr>
            </w:pPr>
          </w:p>
        </w:tc>
        <w:tc>
          <w:tcPr>
            <w:tcW w:w="539" w:type="dxa"/>
            <w:shd w:val="clear" w:color="auto" w:fill="C4EFCE"/>
            <w:vAlign w:val="center"/>
          </w:tcPr>
          <w:p w14:paraId="1C2674F4" w14:textId="7A52A272" w:rsidR="00F24946" w:rsidRDefault="00613B06">
            <w:pPr>
              <w:pStyle w:val="P68B1DB1-Normal12"/>
              <w:spacing w:after="0" w:line="240" w:lineRule="auto"/>
              <w:jc w:val="center"/>
              <w:rPr>
                <w:rFonts w:eastAsiaTheme="minorEastAsia"/>
                <w:noProof/>
              </w:rPr>
            </w:pPr>
            <w:r>
              <w:rPr>
                <w:noProof/>
              </w:rPr>
              <w:t>ČETRTLETJE 1</w:t>
            </w:r>
          </w:p>
        </w:tc>
        <w:tc>
          <w:tcPr>
            <w:tcW w:w="672" w:type="dxa"/>
            <w:shd w:val="clear" w:color="auto" w:fill="C4EFCE"/>
            <w:vAlign w:val="center"/>
          </w:tcPr>
          <w:p w14:paraId="0A6163C6" w14:textId="6FB0E70F" w:rsidR="00F24946" w:rsidRDefault="00613B06">
            <w:pPr>
              <w:pStyle w:val="P68B1DB1-Normal12"/>
              <w:spacing w:after="0" w:line="240" w:lineRule="auto"/>
              <w:jc w:val="center"/>
              <w:rPr>
                <w:rFonts w:eastAsiaTheme="minorEastAsia"/>
                <w:noProof/>
              </w:rPr>
            </w:pPr>
            <w:r>
              <w:rPr>
                <w:noProof/>
              </w:rPr>
              <w:t>2026</w:t>
            </w:r>
          </w:p>
        </w:tc>
        <w:tc>
          <w:tcPr>
            <w:tcW w:w="3756" w:type="dxa"/>
            <w:shd w:val="clear" w:color="auto" w:fill="C4EFCE"/>
            <w:vAlign w:val="center"/>
          </w:tcPr>
          <w:p w14:paraId="553D6012" w14:textId="684A611B" w:rsidR="00F24946" w:rsidRDefault="00613B06">
            <w:pPr>
              <w:pStyle w:val="P68B1DB1-Normal12"/>
              <w:spacing w:line="240" w:lineRule="auto"/>
              <w:rPr>
                <w:rFonts w:ascii="Calibri" w:eastAsia="Times New Roman" w:hAnsi="Calibri" w:cs="Calibri"/>
                <w:noProof/>
              </w:rPr>
            </w:pPr>
            <w:r>
              <w:rPr>
                <w:noProof/>
              </w:rPr>
              <w:t>Dokončanje gradnje stavbe za Nacionalni arhiv Sound. Stavba ima uporabno površino najmanj 1 100 m² in je med drugim opremljena za ohranjanje zvočnih dokumentov. Potreba</w:t>
            </w:r>
            <w:r>
              <w:rPr>
                <w:rFonts w:ascii="Calibri" w:hAnsi="Calibri"/>
                <w:noProof/>
              </w:rPr>
              <w:t>po primarni energiji za najmanj 20 % manjša od potreb stavb s skoraj nično porabo energije.</w:t>
            </w:r>
          </w:p>
        </w:tc>
      </w:tr>
    </w:tbl>
    <w:p w14:paraId="7A7D7EC6" w14:textId="25A02098" w:rsidR="00F24946" w:rsidRDefault="00F24946">
      <w:pPr>
        <w:rPr>
          <w:noProof/>
        </w:rPr>
      </w:pPr>
    </w:p>
    <w:p w14:paraId="796D791C" w14:textId="77777777" w:rsidR="00F24946" w:rsidRDefault="00F24946">
      <w:pPr>
        <w:rPr>
          <w:rFonts w:ascii="Times New Roman" w:eastAsiaTheme="minorEastAsia" w:hAnsi="Times New Roman" w:cs="Times New Roman"/>
          <w:noProof/>
          <w:sz w:val="24"/>
        </w:rPr>
      </w:pPr>
    </w:p>
    <w:p w14:paraId="77CC12FE" w14:textId="77777777" w:rsidR="00F24946" w:rsidRDefault="00F24946">
      <w:pPr>
        <w:rPr>
          <w:rFonts w:ascii="Times New Roman" w:eastAsiaTheme="minorEastAsia" w:hAnsi="Times New Roman" w:cs="Times New Roman"/>
          <w:noProof/>
          <w:sz w:val="24"/>
        </w:rPr>
      </w:pPr>
    </w:p>
    <w:p w14:paraId="62B18445" w14:textId="77777777" w:rsidR="00F24946" w:rsidRDefault="00F24946">
      <w:pPr>
        <w:rPr>
          <w:rFonts w:ascii="Times New Roman" w:eastAsiaTheme="minorEastAsia" w:hAnsi="Times New Roman" w:cs="Times New Roman"/>
          <w:b/>
          <w:noProof/>
          <w:sz w:val="24"/>
          <w:u w:val="single"/>
        </w:rPr>
        <w:sectPr w:rsidR="00F24946" w:rsidSect="00E00EDD">
          <w:headerReference w:type="even" r:id="rId90"/>
          <w:headerReference w:type="default" r:id="rId91"/>
          <w:footerReference w:type="even" r:id="rId92"/>
          <w:footerReference w:type="default" r:id="rId93"/>
          <w:headerReference w:type="first" r:id="rId94"/>
          <w:footerReference w:type="first" r:id="rId95"/>
          <w:pgSz w:w="16839" w:h="11907" w:orient="landscape"/>
          <w:pgMar w:top="1134" w:right="1134" w:bottom="1134" w:left="1134" w:header="567" w:footer="567" w:gutter="0"/>
          <w:cols w:space="720"/>
          <w:docGrid w:linePitch="360"/>
        </w:sectPr>
      </w:pPr>
    </w:p>
    <w:p w14:paraId="67852003" w14:textId="77777777" w:rsidR="00F24946" w:rsidRDefault="00613B06">
      <w:pPr>
        <w:pStyle w:val="P68B1DB1-Normal3"/>
        <w:rPr>
          <w:rFonts w:eastAsiaTheme="minorEastAsia" w:cs="Times New Roman"/>
          <w:noProof/>
        </w:rPr>
      </w:pPr>
      <w:r>
        <w:rPr>
          <w:noProof/>
        </w:rPr>
        <w:t>E. KOMPONENTA 5: Naložbe in inovacije</w:t>
      </w:r>
    </w:p>
    <w:p w14:paraId="1531FA16" w14:textId="77777777" w:rsidR="00F24946" w:rsidRDefault="00613B06">
      <w:pPr>
        <w:pStyle w:val="P68B1DB1-Normal4"/>
        <w:jc w:val="both"/>
        <w:rPr>
          <w:rFonts w:eastAsiaTheme="minorEastAsia" w:cs="Times New Roman"/>
          <w:noProof/>
        </w:rPr>
      </w:pPr>
      <w:r>
        <w:rPr>
          <w:noProof/>
        </w:rPr>
        <w:t>Ta komponenta portugalskega načrta za okrevanje in odpornost obravnava izzive, povezane z razmeroma skromno ravnjo raziskav in inovacij, zlasti s spodbujanjem povezav med podjetji in znanostjo ter s posebnim poudarkom na inovacijah na področju zelenega prehoda, ter izzive, povezane s kronično podkapitalizacijo portugalskega poslovnega sektorja, ki se je zaradi pandemije COVID-19 še poslabšala.</w:t>
      </w:r>
    </w:p>
    <w:p w14:paraId="44389BA8" w14:textId="77777777" w:rsidR="00F24946" w:rsidRDefault="00613B06">
      <w:pPr>
        <w:pStyle w:val="P68B1DB1-Normal4"/>
        <w:jc w:val="both"/>
        <w:rPr>
          <w:rFonts w:eastAsiaTheme="minorEastAsia" w:cs="Times New Roman"/>
          <w:noProof/>
        </w:rPr>
      </w:pPr>
      <w:r>
        <w:rPr>
          <w:noProof/>
        </w:rPr>
        <w:t xml:space="preserve">Cilj komponente je povečati konkurenčnost in odpornost portugalskega gospodarstva z ukrepi za krepitev raziskav s spodbujanjem prenosa rezultatov v poslovni sektor, s čimer se spodbujajo inovacije in naložbe. Cilj dela komponente, ki se nanaša na raziskave in inovacije, je izboljšati sodelovanje med akademskim svetom in podjetji, okrepiti znanstveni in tehnološki potencial Portugalske ter podpreti izvajanje ambicioznih in celovitih programov raziskav in inovacij, ki obravnavajo glavne socialno-ekonomske in okoljske izzive. To naj bi se doseglo s povečanimi in učinkovitejšimi naložbami v raziskave in razvoj ter inovacije, ciljno usmerjeno podporo za boljši prenos rezultatov raziskav v naložbe, diverzifikacijo in specializacijo proizvodne strukture, izkoriščanjem dejanskega potenciala za konkurenčno potrditev uveljavljenih industrijskih sektorjev in nastajajočih območij ter prispevanjem k dvojnemu prehodu. Cilj te komponente je zlasti povečati izvoz blaga in storitev z visoko dodano vrednostjo, povečati naložbe v raziskave in razvoj (tako z novimi visokokvalificiranimi delovnimi mesti kot s povečanjem izdatkov podjetij za raziskave in razvoj) ter prispevati k zmanjšanju emisij CO2. </w:t>
      </w:r>
    </w:p>
    <w:p w14:paraId="0D653E56" w14:textId="77777777" w:rsidR="00F24946" w:rsidRDefault="00613B06">
      <w:pPr>
        <w:pStyle w:val="P68B1DB1-Normal4"/>
        <w:jc w:val="both"/>
        <w:rPr>
          <w:rFonts w:eastAsiaTheme="minorEastAsia" w:cs="Times New Roman"/>
          <w:noProof/>
        </w:rPr>
      </w:pPr>
      <w:r>
        <w:rPr>
          <w:noProof/>
        </w:rPr>
        <w:t xml:space="preserve">V skladu s potrebo po podpori solventnosti proizvodnega sistema in odpravi nedelovanja trga pri dostopu do financiranja ta komponenta vključuje reformo in naložbe, ki prispevajo k izboljšanju portugalskega trga financiranja podjetij z ustanovitvijo in okrepitvijo kapitala nacionalne spodbujevalne banke, </w:t>
      </w:r>
      <w:r>
        <w:rPr>
          <w:i/>
          <w:noProof/>
        </w:rPr>
        <w:t>Banco Português de Fomento</w:t>
      </w:r>
      <w:r>
        <w:rPr>
          <w:noProof/>
        </w:rPr>
        <w:t xml:space="preserve"> ter razvojem novih finančnih instrumentov. Komponenta uvaja tudi reforme kapitalskih trgov za dolgoročno okrepitev kapitalskih trgov na Portugalskem z revizijo obstoječega pravnega okvira in sprejetjem novih zakonov, s posebnim poudarkom na družbah za naložbe v vrednostne papirje za razvoj gospodarstva (SIMFE), kolektivnih naložbenih podjemih in reviziji zakonika o vrednostnih papirjih.</w:t>
      </w:r>
    </w:p>
    <w:p w14:paraId="0F7F4FD3" w14:textId="77777777" w:rsidR="00F24946" w:rsidRDefault="00613B06">
      <w:pPr>
        <w:pStyle w:val="P68B1DB1-Normal4"/>
        <w:jc w:val="both"/>
        <w:rPr>
          <w:rFonts w:eastAsiaTheme="minorEastAsia" w:cs="Times New Roman"/>
          <w:noProof/>
        </w:rPr>
      </w:pPr>
      <w:r>
        <w:rPr>
          <w:noProof/>
        </w:rPr>
        <w:t xml:space="preserve">Komponenta podpira obravnavanje priporočila za posamezne države o naložbah v podnebni prehod (priporočilo za posamezno državo št. 3 2020), priporočila za posamezno državo o osredotočanju gospodarske politike v zvezi z naložbami v inovacije (priporočilo za posamezno državo št. 3 2019) in priporočila za posamezno državo št. 3 2020 (usmerjene naložbe v zeleni in digitalni prehod). Komponenta prispeva k obravnavi priporočila za posamezno državo o izvajanju začasnih ukrepov, namenjenih zagotavljanju dostopa do likvidnosti za podjetja, zlasti mala in srednja podjetja, in spodbujanju zasebnih naložb za spodbujanje gospodarskega okrevanja (priporočilo za posamezno državo št. 3 2020). </w:t>
      </w:r>
    </w:p>
    <w:p w14:paraId="664ADF2C" w14:textId="511AE2E5" w:rsidR="00F24946" w:rsidRDefault="00613B06">
      <w:pPr>
        <w:pStyle w:val="P68B1DB1-Normal4"/>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61608694"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4F17D5AC"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E.1. Opis reform in naložb za nepovratno finančno podporo</w:t>
      </w:r>
    </w:p>
    <w:p w14:paraId="606D15A1"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RE-r09: Spodbujanje raziskav, inovacij in razvoja ter inovativnih naložb v podjetja</w:t>
      </w:r>
    </w:p>
    <w:p w14:paraId="53E39BC7" w14:textId="77777777" w:rsidR="00F24946" w:rsidRDefault="00613B06">
      <w:pPr>
        <w:pStyle w:val="P68B1DB1-Normal4"/>
        <w:keepNext/>
        <w:spacing w:before="40" w:after="0" w:line="259" w:lineRule="auto"/>
        <w:jc w:val="both"/>
        <w:rPr>
          <w:rFonts w:eastAsiaTheme="minorEastAsia" w:cs="Times New Roman"/>
          <w:noProof/>
        </w:rPr>
      </w:pPr>
      <w:r>
        <w:rPr>
          <w:noProof/>
        </w:rPr>
        <w:t>Cilj reforme je spodbujati naložbe v raziskave in razvoj, zlasti z zagotavljanjem ugodnih okvirnih pogojev za povečanje učinkovitosti in uspešnosti javnih in zasebnih naložb v raziskave in razvoj. Reforma je del posodobitve strategije za tehnološke inovacije in inovacije podjetij za obdobje 2018–2030. Namen te posodobitve je olajšati financiranje in operacionalizacijo javno-zasebnih partnerstev v podporo ambicioznim programom raziskav in inovacij. Cilj reforme je poenostaviti dostop do instrumentov financiranja za dejavnosti na področju raziskav in razvoja ter prispevati k večji predvidljivosti in stabilnosti financiranja z vzpostavitvijo večletnega programskega okvira za javne naložbe v raziskave in razvoj s podporo neodvisnega sistema spremljanja naložb v raziskave in razvoj. Naložbe, ki jih je treba izvesti v zvezi s to reformo, so RE-C05-i01.01 in RE-C05-i01.02.</w:t>
      </w:r>
    </w:p>
    <w:p w14:paraId="5DDBF669"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decembra 2021.</w:t>
      </w:r>
    </w:p>
    <w:p w14:paraId="5A89012B"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RE-r11: Razširitev in konsolidacija mreže povezovalnih institucij.</w:t>
      </w:r>
    </w:p>
    <w:p w14:paraId="54FEC575"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 Cilj reforme je izboljšati povezave med akademskim svetom in podjetji, da bi okrepili pretok znanja in prenos tehnologije.</w:t>
      </w:r>
    </w:p>
    <w:p w14:paraId="4CE9F67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zajema revizijo in standardizacijo zakonodajnega in regulativnega okvira tehnološkega vmesnika, zlasti tehnoloških centrov in centrov INTERFACE, ustanovljenih v okviru programa INTERFACE. Tehnološki centri in centri INTERFACE povezujejo raziskovalne organizacije (vključno z visokošolskimi ustanovami) in podjetja, da bi podprli prenos znanja in tehnologije. Reforma določa postopek za ustanovitev teh subjektov ter njihov model upravljanja in financiranja. </w:t>
      </w:r>
    </w:p>
    <w:p w14:paraId="46A20335"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Za pripravo zakonodajnega predloga je zadolžena delovna skupina za omogočanje tehnološke infrastrukture, ki jo je ustanovila vlada. </w:t>
      </w:r>
    </w:p>
    <w:p w14:paraId="5061F460"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Naložbe, ki jih je treba izvesti v zvezi s to reformo, so RE-C05-i01.01 in RE-C05-i01.02. </w:t>
      </w:r>
    </w:p>
    <w:p w14:paraId="58E8E4D5" w14:textId="77777777" w:rsidR="00F24946" w:rsidRDefault="00613B06">
      <w:pPr>
        <w:pStyle w:val="P68B1DB1-Normal4"/>
        <w:keepNext/>
        <w:spacing w:before="40" w:after="0" w:line="259" w:lineRule="auto"/>
        <w:jc w:val="both"/>
        <w:rPr>
          <w:rFonts w:eastAsiaTheme="minorEastAsia"/>
          <w:noProof/>
        </w:rPr>
      </w:pPr>
      <w:r>
        <w:rPr>
          <w:noProof/>
        </w:rPr>
        <w:t xml:space="preserve">Reforma se izvede do 31. decembra 2021. </w:t>
      </w:r>
    </w:p>
    <w:p w14:paraId="799FB709"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RE-r12: Program raziskav in inovacij za trajnostno kmetijstvo, prehrano in živilsko industrijo.</w:t>
      </w:r>
    </w:p>
    <w:p w14:paraId="7F3DD78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reforme je okrepiti kmetijski sektor na Portugalskem ter zagotoviti prehransko in hranilno varnost, prispevati k zdravju in dobremu počutju, izboljšati upravljanje podeželskih območij, nadalje ohranjati biotsko raznovrstnost, obravnavati učinke podnebnih sprememb s potrebnimi prilagoditvami in prispevki za ublažitev njihovih učinkov ter spodbuditi druge gospodarske dejavnosti, kot so med drugim kmetijske storitve ter celo gostinstvo in turizem. </w:t>
      </w:r>
    </w:p>
    <w:p w14:paraId="0282D255" w14:textId="77777777" w:rsidR="00F24946" w:rsidRDefault="00613B06">
      <w:pPr>
        <w:pStyle w:val="P68B1DB1-Normal4"/>
        <w:keepNext/>
        <w:spacing w:before="40" w:after="0" w:line="259" w:lineRule="auto"/>
        <w:jc w:val="both"/>
        <w:rPr>
          <w:rFonts w:eastAsiaTheme="minorEastAsia" w:cs="Times New Roman"/>
          <w:noProof/>
        </w:rPr>
      </w:pPr>
      <w:r>
        <w:rPr>
          <w:noProof/>
        </w:rPr>
        <w:t>Reforma podpira izvajanje inovacijskega programa za kmetijstvo 20|30. Vključuje zagotavljanje potrebnih sredstev za posodobitev in pripravo obstoječe infrastrukture ter spodbujanje funkcionalnih zavezništev vzdolž agroživilske verige, podjetij in raziskav, da bi spodbudili razvoj in povezovanje raziskav in inovacij, usmerjenih v potrebe kmetijskega sektorja, z namenom zelenega in digitalnega prehoda.</w:t>
      </w:r>
    </w:p>
    <w:p w14:paraId="6FCBAA78" w14:textId="72B74A7B" w:rsidR="00F24946" w:rsidRDefault="00613B06">
      <w:pPr>
        <w:pStyle w:val="P68B1DB1-Normal4"/>
        <w:keepNext/>
        <w:spacing w:before="40" w:after="0" w:line="259" w:lineRule="auto"/>
        <w:jc w:val="both"/>
        <w:rPr>
          <w:rFonts w:eastAsiaTheme="minorEastAsia" w:cs="Times New Roman"/>
          <w:noProof/>
        </w:rPr>
      </w:pPr>
      <w:r>
        <w:rPr>
          <w:noProof/>
        </w:rPr>
        <w:t xml:space="preserve">Reforma naj bi se začela izvajati do 31. decembra 2020. </w:t>
      </w:r>
    </w:p>
    <w:p w14:paraId="7CB132E9" w14:textId="34FB19F1" w:rsidR="00F24946" w:rsidRDefault="00F24946">
      <w:pPr>
        <w:keepNext/>
        <w:spacing w:before="40" w:after="0" w:line="259" w:lineRule="auto"/>
        <w:jc w:val="both"/>
        <w:rPr>
          <w:rFonts w:ascii="Times New Roman" w:eastAsiaTheme="minorEastAsia" w:hAnsi="Times New Roman" w:cs="Times New Roman"/>
          <w:noProof/>
          <w:sz w:val="24"/>
        </w:rPr>
      </w:pPr>
    </w:p>
    <w:p w14:paraId="201F11C9" w14:textId="62FA20B0" w:rsidR="00F24946" w:rsidRDefault="00F24946">
      <w:pPr>
        <w:keepNext/>
        <w:spacing w:before="40" w:after="0" w:line="259" w:lineRule="auto"/>
        <w:jc w:val="both"/>
        <w:rPr>
          <w:rFonts w:ascii="Times New Roman" w:eastAsiaTheme="minorEastAsia" w:hAnsi="Times New Roman" w:cs="Times New Roman"/>
          <w:noProof/>
          <w:sz w:val="24"/>
        </w:rPr>
      </w:pPr>
    </w:p>
    <w:p w14:paraId="30C4E385" w14:textId="77777777" w:rsidR="00F24946" w:rsidRDefault="00F24946">
      <w:pPr>
        <w:keepNext/>
        <w:spacing w:before="40" w:after="0" w:line="259" w:lineRule="auto"/>
        <w:jc w:val="both"/>
        <w:rPr>
          <w:rFonts w:ascii="Times New Roman" w:eastAsiaTheme="minorEastAsia" w:hAnsi="Times New Roman"/>
          <w:noProof/>
          <w:sz w:val="24"/>
        </w:rPr>
      </w:pPr>
    </w:p>
    <w:p w14:paraId="7357A226"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RE-C05-i01.01: Mobilizacija programov in zavezništev za poslovne inovacije.</w:t>
      </w:r>
    </w:p>
    <w:p w14:paraId="03F47396"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mobilizirati in okrepiti znanstvene in tehnološke zmogljivosti Portugalske z uvedbo ambicioznih programov za raziskave in inovacije, ki temeljijo na konzorcijih podjetij in akademskih krogov.</w:t>
      </w:r>
    </w:p>
    <w:p w14:paraId="5402E4A2" w14:textId="39C43DF0" w:rsidR="00F24946" w:rsidRDefault="00613B06">
      <w:pPr>
        <w:pStyle w:val="P68B1DB1-Normal4"/>
        <w:keepNext/>
        <w:spacing w:before="40" w:after="0" w:line="259" w:lineRule="auto"/>
        <w:jc w:val="both"/>
        <w:rPr>
          <w:rFonts w:eastAsiaTheme="minorEastAsia" w:cs="Times New Roman"/>
          <w:noProof/>
        </w:rPr>
      </w:pPr>
      <w:r>
        <w:rPr>
          <w:noProof/>
        </w:rPr>
        <w:t xml:space="preserve">Naložba je sestavljena predvsem iz nepovratnih sredstev za izvajanje programov za spodbujanje poslovnih inovacij z dvema dopolnjujočima se instrumentoma: I) inovacijski pakti, ki spodbujajo sodelovanje in vodijo k razvoju inovacijskih projektov, ter ii) uporabo projektov za raziskave in razvoj ter njihovo preoblikovanje v novo blago in storitve z naložbami. Agende za mobilizacijo se izberejo na podlagi odprtih konkurenčnih razpisov za strateške načrte, ki jih predlagajo konzorciji podjetij ter akademskih, znanstvenih in/ali tehnoloških ustanov. Ta naložba temelji na strateškem okviru, ki se bo izvajal v okviru RE-r09, ter krepi vlogo institucij vmesnika in utrditev te mreže. </w:t>
      </w:r>
    </w:p>
    <w:p w14:paraId="0E09FBF6" w14:textId="77777777" w:rsidR="00F24946" w:rsidRDefault="00613B06">
      <w:pPr>
        <w:pStyle w:val="P68B1DB1-Normal4"/>
        <w:keepNext/>
        <w:spacing w:before="40" w:after="0" w:line="259" w:lineRule="auto"/>
        <w:jc w:val="both"/>
        <w:rPr>
          <w:rFonts w:eastAsiaTheme="minorEastAsia" w:cs="Times New Roman"/>
          <w:noProof/>
          <w:highlight w:val="green"/>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11"/>
      </w:r>
      <w:r>
        <w:rPr>
          <w:noProof/>
        </w:rPr>
        <w:t>; II) dejavnosti v okviru sistema EU za trgovanje z emisijami (ETS), s katerimi se dosegajo predvidene emisije toplogrednih plinov, ki niso nižje od ustreznih referenčnih vrednosti</w:t>
      </w:r>
      <w:r>
        <w:rPr>
          <w:noProof/>
        </w:rPr>
        <w:footnoteReference w:id="12"/>
      </w:r>
      <w:r>
        <w:rPr>
          <w:noProof/>
        </w:rPr>
        <w:t>; III) dejavnosti, povezane z odlagališči odpadkov, sežigalnicami</w:t>
      </w:r>
      <w:r>
        <w:rPr>
          <w:noProof/>
        </w:rPr>
        <w:footnoteReference w:id="13"/>
      </w:r>
      <w:r>
        <w:rPr>
          <w:noProof/>
        </w:rPr>
        <w:t xml:space="preserve"> in napravami za mehansko-biološko obdelavo</w:t>
      </w:r>
      <w:r>
        <w:rPr>
          <w:noProof/>
        </w:rPr>
        <w:footnoteReference w:id="14"/>
      </w:r>
      <w:r>
        <w:rPr>
          <w:noProof/>
        </w:rPr>
        <w:t>; in iv) dejavnosti, pri katerih lahko dolgoročno odstranjevanje odpadkov škoduje okolju. Poleg tega se zahteva, da se lahko izberejo samo dejavnosti, ki so skladne z ustrezno okoljsko zakonodajo EU in nacionalno okoljsko zakonodajo.</w:t>
      </w:r>
    </w:p>
    <w:p w14:paraId="5C52E9CB"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73E004CF"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RE-C05-i01.02: Zelene agende/zaveznice za poslovne inovacije</w:t>
      </w:r>
    </w:p>
    <w:p w14:paraId="742560E6" w14:textId="52E527EF"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izvajanje istih instrumentov kot v dokumentu RE-C05-i01.01, vendar so specializirani za omejen sklop zelenih agend prek konzorcijev med podjetji in akademskimi, znanstvenimi in/ali tehnološkimi institucijami za podporo inovacijam (s poudarkom na zelenem prehodu, področje 022 priloge k uredbi o mehanizmu za okrevanje in odpornost). </w:t>
      </w:r>
    </w:p>
    <w:p w14:paraId="59034061" w14:textId="2902A5C2" w:rsidR="00F24946" w:rsidRDefault="00613B06">
      <w:pPr>
        <w:pStyle w:val="P68B1DB1-Normal4"/>
        <w:keepNext/>
        <w:spacing w:before="40" w:after="0" w:line="259" w:lineRule="auto"/>
        <w:jc w:val="both"/>
        <w:rPr>
          <w:rFonts w:eastAsiaTheme="minorEastAsia" w:cs="Times New Roman"/>
          <w:noProof/>
          <w:highlight w:val="green"/>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15"/>
      </w:r>
      <w:r>
        <w:rPr>
          <w:noProof/>
        </w:rPr>
        <w:t>; II) dejavnosti v okviru sistema EU za trgovanje z emisijami (ETS), s katerimi se dosegajo predvidene emisije toplogrednih plinov, ki niso nižje od ustreznih referenčnih vrednosti</w:t>
      </w:r>
      <w:r>
        <w:rPr>
          <w:noProof/>
        </w:rPr>
        <w:footnoteReference w:id="16"/>
      </w:r>
      <w:r>
        <w:rPr>
          <w:noProof/>
        </w:rPr>
        <w:t>; III) dejavnosti, povezane z odlagališči odpadkov, sežigalnicami</w:t>
      </w:r>
      <w:r>
        <w:rPr>
          <w:noProof/>
        </w:rPr>
        <w:footnoteReference w:id="17"/>
      </w:r>
      <w:r>
        <w:rPr>
          <w:noProof/>
        </w:rPr>
        <w:t xml:space="preserve"> in napravami za mehansko-biološko obdelavo</w:t>
      </w:r>
      <w:r>
        <w:rPr>
          <w:noProof/>
        </w:rPr>
        <w:footnoteReference w:id="18"/>
      </w:r>
      <w:r>
        <w:rPr>
          <w:noProof/>
        </w:rPr>
        <w:t>; in iv) dejavnosti, pri katerih lahko dolgoročno odstranjevanje odpadkov škoduje okolju. Poleg tega se zahteva, da se lahko izberejo samo dejavnosti, ki so skladne z ustrezno okoljsko zakonodajo EU in nacionalno okoljsko zakonodajo.</w:t>
      </w:r>
    </w:p>
    <w:p w14:paraId="484ECBF2" w14:textId="77777777" w:rsidR="00F24946" w:rsidRDefault="00613B06">
      <w:pPr>
        <w:pStyle w:val="P68B1DB1-Normal4"/>
        <w:keepNext/>
        <w:spacing w:before="40" w:after="0" w:line="259" w:lineRule="auto"/>
        <w:jc w:val="both"/>
        <w:rPr>
          <w:rFonts w:eastAsiaTheme="minorEastAsia"/>
          <w:noProof/>
        </w:rPr>
      </w:pPr>
      <w:r>
        <w:rPr>
          <w:noProof/>
        </w:rPr>
        <w:t xml:space="preserve">Naložba se izvede do 31. decembra 2025. </w:t>
      </w:r>
    </w:p>
    <w:p w14:paraId="11F2ED51"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RE-C05-i02: Povezovalna naloga – obnova mreže za znanstveno in tehnološko podporo ter smernice za proizvodno tkanino</w:t>
      </w:r>
    </w:p>
    <w:p w14:paraId="2F86ED35" w14:textId="34E07F85" w:rsidR="00F24946" w:rsidRDefault="00613B06">
      <w:pPr>
        <w:pStyle w:val="P68B1DB1-Normal4"/>
        <w:keepNext/>
        <w:spacing w:before="40" w:after="0" w:line="259" w:lineRule="auto"/>
        <w:jc w:val="both"/>
        <w:rPr>
          <w:rFonts w:eastAsiaTheme="minorEastAsia" w:cs="Times New Roman"/>
          <w:noProof/>
        </w:rPr>
      </w:pPr>
      <w:r>
        <w:rPr>
          <w:noProof/>
        </w:rPr>
        <w:t>Cilj naložbe je okrepiti in opolnomočiti nacionalni znanstveni in tehnološki sistem ter izboljšati povezave med poslovnimi akademskimi krogi, da se zagotovita učinkovit prenos tehnologije in prenos rezultatov raziskav v inovacije. Naložba vključuje konsolidacijo novega modela financiranja centrov za tehnološke vmesnike in sodelovalnih laboratorijev CoLAB zasebnih nepridobitnih združenj ali podjetij, katerih cilj je neposredno ali posredno ustvariti kvalificirana delovna mesta z izvajanjem programov za raziskave in inovacije, ki temeljijo na strukturi ene tretjine osnovnega financiranja, 1/3 konkurenčnega financiranja in ene tretjine tržnega financiranja, in sicer z zagotovitvijo 186 milijonov EUR temeljnega financiranja za</w:t>
      </w:r>
      <w:r>
        <w:rPr>
          <w:i/>
          <w:noProof/>
        </w:rPr>
        <w:t xml:space="preserve"> vmesniško misijo</w:t>
      </w:r>
      <w:r>
        <w:rPr>
          <w:noProof/>
        </w:rPr>
        <w:t xml:space="preserve">. Naložba zajema 500 podjetij, ki so upravičena do te sheme in storitev, ki jih zagotavljajo subjekti INTERFACE. Pričakuje se, da bo skupni ukrep reforme RE-r11 in naložbe RE-C05-i02 dosegel zgoraj navedene cilje. </w:t>
      </w:r>
    </w:p>
    <w:p w14:paraId="6646C73E" w14:textId="77777777" w:rsidR="00F24946" w:rsidRDefault="00613B06">
      <w:pPr>
        <w:pStyle w:val="P68B1DB1-Normal4"/>
        <w:keepNext/>
        <w:spacing w:before="40" w:after="0" w:line="259" w:lineRule="auto"/>
        <w:jc w:val="both"/>
        <w:rPr>
          <w:rFonts w:eastAsiaTheme="minorEastAsia" w:cs="Times New Roman"/>
          <w:noProof/>
          <w:highlight w:val="green"/>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19"/>
      </w:r>
      <w:r>
        <w:rPr>
          <w:noProof/>
        </w:rPr>
        <w:t>; II) dejavnosti v okviru sistema EU za trgovanje z emisijami (ETS), s katerimi se dosegajo predvidene emisije toplogrednih plinov, ki niso nižje od ustreznih referenčnih vrednosti</w:t>
      </w:r>
      <w:r>
        <w:rPr>
          <w:noProof/>
        </w:rPr>
        <w:footnoteReference w:id="20"/>
      </w:r>
      <w:r>
        <w:rPr>
          <w:noProof/>
        </w:rPr>
        <w:t>; III) dejavnosti, povezane z odlagališči odpadkov, sežigalnicami</w:t>
      </w:r>
      <w:r>
        <w:rPr>
          <w:noProof/>
        </w:rPr>
        <w:footnoteReference w:id="21"/>
      </w:r>
      <w:r>
        <w:rPr>
          <w:noProof/>
        </w:rPr>
        <w:t xml:space="preserve"> in napravami za mehansko-biološko obdelavo</w:t>
      </w:r>
      <w:r>
        <w:rPr>
          <w:noProof/>
        </w:rPr>
        <w:footnoteReference w:id="22"/>
      </w:r>
      <w:r>
        <w:rPr>
          <w:noProof/>
        </w:rPr>
        <w:t>; in iv) dejavnosti, pri katerih lahko dolgoročno odstranjevanje odpadkov škoduje okolju. Poleg tega se zahteva, da se lahko izberejo samo dejavnosti, ki so skladne z ustrezno okoljsko zakonodajo EU in nacionalno okoljsko zakonodajo.</w:t>
      </w:r>
    </w:p>
    <w:p w14:paraId="5B04203E"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4855D333"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RE-C05-i03: Agenda za raziskave in inovacije za trajnostno kmetijstvo, prehrano in živilsko industrijo [Agenda inovacij za kmetijstvo 20 30].</w:t>
      </w:r>
    </w:p>
    <w:p w14:paraId="1F941BD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spodbuditi raziskave in inovacije, da bi dosegli bolj trajnostno kmetijstvo. </w:t>
      </w:r>
    </w:p>
    <w:p w14:paraId="0FFD493F" w14:textId="49252C87" w:rsidR="00F24946" w:rsidRDefault="00613B06">
      <w:pPr>
        <w:pStyle w:val="P68B1DB1-Normal4"/>
        <w:keepNext/>
        <w:spacing w:before="40" w:after="0" w:line="259" w:lineRule="auto"/>
        <w:jc w:val="both"/>
        <w:rPr>
          <w:rFonts w:eastAsiaTheme="minorEastAsia" w:cs="Times New Roman"/>
          <w:noProof/>
        </w:rPr>
      </w:pPr>
      <w:r>
        <w:rPr>
          <w:noProof/>
        </w:rPr>
        <w:t xml:space="preserve">Naložba je sestavljena iz nepovratnih sredstev za javne in zasebne subjekte v podporo inovacijskemu programu za kmetijstvo 20|30. Agenda je strukturirana v 15 vodilnih pobudah, ki podpirajo projekte na področju raziskav in razvoja ter inovacij, ter v petih projektih strukturiranja inovacij, ki se osredotočajo na digitalizacijo. Ti raziskovalni in inovacijski projekti ustrezajo potrebam, opredeljenim v portugalskem strateškem načrtu za skupno kmetijsko politiko. Različne pobude vključujejo ukrepe za krožno biogospodarstvo in precizno kmetovanje. Pri izbiri projektov se upoštevajo različni proizvodni sistemi in sektorji. Pričakuje se, da bo podprtih 100 raziskovalnih in inovacijskih projektov. Poleg tega naložba vključuje obnovo in nadgradnjo znanstvenih objektov in opreme 24 poskusnih kmetij in laboratorijev (inovacijskih vozlišč). </w:t>
      </w:r>
    </w:p>
    <w:p w14:paraId="02EFC191" w14:textId="727A1287" w:rsidR="00F24946" w:rsidRDefault="00613B06">
      <w:pPr>
        <w:pStyle w:val="P68B1DB1-Normal4"/>
        <w:keepNext/>
        <w:spacing w:before="40" w:after="0" w:line="259" w:lineRule="auto"/>
        <w:jc w:val="both"/>
        <w:rPr>
          <w:rFonts w:eastAsiaTheme="minorEastAsia" w:cs="Times New Roman"/>
          <w:noProof/>
          <w:highlight w:val="green"/>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23"/>
      </w:r>
      <w:r>
        <w:rPr>
          <w:noProof/>
        </w:rPr>
        <w:t>; II) dejavnosti v okviru sistema EU za trgovanje z emisijami (ETS), s katerimi se dosegajo predvidene emisije toplogrednih plinov, ki niso nižje od ustreznih referenčnih vrednosti</w:t>
      </w:r>
      <w:r>
        <w:rPr>
          <w:noProof/>
        </w:rPr>
        <w:footnoteReference w:id="24"/>
      </w:r>
      <w:r>
        <w:rPr>
          <w:noProof/>
        </w:rPr>
        <w:t>; III) dejavnosti, povezane z odlagališči odpadkov, sežigalnicami</w:t>
      </w:r>
      <w:r>
        <w:rPr>
          <w:noProof/>
        </w:rPr>
        <w:footnoteReference w:id="25"/>
      </w:r>
      <w:r>
        <w:rPr>
          <w:noProof/>
        </w:rPr>
        <w:t xml:space="preserve"> in napravami za mehansko-biološko obdelavo</w:t>
      </w:r>
      <w:r>
        <w:rPr>
          <w:noProof/>
        </w:rPr>
        <w:footnoteReference w:id="26"/>
      </w:r>
      <w:r>
        <w:rPr>
          <w:noProof/>
        </w:rPr>
        <w:t>; in iv) dejavnosti, pri katerih lahko dolgoročno odstranjevanje odpadkov škoduje okolju. Poleg tega se zahteva, da se lahko izberejo samo dejavnosti, ki so skladne z ustrezno okoljsko zakonodajo EU in nacionalno okoljsko zakonodajo.</w:t>
      </w:r>
    </w:p>
    <w:p w14:paraId="67497350"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07D9C278"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Naložba RE-C05-i04-RAA: Dokapitalizacija poslovnega sistema Azorov</w:t>
      </w:r>
    </w:p>
    <w:p w14:paraId="4806397B" w14:textId="77777777" w:rsidR="00F24946" w:rsidRDefault="00613B06">
      <w:pPr>
        <w:pStyle w:val="P68B1DB1-Normal4"/>
        <w:spacing w:before="40" w:after="0" w:line="259" w:lineRule="auto"/>
        <w:jc w:val="both"/>
        <w:rPr>
          <w:rFonts w:eastAsiaTheme="minorEastAsia" w:cs="Times New Roman"/>
          <w:noProof/>
        </w:rPr>
      </w:pPr>
      <w:r>
        <w:rPr>
          <w:noProof/>
        </w:rPr>
        <w:t>Cilj ukrepa je obravnavati strukturni problem podkapitalizacije podjetij v avtonomni regiji Azori.</w:t>
      </w:r>
    </w:p>
    <w:p w14:paraId="31D7ECE4" w14:textId="0CCCA1E9" w:rsidR="00F24946" w:rsidRDefault="00613B06">
      <w:pPr>
        <w:pStyle w:val="P68B1DB1-Normal4"/>
        <w:spacing w:before="40" w:after="0" w:line="259" w:lineRule="auto"/>
        <w:jc w:val="both"/>
        <w:rPr>
          <w:rFonts w:eastAsiaTheme="minorEastAsia" w:cs="Times New Roman"/>
          <w:noProof/>
        </w:rPr>
      </w:pPr>
      <w:r>
        <w:rPr>
          <w:noProof/>
        </w:rPr>
        <w:t xml:space="preserve">Ta naložba zajema ustanovitev namenske družbe, ki nato vloži 125 000 000 EUR v azorejska podjetja, ki so sposobna preživeti, predvsem v obliki lastniškega kapitala. Naložba dopolnjuje nacionalne naložbe, namenjene kapitalizaciji podjetij, z regionalnimi sredstvi in namenskimi instrumenti, ki ustrezajo posebnostim poslovne strukture avtonomne regije. </w:t>
      </w:r>
    </w:p>
    <w:p w14:paraId="43A7AC10" w14:textId="77777777" w:rsidR="00F24946" w:rsidRDefault="00613B06">
      <w:pPr>
        <w:pStyle w:val="P68B1DB1-Normal4"/>
        <w:spacing w:before="40" w:after="0" w:line="259" w:lineRule="auto"/>
        <w:jc w:val="both"/>
        <w:rPr>
          <w:rFonts w:eastAsiaTheme="minorEastAsia" w:cs="Times New Roman"/>
          <w:noProof/>
        </w:rPr>
      </w:pPr>
      <w:r>
        <w:rPr>
          <w:noProof/>
        </w:rPr>
        <w:t xml:space="preserve">Vsi projekti se izvajajo popolnoma v skladu s tehničnimi smernicami za načelo, da se ne škoduje bistveno (2021/C58/01). Poleg tega se je Portugalska zavezala, da bodo v dokumentu o naložbeni politiki v zvezi z instrumentom v višini 125 000 000 EUR, ki ga sprejme Banco Português </w:t>
      </w:r>
      <w:r>
        <w:rPr>
          <w:i/>
          <w:noProof/>
        </w:rPr>
        <w:t>de Fomento kot upravni</w:t>
      </w:r>
      <w:r>
        <w:rPr>
          <w:noProof/>
        </w:rPr>
        <w:t xml:space="preserve"> organ namenske družbe, podrobno opredeljena merila za izbor/upravičenost podprtih podjetij, pri čemer se zagotovi spoštovanje podnebnih in okoljskih zahtev mehanizma za okrevanje in odpornost, vključno s skladnostjo s tehničnimi smernicami za nebistveno škodovanje (2021/C58/01) o podprtih sredstvih/dejavnostih in/ali podjetjih ter opredelitvijo naložbenih ciljev in ciljnih donosov. Za skladnost podprtih podjetij s tehničnimi smernicami za načelo, da se ne škoduje bistveno (2021/C58/01), se v naložbeni politiki zahteva: </w:t>
      </w:r>
    </w:p>
    <w:p w14:paraId="1280B55C" w14:textId="77777777" w:rsidR="00F24946" w:rsidRDefault="00613B06">
      <w:pPr>
        <w:pStyle w:val="P68B1DB1-Normal4"/>
        <w:numPr>
          <w:ilvl w:val="0"/>
          <w:numId w:val="57"/>
        </w:numPr>
        <w:spacing w:before="40" w:after="160" w:line="259" w:lineRule="auto"/>
        <w:contextualSpacing/>
        <w:jc w:val="both"/>
        <w:rPr>
          <w:rFonts w:eastAsiaTheme="minorEastAsia" w:cs="Times New Roman"/>
          <w:noProof/>
        </w:rPr>
      </w:pPr>
      <w:r>
        <w:rPr>
          <w:noProof/>
        </w:rPr>
        <w:t xml:space="preserve">uporabo preverjanja trajnostnosti, </w:t>
      </w:r>
    </w:p>
    <w:p w14:paraId="6EBA5233" w14:textId="77777777" w:rsidR="00F24946" w:rsidRDefault="00613B06">
      <w:pPr>
        <w:pStyle w:val="P68B1DB1-Normal4"/>
        <w:numPr>
          <w:ilvl w:val="0"/>
          <w:numId w:val="57"/>
        </w:numPr>
        <w:spacing w:before="40" w:after="160" w:line="259" w:lineRule="auto"/>
        <w:contextualSpacing/>
        <w:jc w:val="both"/>
        <w:rPr>
          <w:rFonts w:eastAsiaTheme="minorEastAsia" w:cs="Times New Roman"/>
          <w:noProof/>
        </w:rPr>
      </w:pPr>
      <w:r>
        <w:rPr>
          <w:noProof/>
        </w:rPr>
        <w:t>seznam izključitev, ki vsebuje naslednje elemente:</w:t>
      </w:r>
    </w:p>
    <w:p w14:paraId="7CF06F2D" w14:textId="77777777" w:rsidR="00F24946" w:rsidRDefault="00613B06">
      <w:pPr>
        <w:pStyle w:val="P68B1DB1-Normal4"/>
        <w:numPr>
          <w:ilvl w:val="1"/>
          <w:numId w:val="64"/>
        </w:numPr>
        <w:spacing w:before="40" w:after="160" w:line="259" w:lineRule="auto"/>
        <w:contextualSpacing/>
        <w:jc w:val="both"/>
        <w:rPr>
          <w:rFonts w:eastAsiaTheme="minorEastAsia" w:cs="Times New Roman"/>
          <w:noProof/>
        </w:rPr>
      </w:pPr>
      <w:r>
        <w:rPr>
          <w:noProof/>
        </w:rPr>
        <w:t>Dejavnosti, povezane s fosilnimi gorivi, vključno z nadaljnjo uporabo</w:t>
      </w:r>
      <w:r>
        <w:rPr>
          <w:noProof/>
        </w:rPr>
        <w:footnoteReference w:id="27"/>
      </w:r>
      <w:r>
        <w:rPr>
          <w:noProof/>
        </w:rPr>
        <w:t xml:space="preserve">; </w:t>
      </w:r>
    </w:p>
    <w:p w14:paraId="4A89E7FD" w14:textId="77777777" w:rsidR="00F24946" w:rsidRDefault="00613B06">
      <w:pPr>
        <w:pStyle w:val="P68B1DB1-Normal4"/>
        <w:numPr>
          <w:ilvl w:val="1"/>
          <w:numId w:val="64"/>
        </w:numPr>
        <w:spacing w:before="40" w:after="160" w:line="259" w:lineRule="auto"/>
        <w:contextualSpacing/>
        <w:jc w:val="both"/>
        <w:rPr>
          <w:rFonts w:eastAsiaTheme="minorEastAsia" w:cs="Times New Roman"/>
          <w:noProof/>
        </w:rPr>
      </w:pPr>
      <w:r>
        <w:rPr>
          <w:noProof/>
        </w:rPr>
        <w:t>Dejavnosti v okviru sistema EU za trgovanje z emisijami (ETS), s katerimi se dosegajo predvidene emisije toplogrednih plinov, ki niso nižje od ustreznih referenčnih vrednosti</w:t>
      </w:r>
      <w:r>
        <w:rPr>
          <w:noProof/>
        </w:rPr>
        <w:footnoteReference w:id="28"/>
      </w:r>
      <w:r>
        <w:rPr>
          <w:noProof/>
        </w:rPr>
        <w:t xml:space="preserve">; </w:t>
      </w:r>
    </w:p>
    <w:p w14:paraId="3363B8AD" w14:textId="77777777" w:rsidR="00F24946" w:rsidRDefault="00613B06">
      <w:pPr>
        <w:pStyle w:val="P68B1DB1-Normal4"/>
        <w:numPr>
          <w:ilvl w:val="1"/>
          <w:numId w:val="64"/>
        </w:numPr>
        <w:spacing w:before="40" w:after="160" w:line="259" w:lineRule="auto"/>
        <w:contextualSpacing/>
        <w:jc w:val="both"/>
        <w:rPr>
          <w:rFonts w:eastAsiaTheme="minorEastAsia" w:cs="Times New Roman"/>
          <w:noProof/>
        </w:rPr>
      </w:pPr>
      <w:r>
        <w:rPr>
          <w:noProof/>
        </w:rPr>
        <w:t>Dejavnosti, povezane z odlagališči odpadkov, sežigalnicami</w:t>
      </w:r>
      <w:r>
        <w:rPr>
          <w:noProof/>
        </w:rPr>
        <w:footnoteReference w:id="29"/>
      </w:r>
      <w:r>
        <w:rPr>
          <w:noProof/>
        </w:rPr>
        <w:t xml:space="preserve"> in napravami za mehansko-biološko obdelavo</w:t>
      </w:r>
      <w:r>
        <w:rPr>
          <w:noProof/>
        </w:rPr>
        <w:footnoteReference w:id="30"/>
      </w:r>
      <w:r>
        <w:rPr>
          <w:noProof/>
        </w:rPr>
        <w:t xml:space="preserve">; </w:t>
      </w:r>
    </w:p>
    <w:p w14:paraId="222E0859" w14:textId="77777777" w:rsidR="00F24946" w:rsidRDefault="00613B06">
      <w:pPr>
        <w:pStyle w:val="P68B1DB1-Normal4"/>
        <w:numPr>
          <w:ilvl w:val="1"/>
          <w:numId w:val="64"/>
        </w:numPr>
        <w:spacing w:before="40" w:after="160" w:line="259" w:lineRule="auto"/>
        <w:contextualSpacing/>
        <w:jc w:val="both"/>
        <w:rPr>
          <w:rFonts w:eastAsiaTheme="minorEastAsia" w:cs="Times New Roman"/>
          <w:noProof/>
        </w:rPr>
      </w:pPr>
      <w:r>
        <w:rPr>
          <w:noProof/>
        </w:rPr>
        <w:t>Dejavnosti, pri katerih lahko dolgoročno odlaganje odpadkov povzroči dolgoročno škodo okolju, kot so jedrski odpadki; in</w:t>
      </w:r>
    </w:p>
    <w:p w14:paraId="5B02FFE5" w14:textId="77777777" w:rsidR="00F24946" w:rsidRDefault="00613B06">
      <w:pPr>
        <w:pStyle w:val="P68B1DB1-Normal4"/>
        <w:numPr>
          <w:ilvl w:val="1"/>
          <w:numId w:val="64"/>
        </w:numPr>
        <w:spacing w:before="40" w:after="160" w:line="259" w:lineRule="auto"/>
        <w:contextualSpacing/>
        <w:jc w:val="both"/>
        <w:rPr>
          <w:rFonts w:eastAsiaTheme="minorEastAsia" w:cs="Times New Roman"/>
          <w:noProof/>
        </w:rPr>
      </w:pPr>
      <w:r>
        <w:rPr>
          <w:noProof/>
        </w:rPr>
        <w:t xml:space="preserve">Raziskave, razvoj in inovacije, namenjene zgoraj navedenim sredstvom in dejavnostim. </w:t>
      </w:r>
    </w:p>
    <w:p w14:paraId="1D1FCB8F" w14:textId="77777777" w:rsidR="00F24946" w:rsidRDefault="00613B06">
      <w:pPr>
        <w:pStyle w:val="P68B1DB1-Normal4"/>
        <w:numPr>
          <w:ilvl w:val="0"/>
          <w:numId w:val="57"/>
        </w:numPr>
        <w:spacing w:before="40" w:after="160" w:line="259" w:lineRule="auto"/>
        <w:contextualSpacing/>
        <w:jc w:val="both"/>
        <w:rPr>
          <w:rFonts w:eastAsiaTheme="minorEastAsia" w:cs="Times New Roman"/>
          <w:noProof/>
        </w:rPr>
      </w:pPr>
      <w:r>
        <w:rPr>
          <w:noProof/>
        </w:rPr>
        <w:t xml:space="preserve">obvezno preverjanje pravne skladnosti s strani </w:t>
      </w:r>
      <w:r>
        <w:rPr>
          <w:i/>
          <w:noProof/>
        </w:rPr>
        <w:t>Banco Português de Fomento</w:t>
      </w:r>
      <w:r>
        <w:rPr>
          <w:noProof/>
        </w:rPr>
        <w:t xml:space="preserve"> in/ali njenih izbranih finančnih posrednikov za transakcije, izvzete iz preverjanja trajnostnosti, in </w:t>
      </w:r>
    </w:p>
    <w:p w14:paraId="67D0FED8" w14:textId="77777777" w:rsidR="00F24946" w:rsidRDefault="00613B06">
      <w:pPr>
        <w:pStyle w:val="P68B1DB1-Normal4"/>
        <w:numPr>
          <w:ilvl w:val="0"/>
          <w:numId w:val="57"/>
        </w:numPr>
        <w:spacing w:before="40" w:after="160" w:line="259" w:lineRule="auto"/>
        <w:contextualSpacing/>
        <w:jc w:val="both"/>
        <w:rPr>
          <w:rFonts w:eastAsiaTheme="minorEastAsia" w:cs="Times New Roman"/>
          <w:noProof/>
        </w:rPr>
      </w:pPr>
      <w:r>
        <w:rPr>
          <w:noProof/>
        </w:rPr>
        <w:t>upravičenci do podpore za lastniški kapital, ki vsaj 50 % svojih prihodkov pridobijo iz dejavnosti s seznama izključitev za sprejetje in objavo načrtov za zeleni prehod.</w:t>
      </w:r>
    </w:p>
    <w:p w14:paraId="57CD92C3" w14:textId="77777777" w:rsidR="00F24946" w:rsidRDefault="00613B06">
      <w:pPr>
        <w:pStyle w:val="P68B1DB1-Normal4"/>
        <w:spacing w:before="40" w:after="0" w:line="259" w:lineRule="auto"/>
        <w:jc w:val="both"/>
        <w:rPr>
          <w:rFonts w:eastAsiaTheme="minorEastAsia" w:cs="Times New Roman"/>
          <w:noProof/>
        </w:rPr>
      </w:pPr>
      <w:r>
        <w:rPr>
          <w:noProof/>
        </w:rPr>
        <w:t xml:space="preserve">Naložba se izvede do 31. decembra 2025. </w:t>
      </w:r>
    </w:p>
    <w:p w14:paraId="04842B12"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RE-C05-i05-RAA: Gospodarsko okrevanje azorskega kmetijstva</w:t>
      </w:r>
    </w:p>
    <w:p w14:paraId="5D74F80D" w14:textId="77777777" w:rsidR="00F24946" w:rsidRDefault="00613B06">
      <w:pPr>
        <w:pStyle w:val="P68B1DB1-Normal4"/>
        <w:spacing w:before="40" w:after="0" w:line="259" w:lineRule="auto"/>
        <w:jc w:val="both"/>
        <w:rPr>
          <w:rFonts w:eastAsiaTheme="minorEastAsia" w:cs="Times New Roman"/>
          <w:noProof/>
        </w:rPr>
      </w:pPr>
      <w:r>
        <w:rPr>
          <w:noProof/>
        </w:rPr>
        <w:t xml:space="preserve">Cilj naložbe je spodbuditi kmetijstvo na Azorih z močnim poudarkom na trajnosti in spodbujanju lokalne proizvodnje. Kmetijstvo na Azorih ima zaradi razdrobljenosti regionalnega ozemlja, za katero so značilni otoki s posebnimi značilnostmi, velik gospodarski, socialni in teritorialni pomen za regionalno kohezijo. Cilj teh naložb je i) prispevati k odpornosti in trajnostni rasti regionalnega proizvodnega potenciala, ii) ublažiti gospodarske in socialne posledice krize za kmetijski in agroživilski sektor na Azorih ter (iii) prispevati k dvojnemu podnebnemu in digitalnemu prehodu v kmetijskem in agroživilskem sektorju na Azorih. </w:t>
      </w:r>
    </w:p>
    <w:p w14:paraId="6B5CF27F" w14:textId="216C1C52" w:rsidR="00F24946" w:rsidRDefault="00613B06">
      <w:pPr>
        <w:pStyle w:val="P68B1DB1-Normal4"/>
        <w:spacing w:before="40" w:after="0" w:line="259" w:lineRule="auto"/>
        <w:jc w:val="both"/>
        <w:rPr>
          <w:rFonts w:eastAsiaTheme="minorEastAsia" w:cs="Times New Roman"/>
          <w:noProof/>
        </w:rPr>
      </w:pPr>
      <w:r>
        <w:rPr>
          <w:noProof/>
        </w:rPr>
        <w:t xml:space="preserve">Naložbe zajemajo i) podporo naložbenim projektom na področju inovacij proizvodov in proizvodnih procesov za regionalna kmetijska podjetja, ii) javne naložbe v inovacije in dvojni prehod (vključno s programom za izboljšanje znanj in spretnosti kmetov za dvojni prehod in trajnostno potrošnjo, vključno s certificiranjem) ter (iii) javne naložbe v prestrukturiranje, vključno z naložbami v inovacije proizvodnih procesov in zeleni prehod regionalne mreže za zakol ter certificiranje kakovosti mleka. </w:t>
      </w:r>
    </w:p>
    <w:p w14:paraId="67CFE1ED"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decembra 2025.</w:t>
      </w:r>
    </w:p>
    <w:p w14:paraId="0FE3436B" w14:textId="1CD87910" w:rsidR="00F24946" w:rsidRDefault="00613B06">
      <w:pPr>
        <w:pStyle w:val="P68B1DB1-Normal5"/>
        <w:keepNext/>
        <w:spacing w:before="240" w:after="0" w:line="259" w:lineRule="auto"/>
        <w:ind w:left="851"/>
        <w:jc w:val="both"/>
        <w:outlineLvl w:val="3"/>
        <w:rPr>
          <w:rFonts w:eastAsiaTheme="minorEastAsia" w:cs="Times New Roman"/>
          <w:noProof/>
        </w:rPr>
      </w:pPr>
      <w:bookmarkStart w:id="8" w:name="_Toc137472448"/>
      <w:bookmarkStart w:id="9" w:name="_Hlk144129521"/>
      <w:r>
        <w:rPr>
          <w:noProof/>
        </w:rPr>
        <w:t xml:space="preserve">Naložba RE-C05-i07-RAM: Instrumenti kapitalizacije za podjetja </w:t>
      </w:r>
      <w:bookmarkEnd w:id="8"/>
      <w:r>
        <w:rPr>
          <w:noProof/>
        </w:rPr>
        <w:t xml:space="preserve">na Madeiri </w:t>
      </w:r>
    </w:p>
    <w:p w14:paraId="1C9E1081" w14:textId="77777777" w:rsidR="00F24946" w:rsidRDefault="00613B06">
      <w:pPr>
        <w:pStyle w:val="P68B1DB1-Normal4"/>
        <w:spacing w:before="40" w:after="0" w:line="259" w:lineRule="auto"/>
        <w:jc w:val="both"/>
        <w:rPr>
          <w:rFonts w:cs="Times New Roman"/>
          <w:noProof/>
        </w:rPr>
      </w:pPr>
      <w:r>
        <w:rPr>
          <w:noProof/>
        </w:rPr>
        <w:t xml:space="preserve">Cilj tega ukrepa je podpreti naložbe v avtonomni regiji Madeira z namenom reševanja strukturnih likvidnostnih težav lokalnih podjetij in krepitve konkurenčnosti regionalnega gospodarstva. </w:t>
      </w:r>
    </w:p>
    <w:p w14:paraId="76EBD3EA" w14:textId="19DDA592" w:rsidR="00F24946" w:rsidRDefault="00613B06">
      <w:pPr>
        <w:pStyle w:val="P68B1DB1-Normal4"/>
        <w:spacing w:before="40" w:after="0" w:line="259" w:lineRule="auto"/>
        <w:jc w:val="both"/>
        <w:rPr>
          <w:rFonts w:cs="Times New Roman"/>
          <w:noProof/>
        </w:rPr>
      </w:pPr>
      <w:r>
        <w:rPr>
          <w:noProof/>
        </w:rPr>
        <w:t>Ta naložba vključuje okrepitev finančne podpore, dodeljene s kreditno linijo (investe</w:t>
      </w:r>
      <w:r>
        <w:rPr>
          <w:i/>
          <w:noProof/>
        </w:rPr>
        <w:t>RAM 2020)</w:t>
      </w:r>
      <w:r>
        <w:rPr>
          <w:noProof/>
        </w:rPr>
        <w:t xml:space="preserve">. Instrument zagotavlja kreditna jamstva podjetjem in jamči za skupni znesek posojil v višini 15 900 000 EUR. Instrument subvencionira tudi odhodke za obresti na posojila (za 100 % netvegane obrestne mere (Euribor) plus vsaj 60 % razmika tveganja do 3,4 %). Naložba se začne izvajati s protokolom med </w:t>
      </w:r>
      <w:r>
        <w:rPr>
          <w:i/>
          <w:noProof/>
        </w:rPr>
        <w:t>Banco Português de Fomento, Instituto de Desenvolvimento Empresarial</w:t>
      </w:r>
      <w:r>
        <w:rPr>
          <w:noProof/>
        </w:rPr>
        <w:t xml:space="preserve"> in finančnimi posredniki, ki jih izberejo.</w:t>
      </w:r>
    </w:p>
    <w:p w14:paraId="502DBAE8" w14:textId="3F70318A" w:rsidR="00F24946" w:rsidRDefault="00613B06">
      <w:pPr>
        <w:pStyle w:val="P68B1DB1-Normal4"/>
        <w:spacing w:before="40" w:after="0" w:line="259" w:lineRule="auto"/>
        <w:jc w:val="both"/>
        <w:rPr>
          <w:rFonts w:cs="Times New Roman"/>
          <w:noProof/>
        </w:rPr>
      </w:pPr>
      <w:r>
        <w:rPr>
          <w:noProof/>
        </w:rPr>
        <w:t xml:space="preserve">Za zagotovitev, da je ukrep skladen z načelom, da se ne škoduje bistveno, v okviru mehanizma za okrevanje in odpornost, kot je določeno v tehničnih smernicah, da se ne škoduje bistveno (2021/C58/01), pravni sporazumi med </w:t>
      </w:r>
      <w:r>
        <w:rPr>
          <w:i/>
          <w:noProof/>
        </w:rPr>
        <w:t>Banco Português de Fomento, Instituto de Desenvolvimento Empresarial</w:t>
      </w:r>
      <w:r>
        <w:rPr>
          <w:noProof/>
        </w:rPr>
        <w:t xml:space="preserve"> in finančnimi posredniki, ki jih izberejo, ter poznejši izvedbeni sporazum (protokol) finančnega instrumenta:</w:t>
      </w:r>
    </w:p>
    <w:p w14:paraId="05683CB6" w14:textId="2E756E4E" w:rsidR="00F24946" w:rsidRDefault="00613B06">
      <w:pPr>
        <w:pStyle w:val="ListParagraph"/>
        <w:keepNext w:val="0"/>
        <w:numPr>
          <w:ilvl w:val="0"/>
          <w:numId w:val="74"/>
        </w:numPr>
        <w:spacing w:before="120" w:after="120" w:line="22" w:lineRule="atLeast"/>
        <w:rPr>
          <w:noProof/>
        </w:rPr>
      </w:pPr>
      <w:r>
        <w:rPr>
          <w:noProof/>
        </w:rPr>
        <w:t>Iz upravičenosti izključi naslednji seznam dejavnosti in sredstev: (I) dejavnosti in sredstva, povezana s fosilnimi gorivi, vključno z nadaljnjo uporabo</w:t>
      </w:r>
      <w:r>
        <w:rPr>
          <w:rStyle w:val="FootnoteReference"/>
          <w:noProof/>
        </w:rPr>
        <w:footnoteReference w:id="31"/>
      </w:r>
      <w:r>
        <w:rPr>
          <w:noProof/>
        </w:rPr>
        <w:t>; (II) dejavnosti in sredstva v okviru sistema EU za trgovanje z emisijami (ETS), s katerimi se dosegajo predvidene emisije toplogrednih plinov, ki niso nižje od ustreznih referenčnih vrednosti</w:t>
      </w:r>
      <w:r>
        <w:rPr>
          <w:rStyle w:val="FootnoteReference"/>
          <w:noProof/>
        </w:rPr>
        <w:footnoteReference w:id="32"/>
      </w:r>
      <w:r>
        <w:rPr>
          <w:noProof/>
        </w:rPr>
        <w:t>; (III) dejavnosti in sredstva, povezana z odlagališči odpadkov, sežigalnicami</w:t>
      </w:r>
      <w:r>
        <w:rPr>
          <w:rStyle w:val="FootnoteReference"/>
          <w:noProof/>
        </w:rPr>
        <w:footnoteReference w:id="33"/>
      </w:r>
      <w:r>
        <w:rPr>
          <w:noProof/>
        </w:rPr>
        <w:t xml:space="preserve"> in napravami za mehansko-biološko obdelavo</w:t>
      </w:r>
      <w:r>
        <w:rPr>
          <w:rStyle w:val="FootnoteReference"/>
          <w:noProof/>
        </w:rPr>
        <w:footnoteReference w:id="34"/>
      </w:r>
      <w:r>
        <w:rPr>
          <w:noProof/>
        </w:rPr>
        <w:t>; in</w:t>
      </w:r>
    </w:p>
    <w:p w14:paraId="0AEDD136" w14:textId="78BAD798" w:rsidR="00F24946" w:rsidRDefault="00613B06">
      <w:pPr>
        <w:pStyle w:val="ListParagraph"/>
        <w:keepNext w:val="0"/>
        <w:numPr>
          <w:ilvl w:val="0"/>
          <w:numId w:val="74"/>
        </w:numPr>
        <w:spacing w:before="120" w:after="120" w:line="22" w:lineRule="atLeast"/>
        <w:rPr>
          <w:noProof/>
        </w:rPr>
      </w:pPr>
      <w:r>
        <w:rPr>
          <w:noProof/>
        </w:rPr>
        <w:t>Zahtevati skladnost prejemnika z ustrezno okoljsko zakonodajo EU in nacionalno okoljsko zakonodajo.</w:t>
      </w:r>
    </w:p>
    <w:p w14:paraId="0AB91DA2" w14:textId="6E00CAC3" w:rsidR="00F24946" w:rsidRDefault="00613B06">
      <w:pPr>
        <w:pStyle w:val="P68B1DB1-Normal4"/>
        <w:spacing w:line="22" w:lineRule="atLeast"/>
        <w:jc w:val="both"/>
        <w:rPr>
          <w:rFonts w:cs="Times New Roman"/>
          <w:noProof/>
        </w:rPr>
      </w:pPr>
      <w:r>
        <w:rPr>
          <w:noProof/>
        </w:rPr>
        <w:t>Naložba se izvede do 31. decembra 2025.</w:t>
      </w:r>
    </w:p>
    <w:p w14:paraId="3868A1A9" w14:textId="37A914CF" w:rsidR="00F24946" w:rsidRDefault="00613B06">
      <w:pPr>
        <w:pStyle w:val="P68B1DB1-Heading214"/>
        <w:rPr>
          <w:noProof/>
        </w:rPr>
      </w:pPr>
      <w:bookmarkStart w:id="10" w:name="_Toc137472449"/>
      <w:bookmarkEnd w:id="9"/>
      <w:r>
        <w:rPr>
          <w:noProof/>
        </w:rPr>
        <w:t>Naložba RE-C05-i08: Več digitalne znanosti</w:t>
      </w:r>
      <w:bookmarkEnd w:id="10"/>
    </w:p>
    <w:p w14:paraId="210E9435" w14:textId="77777777" w:rsidR="00F24946" w:rsidRDefault="00613B06">
      <w:pPr>
        <w:pStyle w:val="P68B1DB1-Normal4"/>
        <w:rPr>
          <w:rFonts w:cs="Times New Roman"/>
          <w:noProof/>
        </w:rPr>
      </w:pPr>
      <w:r>
        <w:rPr>
          <w:noProof/>
        </w:rPr>
        <w:t>Cilj tega ukrepa je pospešiti proces digitalne preobrazbe in digitalizacije znanosti ter storitev, ki podpirajo nacionalni sistem znanosti in tehnologije.</w:t>
      </w:r>
    </w:p>
    <w:p w14:paraId="27ECE621" w14:textId="77777777" w:rsidR="00F24946" w:rsidRDefault="00613B06">
      <w:pPr>
        <w:pStyle w:val="P68B1DB1-Normal4"/>
        <w:rPr>
          <w:rFonts w:cs="Times New Roman"/>
          <w:noProof/>
        </w:rPr>
      </w:pPr>
      <w:r>
        <w:rPr>
          <w:noProof/>
        </w:rPr>
        <w:t>V ta namen naložba:</w:t>
      </w:r>
    </w:p>
    <w:p w14:paraId="46455329" w14:textId="5256B8E3" w:rsidR="00F24946" w:rsidRDefault="00613B06">
      <w:pPr>
        <w:pStyle w:val="ListParagraph"/>
        <w:keepNext w:val="0"/>
        <w:numPr>
          <w:ilvl w:val="0"/>
          <w:numId w:val="75"/>
        </w:numPr>
        <w:spacing w:before="120" w:after="120" w:line="240" w:lineRule="auto"/>
        <w:rPr>
          <w:noProof/>
        </w:rPr>
      </w:pPr>
      <w:r>
        <w:rPr>
          <w:noProof/>
        </w:rPr>
        <w:t>Dokončati „Kampus Znanost XXI“ in „službo za znanost“ (fizične in spletne), kjer bodo na enem mestu na voljo storitve in mehanizmi financiranja za raziskovalce, raziskovalne in razvojne ustanove ter visokošolske ustanove;</w:t>
      </w:r>
    </w:p>
    <w:p w14:paraId="6C941732" w14:textId="2B79750A" w:rsidR="00F24946" w:rsidRDefault="00613B06">
      <w:pPr>
        <w:pStyle w:val="ListParagraph"/>
        <w:keepNext w:val="0"/>
        <w:numPr>
          <w:ilvl w:val="0"/>
          <w:numId w:val="75"/>
        </w:numPr>
        <w:spacing w:before="120" w:after="120" w:line="240" w:lineRule="auto"/>
        <w:rPr>
          <w:noProof/>
        </w:rPr>
      </w:pPr>
      <w:r>
        <w:rPr>
          <w:noProof/>
        </w:rPr>
        <w:t>Ustanoviti nacionalni center za napredno računalništvo (CNCA), ki bo pokrival portugalski nacionalni prispevek k novemu superračunalništvu „Deucalion“ in dokončal podatkovno središče/podporno infrastrukturo za upravljanje dveh superračunalnikov „Deucalion“ in „Mare Nostrum 5“;</w:t>
      </w:r>
    </w:p>
    <w:p w14:paraId="084AC810" w14:textId="77777777" w:rsidR="00F24946" w:rsidRDefault="00613B06">
      <w:pPr>
        <w:pStyle w:val="ListParagraph"/>
        <w:keepNext w:val="0"/>
        <w:numPr>
          <w:ilvl w:val="0"/>
          <w:numId w:val="75"/>
        </w:numPr>
        <w:spacing w:before="120" w:after="120" w:line="240" w:lineRule="auto"/>
        <w:rPr>
          <w:noProof/>
        </w:rPr>
      </w:pPr>
      <w:r>
        <w:rPr>
          <w:noProof/>
        </w:rPr>
        <w:t>Podpora začetku izvajanja programa za raziskave in razvoj, ki se osredotoča na razvoj in izvajanje naprednih sistemov kibernetske varnosti, umetne inteligence in podatkovne znanosti v javni upravi, ter programa za krepitev znanstvenega položaja;</w:t>
      </w:r>
    </w:p>
    <w:p w14:paraId="37E9BAB2" w14:textId="659E6A48" w:rsidR="00F24946" w:rsidRDefault="00613B06">
      <w:pPr>
        <w:pStyle w:val="ListParagraph"/>
        <w:keepNext w:val="0"/>
        <w:numPr>
          <w:ilvl w:val="0"/>
          <w:numId w:val="75"/>
        </w:numPr>
        <w:spacing w:before="120" w:after="120" w:line="240" w:lineRule="auto"/>
        <w:rPr>
          <w:noProof/>
        </w:rPr>
      </w:pPr>
      <w:r>
        <w:rPr>
          <w:noProof/>
        </w:rPr>
        <w:t>Povečati število tečajev, ki se ponujajo prek nacionalne platforme za množične spletne tečaje (NAU);</w:t>
      </w:r>
    </w:p>
    <w:p w14:paraId="1CAC10F0" w14:textId="77777777" w:rsidR="00F24946" w:rsidRDefault="00613B06">
      <w:pPr>
        <w:pStyle w:val="ListParagraph"/>
        <w:keepNext w:val="0"/>
        <w:numPr>
          <w:ilvl w:val="0"/>
          <w:numId w:val="75"/>
        </w:numPr>
        <w:spacing w:before="120" w:after="120" w:line="240" w:lineRule="auto"/>
        <w:rPr>
          <w:noProof/>
        </w:rPr>
      </w:pPr>
      <w:r>
        <w:rPr>
          <w:noProof/>
        </w:rPr>
        <w:t>Izvajanje nacionalnega programa odprtih znanstvenih in raziskovalnih podatkov (PNCADAI).</w:t>
      </w:r>
    </w:p>
    <w:p w14:paraId="32824034" w14:textId="77777777" w:rsidR="00F24946" w:rsidRDefault="00613B06">
      <w:pPr>
        <w:pStyle w:val="P68B1DB1-Normal4"/>
        <w:rPr>
          <w:rFonts w:cs="Times New Roman"/>
          <w:noProof/>
        </w:rPr>
      </w:pPr>
      <w:r>
        <w:rPr>
          <w:noProof/>
        </w:rPr>
        <w:t>Naložba se izvede do 31. marca 2026.</w:t>
      </w:r>
    </w:p>
    <w:p w14:paraId="37E57FD8" w14:textId="6C90134D" w:rsidR="00F24946" w:rsidRDefault="00613B06">
      <w:pPr>
        <w:pStyle w:val="P68B1DB1-Heading214"/>
        <w:rPr>
          <w:noProof/>
        </w:rPr>
      </w:pPr>
      <w:bookmarkStart w:id="11" w:name="_Toc209238830"/>
      <w:bookmarkStart w:id="12" w:name="_Toc137472447"/>
      <w:r>
        <w:rPr>
          <w:noProof/>
        </w:rPr>
        <w:t>Naložba RE-C05-i09– – razširitev: Mobilizacija programov in zavezništev za poslovne inovacije</w:t>
      </w:r>
      <w:bookmarkEnd w:id="11"/>
      <w:bookmarkEnd w:id="12"/>
    </w:p>
    <w:p w14:paraId="2416536F" w14:textId="77777777" w:rsidR="00F24946" w:rsidRDefault="00613B06">
      <w:pPr>
        <w:pStyle w:val="P68B1DB1-Normal4"/>
        <w:jc w:val="both"/>
        <w:rPr>
          <w:rFonts w:cs="Times New Roman"/>
          <w:noProof/>
        </w:rPr>
      </w:pPr>
      <w:r>
        <w:rPr>
          <w:noProof/>
        </w:rPr>
        <w:t xml:space="preserve">Cilj te naložbe je povečati naložbe RE-C05-i01.01 v okviru komponente 5. Z razširjenim delom ukrepa se poveča število proizvodov, procesov ali storitev, ki so bili dokončani iz programov/zvezij za poslovne inovacije. </w:t>
      </w:r>
    </w:p>
    <w:p w14:paraId="71CB417C" w14:textId="39E86924" w:rsidR="00F24946" w:rsidRDefault="00613B06">
      <w:pPr>
        <w:pStyle w:val="P68B1DB1-Normal4"/>
        <w:jc w:val="both"/>
        <w:rPr>
          <w:rFonts w:eastAsiaTheme="minorEastAsia" w:cs="Times New Roman"/>
          <w:noProof/>
        </w:rPr>
      </w:pPr>
      <w:r>
        <w:rPr>
          <w:noProof/>
        </w:rPr>
        <w:t>Naložba se izvede do 31. decembra 2025.</w:t>
      </w:r>
    </w:p>
    <w:p w14:paraId="0EE30DD3" w14:textId="6E416376" w:rsidR="00F24946" w:rsidRDefault="00613B06">
      <w:pPr>
        <w:pStyle w:val="P68B1DB1-Heading214"/>
        <w:rPr>
          <w:noProof/>
        </w:rPr>
      </w:pPr>
      <w:bookmarkStart w:id="13" w:name="_Toc137472485"/>
      <w:r>
        <w:rPr>
          <w:noProof/>
        </w:rPr>
        <w:t>Naložba RE-C05-i10– – razširitev: Zelene agende/zaveznice za poslovne inovacije</w:t>
      </w:r>
      <w:bookmarkEnd w:id="13"/>
    </w:p>
    <w:p w14:paraId="150A2213" w14:textId="5D8DC0D8" w:rsidR="00F24946" w:rsidRDefault="00613B06">
      <w:pPr>
        <w:pStyle w:val="P68B1DB1-Normal4"/>
        <w:jc w:val="both"/>
        <w:rPr>
          <w:rFonts w:cs="Times New Roman"/>
          <w:noProof/>
        </w:rPr>
      </w:pPr>
      <w:r>
        <w:rPr>
          <w:noProof/>
        </w:rPr>
        <w:t>Cilj te naložbe je povečati naložbe RE-C05-i01.02 v okviru komponente 5. Povečani del ukrepa poveča število proizvodov, postopkov ali storitev iz dodatnih zelenih agend.</w:t>
      </w:r>
    </w:p>
    <w:p w14:paraId="40C9E33B" w14:textId="77777777" w:rsidR="00F24946" w:rsidRDefault="00613B06">
      <w:pPr>
        <w:pStyle w:val="P68B1DB1-Normal4"/>
        <w:jc w:val="both"/>
        <w:rPr>
          <w:rFonts w:eastAsiaTheme="minorEastAsia" w:cs="Times New Roman"/>
          <w:noProof/>
        </w:rPr>
      </w:pPr>
      <w:r>
        <w:rPr>
          <w:noProof/>
        </w:rPr>
        <w:t xml:space="preserve">Naložba se izvede do 31. decembra 2025. </w:t>
      </w:r>
    </w:p>
    <w:p w14:paraId="2DD7051F" w14:textId="77777777" w:rsidR="00F24946" w:rsidRDefault="00F24946">
      <w:pPr>
        <w:rPr>
          <w:rFonts w:ascii="Times New Roman" w:hAnsi="Times New Roman" w:cs="Times New Roman"/>
          <w:noProof/>
          <w:sz w:val="24"/>
        </w:rPr>
      </w:pPr>
    </w:p>
    <w:p w14:paraId="528A2C1C" w14:textId="77777777" w:rsidR="00F24946" w:rsidRDefault="00F24946">
      <w:pPr>
        <w:spacing w:line="22" w:lineRule="atLeast"/>
        <w:jc w:val="both"/>
        <w:rPr>
          <w:rFonts w:ascii="Times New Roman" w:hAnsi="Times New Roman" w:cs="Times New Roman"/>
          <w:noProof/>
          <w:sz w:val="24"/>
        </w:rPr>
      </w:pPr>
    </w:p>
    <w:p w14:paraId="040D9F53" w14:textId="77777777" w:rsidR="00F24946" w:rsidRDefault="00F24946">
      <w:pPr>
        <w:spacing w:before="40" w:after="0" w:line="259" w:lineRule="auto"/>
        <w:jc w:val="both"/>
        <w:rPr>
          <w:rFonts w:ascii="Times New Roman" w:eastAsiaTheme="minorEastAsia" w:hAnsi="Times New Roman" w:cs="Times New Roman"/>
          <w:noProof/>
          <w:sz w:val="24"/>
        </w:rPr>
        <w:sectPr w:rsidR="00F24946" w:rsidSect="00E00EDD">
          <w:headerReference w:type="even" r:id="rId96"/>
          <w:headerReference w:type="default" r:id="rId97"/>
          <w:footerReference w:type="even" r:id="rId98"/>
          <w:footerReference w:type="default" r:id="rId99"/>
          <w:headerReference w:type="first" r:id="rId100"/>
          <w:footerReference w:type="first" r:id="rId101"/>
          <w:pgSz w:w="11907" w:h="16839"/>
          <w:pgMar w:top="1134" w:right="1134" w:bottom="1134" w:left="1134" w:header="567" w:footer="567" w:gutter="0"/>
          <w:cols w:space="720"/>
          <w:docGrid w:linePitch="360"/>
        </w:sectPr>
      </w:pPr>
    </w:p>
    <w:p w14:paraId="19A5F577" w14:textId="77777777" w:rsidR="00F24946" w:rsidRDefault="00F24946">
      <w:pPr>
        <w:spacing w:before="40" w:after="0" w:line="259" w:lineRule="auto"/>
        <w:jc w:val="both"/>
        <w:rPr>
          <w:rFonts w:ascii="Times New Roman" w:eastAsiaTheme="minorEastAsia" w:hAnsi="Times New Roman" w:cs="Times New Roman"/>
          <w:noProof/>
          <w:sz w:val="24"/>
        </w:rPr>
      </w:pPr>
    </w:p>
    <w:p w14:paraId="0EC6A68F" w14:textId="77777777"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E.2. Mejniki, cilji, kazalniki in časovni razpored za spremljanje in izvajanje nepovratne finančne podpore Naslednje;</w:t>
      </w:r>
    </w:p>
    <w:p w14:paraId="75F064A2" w14:textId="77777777" w:rsidR="00F24946" w:rsidRDefault="00F24946">
      <w:pPr>
        <w:spacing w:before="40" w:after="0" w:line="259" w:lineRule="auto"/>
        <w:jc w:val="both"/>
        <w:rPr>
          <w:rFonts w:ascii="Times New Roman" w:eastAsiaTheme="minorEastAsia" w:hAnsi="Times New Roman" w:cs="Times New Roman"/>
          <w:noProof/>
          <w:sz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65"/>
        <w:gridCol w:w="976"/>
        <w:gridCol w:w="1668"/>
        <w:gridCol w:w="2029"/>
        <w:gridCol w:w="982"/>
        <w:gridCol w:w="982"/>
        <w:gridCol w:w="626"/>
        <w:gridCol w:w="514"/>
        <w:gridCol w:w="747"/>
        <w:gridCol w:w="3919"/>
      </w:tblGrid>
      <w:tr w:rsidR="00F24946" w14:paraId="1198CA4A" w14:textId="77777777">
        <w:trPr>
          <w:trHeight w:val="300"/>
          <w:tblHeader/>
        </w:trPr>
        <w:tc>
          <w:tcPr>
            <w:tcW w:w="1134" w:type="dxa"/>
            <w:vMerge w:val="restart"/>
            <w:shd w:val="clear" w:color="auto" w:fill="BDD6EE"/>
            <w:vAlign w:val="center"/>
            <w:hideMark/>
          </w:tcPr>
          <w:p w14:paraId="22518CE5"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165" w:type="dxa"/>
            <w:vMerge w:val="restart"/>
            <w:shd w:val="clear" w:color="auto" w:fill="BDD6EE"/>
            <w:noWrap/>
            <w:vAlign w:val="center"/>
            <w:hideMark/>
          </w:tcPr>
          <w:p w14:paraId="2D96F25A"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976" w:type="dxa"/>
            <w:vMerge w:val="restart"/>
            <w:shd w:val="clear" w:color="auto" w:fill="BDD6EE"/>
            <w:noWrap/>
            <w:vAlign w:val="center"/>
            <w:hideMark/>
          </w:tcPr>
          <w:p w14:paraId="441A5184" w14:textId="53663AE8" w:rsidR="00F24946" w:rsidRDefault="00613B06">
            <w:pPr>
              <w:pStyle w:val="P68B1DB1-Normal6"/>
              <w:spacing w:after="0" w:line="240" w:lineRule="auto"/>
              <w:jc w:val="center"/>
              <w:rPr>
                <w:rFonts w:eastAsia="Times New Roman" w:cs="Times New Roman"/>
                <w:noProof/>
              </w:rPr>
            </w:pPr>
            <w:r>
              <w:rPr>
                <w:noProof/>
              </w:rPr>
              <w:t xml:space="preserve">Mejnik/cilj </w:t>
            </w:r>
          </w:p>
          <w:p w14:paraId="12DC3346" w14:textId="13EEAED9" w:rsidR="00F24946" w:rsidRDefault="00F24946">
            <w:pPr>
              <w:spacing w:after="0" w:line="240" w:lineRule="auto"/>
              <w:rPr>
                <w:rFonts w:ascii="Times New Roman" w:eastAsia="Times New Roman" w:hAnsi="Times New Roman" w:cs="Times New Roman"/>
                <w:b/>
                <w:noProof/>
                <w:sz w:val="18"/>
              </w:rPr>
            </w:pPr>
          </w:p>
        </w:tc>
        <w:tc>
          <w:tcPr>
            <w:tcW w:w="1668" w:type="dxa"/>
            <w:vMerge w:val="restart"/>
            <w:shd w:val="clear" w:color="auto" w:fill="BDD6EE"/>
            <w:noWrap/>
            <w:vAlign w:val="center"/>
            <w:hideMark/>
          </w:tcPr>
          <w:p w14:paraId="24A7D056" w14:textId="77777777" w:rsidR="00F24946" w:rsidRDefault="00613B06">
            <w:pPr>
              <w:pStyle w:val="P68B1DB1-Normal6"/>
              <w:spacing w:after="0" w:line="240" w:lineRule="auto"/>
              <w:jc w:val="center"/>
              <w:rPr>
                <w:rFonts w:eastAsia="Times New Roman" w:cs="Times New Roman"/>
                <w:noProof/>
              </w:rPr>
            </w:pPr>
            <w:r>
              <w:rPr>
                <w:noProof/>
              </w:rPr>
              <w:t>Ime</w:t>
            </w:r>
          </w:p>
        </w:tc>
        <w:tc>
          <w:tcPr>
            <w:tcW w:w="2029" w:type="dxa"/>
            <w:vMerge w:val="restart"/>
            <w:shd w:val="clear" w:color="auto" w:fill="BDD6EE"/>
            <w:noWrap/>
            <w:vAlign w:val="center"/>
            <w:hideMark/>
          </w:tcPr>
          <w:p w14:paraId="54F026CB"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590" w:type="dxa"/>
            <w:gridSpan w:val="3"/>
            <w:shd w:val="clear" w:color="auto" w:fill="BDD6EE"/>
            <w:noWrap/>
            <w:vAlign w:val="center"/>
            <w:hideMark/>
          </w:tcPr>
          <w:p w14:paraId="1C0D1264"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61" w:type="dxa"/>
            <w:gridSpan w:val="2"/>
            <w:shd w:val="clear" w:color="auto" w:fill="BDD6EE"/>
            <w:noWrap/>
            <w:vAlign w:val="center"/>
            <w:hideMark/>
          </w:tcPr>
          <w:p w14:paraId="3C87353C"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19" w:type="dxa"/>
            <w:vMerge w:val="restart"/>
            <w:shd w:val="clear" w:color="auto" w:fill="BDD6EE"/>
            <w:noWrap/>
            <w:vAlign w:val="center"/>
            <w:hideMark/>
          </w:tcPr>
          <w:p w14:paraId="2A120D66"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328E94F7" w14:textId="77777777">
        <w:trPr>
          <w:trHeight w:val="414"/>
          <w:tblHeader/>
        </w:trPr>
        <w:tc>
          <w:tcPr>
            <w:tcW w:w="1134" w:type="dxa"/>
            <w:vMerge/>
            <w:vAlign w:val="center"/>
            <w:hideMark/>
          </w:tcPr>
          <w:p w14:paraId="2D953042" w14:textId="77777777" w:rsidR="00F24946" w:rsidRDefault="00F24946">
            <w:pPr>
              <w:spacing w:after="0" w:line="240" w:lineRule="auto"/>
              <w:rPr>
                <w:rFonts w:ascii="Times New Roman" w:eastAsia="Times New Roman" w:hAnsi="Times New Roman" w:cs="Times New Roman"/>
                <w:b/>
                <w:noProof/>
                <w:sz w:val="18"/>
              </w:rPr>
            </w:pPr>
          </w:p>
        </w:tc>
        <w:tc>
          <w:tcPr>
            <w:tcW w:w="1165" w:type="dxa"/>
            <w:vMerge/>
            <w:vAlign w:val="center"/>
            <w:hideMark/>
          </w:tcPr>
          <w:p w14:paraId="4F69105E" w14:textId="77777777" w:rsidR="00F24946" w:rsidRDefault="00F24946">
            <w:pPr>
              <w:spacing w:after="0" w:line="240" w:lineRule="auto"/>
              <w:rPr>
                <w:rFonts w:ascii="Times New Roman" w:eastAsia="Times New Roman" w:hAnsi="Times New Roman" w:cs="Times New Roman"/>
                <w:b/>
                <w:noProof/>
                <w:sz w:val="18"/>
              </w:rPr>
            </w:pPr>
          </w:p>
        </w:tc>
        <w:tc>
          <w:tcPr>
            <w:tcW w:w="976" w:type="dxa"/>
            <w:vMerge/>
            <w:noWrap/>
            <w:vAlign w:val="center"/>
            <w:hideMark/>
          </w:tcPr>
          <w:p w14:paraId="0CA5CF6D" w14:textId="53822D8D" w:rsidR="00F24946" w:rsidRDefault="00F24946">
            <w:pPr>
              <w:spacing w:after="0" w:line="240" w:lineRule="auto"/>
              <w:rPr>
                <w:rFonts w:ascii="Times New Roman" w:eastAsia="Times New Roman" w:hAnsi="Times New Roman" w:cs="Times New Roman"/>
                <w:b/>
                <w:noProof/>
                <w:sz w:val="18"/>
              </w:rPr>
            </w:pPr>
          </w:p>
        </w:tc>
        <w:tc>
          <w:tcPr>
            <w:tcW w:w="1668" w:type="dxa"/>
            <w:vMerge/>
            <w:vAlign w:val="center"/>
            <w:hideMark/>
          </w:tcPr>
          <w:p w14:paraId="501343F1" w14:textId="77777777" w:rsidR="00F24946" w:rsidRDefault="00F24946">
            <w:pPr>
              <w:spacing w:after="0" w:line="240" w:lineRule="auto"/>
              <w:rPr>
                <w:rFonts w:ascii="Times New Roman" w:eastAsia="Times New Roman" w:hAnsi="Times New Roman" w:cs="Times New Roman"/>
                <w:b/>
                <w:noProof/>
                <w:sz w:val="18"/>
              </w:rPr>
            </w:pPr>
          </w:p>
        </w:tc>
        <w:tc>
          <w:tcPr>
            <w:tcW w:w="2029" w:type="dxa"/>
            <w:vMerge/>
            <w:vAlign w:val="center"/>
            <w:hideMark/>
          </w:tcPr>
          <w:p w14:paraId="0E224900" w14:textId="77777777" w:rsidR="00F24946" w:rsidRDefault="00F24946">
            <w:pPr>
              <w:spacing w:after="0" w:line="240" w:lineRule="auto"/>
              <w:rPr>
                <w:rFonts w:ascii="Times New Roman" w:eastAsia="Times New Roman" w:hAnsi="Times New Roman" w:cs="Times New Roman"/>
                <w:b/>
                <w:noProof/>
                <w:sz w:val="18"/>
              </w:rPr>
            </w:pPr>
          </w:p>
        </w:tc>
        <w:tc>
          <w:tcPr>
            <w:tcW w:w="982" w:type="dxa"/>
            <w:tcBorders>
              <w:bottom w:val="single" w:sz="4" w:space="0" w:color="auto"/>
            </w:tcBorders>
            <w:shd w:val="clear" w:color="auto" w:fill="BDD6EE"/>
            <w:noWrap/>
            <w:vAlign w:val="center"/>
            <w:hideMark/>
          </w:tcPr>
          <w:p w14:paraId="54572D4F"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82" w:type="dxa"/>
            <w:tcBorders>
              <w:bottom w:val="single" w:sz="4" w:space="0" w:color="auto"/>
            </w:tcBorders>
            <w:shd w:val="clear" w:color="auto" w:fill="BDD6EE"/>
            <w:noWrap/>
            <w:vAlign w:val="center"/>
            <w:hideMark/>
          </w:tcPr>
          <w:p w14:paraId="2F722543"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626" w:type="dxa"/>
            <w:tcBorders>
              <w:bottom w:val="single" w:sz="4" w:space="0" w:color="auto"/>
            </w:tcBorders>
            <w:shd w:val="clear" w:color="auto" w:fill="BDD6EE"/>
            <w:noWrap/>
            <w:vAlign w:val="center"/>
            <w:hideMark/>
          </w:tcPr>
          <w:p w14:paraId="490C54F4" w14:textId="77777777" w:rsidR="00F24946" w:rsidRDefault="00613B06">
            <w:pPr>
              <w:pStyle w:val="P68B1DB1-Normal6"/>
              <w:spacing w:after="0" w:line="240" w:lineRule="auto"/>
              <w:jc w:val="center"/>
              <w:rPr>
                <w:rFonts w:eastAsia="Times New Roman" w:cs="Times New Roman"/>
                <w:noProof/>
              </w:rPr>
            </w:pPr>
            <w:r>
              <w:rPr>
                <w:noProof/>
              </w:rPr>
              <w:t>Cilj</w:t>
            </w:r>
          </w:p>
        </w:tc>
        <w:tc>
          <w:tcPr>
            <w:tcW w:w="514" w:type="dxa"/>
            <w:tcBorders>
              <w:bottom w:val="single" w:sz="4" w:space="0" w:color="auto"/>
            </w:tcBorders>
            <w:shd w:val="clear" w:color="auto" w:fill="BDD6EE"/>
            <w:noWrap/>
            <w:vAlign w:val="center"/>
            <w:hideMark/>
          </w:tcPr>
          <w:p w14:paraId="7923F7C5" w14:textId="77777777" w:rsidR="00F24946" w:rsidRDefault="00613B06">
            <w:pPr>
              <w:pStyle w:val="P68B1DB1-Normal6"/>
              <w:spacing w:after="0" w:line="240" w:lineRule="auto"/>
              <w:jc w:val="center"/>
              <w:rPr>
                <w:rFonts w:eastAsia="Times New Roman" w:cs="Times New Roman"/>
                <w:noProof/>
              </w:rPr>
            </w:pPr>
            <w:r>
              <w:rPr>
                <w:noProof/>
              </w:rPr>
              <w:t>Q</w:t>
            </w:r>
          </w:p>
        </w:tc>
        <w:tc>
          <w:tcPr>
            <w:tcW w:w="747" w:type="dxa"/>
            <w:tcBorders>
              <w:bottom w:val="single" w:sz="4" w:space="0" w:color="auto"/>
            </w:tcBorders>
            <w:shd w:val="clear" w:color="auto" w:fill="BDD6EE"/>
            <w:noWrap/>
            <w:vAlign w:val="center"/>
            <w:hideMark/>
          </w:tcPr>
          <w:p w14:paraId="73E52651"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19" w:type="dxa"/>
            <w:vMerge/>
            <w:vAlign w:val="center"/>
            <w:hideMark/>
          </w:tcPr>
          <w:p w14:paraId="38FBE50A" w14:textId="77777777" w:rsidR="00F24946" w:rsidRDefault="00F24946">
            <w:pPr>
              <w:spacing w:after="0" w:line="240" w:lineRule="auto"/>
              <w:rPr>
                <w:rFonts w:ascii="Times New Roman" w:eastAsia="Times New Roman" w:hAnsi="Times New Roman" w:cs="Times New Roman"/>
                <w:b/>
                <w:noProof/>
                <w:sz w:val="18"/>
              </w:rPr>
            </w:pPr>
          </w:p>
        </w:tc>
      </w:tr>
      <w:tr w:rsidR="00F24946" w14:paraId="110D1462" w14:textId="77777777">
        <w:trPr>
          <w:trHeight w:val="1328"/>
        </w:trPr>
        <w:tc>
          <w:tcPr>
            <w:tcW w:w="1134" w:type="dxa"/>
            <w:shd w:val="clear" w:color="auto" w:fill="C4EFCE"/>
            <w:vAlign w:val="center"/>
            <w:hideMark/>
          </w:tcPr>
          <w:p w14:paraId="6746EC53" w14:textId="77777777" w:rsidR="00F24946" w:rsidRDefault="00613B06">
            <w:pPr>
              <w:pStyle w:val="P68B1DB1-Normal7"/>
              <w:spacing w:after="0" w:line="240" w:lineRule="auto"/>
              <w:jc w:val="center"/>
              <w:rPr>
                <w:rFonts w:eastAsia="Times New Roman" w:cs="Calibri"/>
                <w:noProof/>
              </w:rPr>
            </w:pPr>
            <w:r>
              <w:rPr>
                <w:noProof/>
              </w:rPr>
              <w:t>5.1</w:t>
            </w:r>
          </w:p>
        </w:tc>
        <w:tc>
          <w:tcPr>
            <w:tcW w:w="1165" w:type="dxa"/>
            <w:shd w:val="clear" w:color="auto" w:fill="C4EFCE"/>
            <w:vAlign w:val="center"/>
            <w:hideMark/>
          </w:tcPr>
          <w:p w14:paraId="26E5077E" w14:textId="77777777" w:rsidR="00F24946" w:rsidRDefault="00613B06">
            <w:pPr>
              <w:pStyle w:val="P68B1DB1-Normal8"/>
              <w:spacing w:after="0" w:line="240" w:lineRule="auto"/>
              <w:jc w:val="center"/>
              <w:rPr>
                <w:rFonts w:eastAsia="Times New Roman" w:cs="Calibri"/>
                <w:noProof/>
              </w:rPr>
            </w:pPr>
            <w:r>
              <w:rPr>
                <w:noProof/>
              </w:rPr>
              <w:t>Re-C05-r09</w:t>
            </w:r>
          </w:p>
        </w:tc>
        <w:tc>
          <w:tcPr>
            <w:tcW w:w="976" w:type="dxa"/>
            <w:shd w:val="clear" w:color="auto" w:fill="C4EFCE"/>
            <w:vAlign w:val="center"/>
            <w:hideMark/>
          </w:tcPr>
          <w:p w14:paraId="3B5D305C"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1150D1F" w14:textId="77777777" w:rsidR="00F24946" w:rsidRDefault="00613B06">
            <w:pPr>
              <w:pStyle w:val="P68B1DB1-Normal8"/>
              <w:spacing w:after="0" w:line="240" w:lineRule="auto"/>
              <w:jc w:val="center"/>
              <w:rPr>
                <w:rFonts w:eastAsia="Times New Roman" w:cs="Calibri"/>
                <w:noProof/>
              </w:rPr>
            </w:pPr>
            <w:r>
              <w:rPr>
                <w:noProof/>
              </w:rPr>
              <w:t>Posodobitev smernic za strategijo za tehnološke in poslovne inovacije za Portugalsko do leta 2030</w:t>
            </w:r>
          </w:p>
        </w:tc>
        <w:tc>
          <w:tcPr>
            <w:tcW w:w="2029" w:type="dxa"/>
            <w:shd w:val="clear" w:color="auto" w:fill="C4EFCE"/>
            <w:vAlign w:val="center"/>
            <w:hideMark/>
          </w:tcPr>
          <w:p w14:paraId="1FA50D9E" w14:textId="77777777" w:rsidR="00F24946" w:rsidRDefault="00613B06">
            <w:pPr>
              <w:pStyle w:val="P68B1DB1-Normal8"/>
              <w:spacing w:after="0" w:line="240" w:lineRule="auto"/>
              <w:jc w:val="center"/>
              <w:rPr>
                <w:rFonts w:eastAsia="Times New Roman" w:cs="Calibri"/>
                <w:noProof/>
              </w:rPr>
            </w:pPr>
            <w:r>
              <w:rPr>
                <w:noProof/>
              </w:rPr>
              <w:t>Objava posodobljenih smernic za strategijo za tehnološke in poslovne inovacije za Portugalsko do leta 2030</w:t>
            </w:r>
          </w:p>
        </w:tc>
        <w:tc>
          <w:tcPr>
            <w:tcW w:w="982" w:type="dxa"/>
            <w:shd w:val="clear" w:color="auto" w:fill="C4EFCE"/>
            <w:vAlign w:val="center"/>
            <w:hideMark/>
          </w:tcPr>
          <w:p w14:paraId="1A083873"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86A4EC8"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315D3D4A"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1050DF5"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19F55430"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73AB634A" w14:textId="77777777" w:rsidR="00F24946" w:rsidRDefault="00613B06">
            <w:pPr>
              <w:pStyle w:val="P68B1DB1-Normal8"/>
              <w:spacing w:after="0" w:line="240" w:lineRule="auto"/>
              <w:jc w:val="both"/>
              <w:rPr>
                <w:rFonts w:eastAsia="Times New Roman" w:cs="Calibri"/>
                <w:noProof/>
              </w:rPr>
            </w:pPr>
            <w:r>
              <w:rPr>
                <w:noProof/>
              </w:rPr>
              <w:t xml:space="preserve">Posodobitev sklepa Sveta ministrov o odobritvi smernic za strategijo za tehnološke in poslovne inovacije za Portugalsko za obdobje 2018–2030 ob upoštevanju nedavno sprejete portugalske strategije do leta 2030 in novih izzivov gospodarskega okrevanja.  </w:t>
            </w:r>
          </w:p>
        </w:tc>
      </w:tr>
      <w:tr w:rsidR="00F24946" w14:paraId="5E5E0ADB" w14:textId="77777777">
        <w:trPr>
          <w:trHeight w:val="1134"/>
        </w:trPr>
        <w:tc>
          <w:tcPr>
            <w:tcW w:w="1134" w:type="dxa"/>
            <w:shd w:val="clear" w:color="auto" w:fill="C4EFCE"/>
            <w:vAlign w:val="center"/>
            <w:hideMark/>
          </w:tcPr>
          <w:p w14:paraId="3DD3A8E0" w14:textId="77777777" w:rsidR="00F24946" w:rsidRDefault="00613B06">
            <w:pPr>
              <w:pStyle w:val="P68B1DB1-Normal7"/>
              <w:spacing w:after="0" w:line="240" w:lineRule="auto"/>
              <w:jc w:val="center"/>
              <w:rPr>
                <w:rFonts w:eastAsia="Times New Roman" w:cs="Calibri"/>
                <w:noProof/>
              </w:rPr>
            </w:pPr>
            <w:r>
              <w:rPr>
                <w:noProof/>
              </w:rPr>
              <w:t>5.2</w:t>
            </w:r>
          </w:p>
        </w:tc>
        <w:tc>
          <w:tcPr>
            <w:tcW w:w="1165" w:type="dxa"/>
            <w:shd w:val="clear" w:color="auto" w:fill="C4EFCE"/>
            <w:vAlign w:val="center"/>
            <w:hideMark/>
          </w:tcPr>
          <w:p w14:paraId="7C0278D5" w14:textId="77777777" w:rsidR="00F24946" w:rsidRDefault="00613B06">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05E26CF5"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A7AA3EE" w14:textId="77777777" w:rsidR="00F24946" w:rsidRDefault="00613B06">
            <w:pPr>
              <w:pStyle w:val="P68B1DB1-Normal8"/>
              <w:spacing w:after="0" w:line="240" w:lineRule="auto"/>
              <w:jc w:val="center"/>
              <w:rPr>
                <w:rFonts w:eastAsia="Times New Roman" w:cs="Calibri"/>
                <w:noProof/>
              </w:rPr>
            </w:pPr>
            <w:r>
              <w:rPr>
                <w:noProof/>
              </w:rPr>
              <w:t>Razširitev mreže priznanih sodelovalnih laboratorijev</w:t>
            </w:r>
          </w:p>
        </w:tc>
        <w:tc>
          <w:tcPr>
            <w:tcW w:w="2029" w:type="dxa"/>
            <w:shd w:val="clear" w:color="auto" w:fill="C4EFCE"/>
            <w:vAlign w:val="center"/>
            <w:hideMark/>
          </w:tcPr>
          <w:p w14:paraId="2DEFD2C1"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475022A"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77E0ED1B" w14:textId="77777777" w:rsidR="00F24946" w:rsidRDefault="00613B06">
            <w:pPr>
              <w:pStyle w:val="P68B1DB1-Normal8"/>
              <w:spacing w:after="0" w:line="240" w:lineRule="auto"/>
              <w:jc w:val="center"/>
              <w:rPr>
                <w:rFonts w:eastAsia="Times New Roman" w:cs="Calibri"/>
                <w:noProof/>
              </w:rPr>
            </w:pPr>
            <w:r>
              <w:rPr>
                <w:noProof/>
              </w:rPr>
              <w:t>26</w:t>
            </w:r>
          </w:p>
        </w:tc>
        <w:tc>
          <w:tcPr>
            <w:tcW w:w="626" w:type="dxa"/>
            <w:shd w:val="clear" w:color="auto" w:fill="C4EFCE"/>
            <w:vAlign w:val="center"/>
            <w:hideMark/>
          </w:tcPr>
          <w:p w14:paraId="0AF51B93" w14:textId="77777777" w:rsidR="00F24946" w:rsidRDefault="00613B06">
            <w:pPr>
              <w:pStyle w:val="P68B1DB1-Normal8"/>
              <w:spacing w:after="0" w:line="240" w:lineRule="auto"/>
              <w:jc w:val="center"/>
              <w:rPr>
                <w:rFonts w:eastAsia="Times New Roman" w:cs="Calibri"/>
                <w:noProof/>
              </w:rPr>
            </w:pPr>
            <w:r>
              <w:rPr>
                <w:noProof/>
              </w:rPr>
              <w:t>35</w:t>
            </w:r>
          </w:p>
        </w:tc>
        <w:tc>
          <w:tcPr>
            <w:tcW w:w="514" w:type="dxa"/>
            <w:shd w:val="clear" w:color="auto" w:fill="C4EFCE"/>
            <w:vAlign w:val="center"/>
            <w:hideMark/>
          </w:tcPr>
          <w:p w14:paraId="782F8621"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47" w:type="dxa"/>
            <w:shd w:val="clear" w:color="auto" w:fill="C4EFCE"/>
            <w:vAlign w:val="center"/>
            <w:hideMark/>
          </w:tcPr>
          <w:p w14:paraId="523994E0"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6113D01" w14:textId="77777777" w:rsidR="00F24946" w:rsidRDefault="00613B06">
            <w:pPr>
              <w:pStyle w:val="P68B1DB1-Normal8"/>
              <w:spacing w:after="0" w:line="240" w:lineRule="auto"/>
              <w:jc w:val="both"/>
              <w:rPr>
                <w:rFonts w:eastAsia="Times New Roman" w:cs="Calibri"/>
                <w:noProof/>
              </w:rPr>
            </w:pPr>
            <w:r>
              <w:rPr>
                <w:noProof/>
              </w:rPr>
              <w:t>Priznavanje in podeljevanje kvalifikacij za nove sodelovalne laboratorije – Razširitev mreže sodelovalnih laboratorijev s priznavanjem in podeljevanjem naziva novim subjektom, ki izhajajo iz postopka prijave in ocenjevanja, ki ga izvaja neodvisna ocenjevalna komisija priznanih mednarodnih strokovnjakov, ki jih imenuje upravni odbor FCT, I.P (Fundacija za znanost in tehnologijo)</w:t>
            </w:r>
          </w:p>
        </w:tc>
      </w:tr>
      <w:tr w:rsidR="00F24946" w14:paraId="35A3451C" w14:textId="77777777">
        <w:trPr>
          <w:trHeight w:val="832"/>
        </w:trPr>
        <w:tc>
          <w:tcPr>
            <w:tcW w:w="1134" w:type="dxa"/>
            <w:shd w:val="clear" w:color="auto" w:fill="C4EFCE"/>
            <w:vAlign w:val="center"/>
            <w:hideMark/>
          </w:tcPr>
          <w:p w14:paraId="58D355F0" w14:textId="77777777" w:rsidR="00F24946" w:rsidRDefault="00613B06">
            <w:pPr>
              <w:pStyle w:val="P68B1DB1-Normal7"/>
              <w:spacing w:after="0" w:line="240" w:lineRule="auto"/>
              <w:jc w:val="center"/>
              <w:rPr>
                <w:rFonts w:eastAsia="Times New Roman" w:cs="Calibri"/>
                <w:noProof/>
              </w:rPr>
            </w:pPr>
            <w:r>
              <w:rPr>
                <w:noProof/>
              </w:rPr>
              <w:t>5.3</w:t>
            </w:r>
          </w:p>
        </w:tc>
        <w:tc>
          <w:tcPr>
            <w:tcW w:w="1165" w:type="dxa"/>
            <w:shd w:val="clear" w:color="auto" w:fill="C4EFCE"/>
            <w:vAlign w:val="center"/>
            <w:hideMark/>
          </w:tcPr>
          <w:p w14:paraId="3E94C4FC" w14:textId="77777777" w:rsidR="00F24946" w:rsidRDefault="00613B06">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6C55C77E"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31D325B5" w14:textId="77777777" w:rsidR="00F24946" w:rsidRDefault="00613B06">
            <w:pPr>
              <w:pStyle w:val="P68B1DB1-Normal8"/>
              <w:spacing w:after="0" w:line="240" w:lineRule="auto"/>
              <w:jc w:val="center"/>
              <w:rPr>
                <w:rFonts w:eastAsia="Times New Roman" w:cs="Calibri"/>
                <w:noProof/>
              </w:rPr>
            </w:pPr>
            <w:r>
              <w:rPr>
                <w:noProof/>
              </w:rPr>
              <w:t>Začetek veljavnosti nove pravne ureditve za tehnološka in inovacijska središča</w:t>
            </w:r>
          </w:p>
        </w:tc>
        <w:tc>
          <w:tcPr>
            <w:tcW w:w="2029" w:type="dxa"/>
            <w:shd w:val="clear" w:color="auto" w:fill="C4EFCE"/>
            <w:vAlign w:val="center"/>
            <w:hideMark/>
          </w:tcPr>
          <w:p w14:paraId="0C5A7131" w14:textId="77777777" w:rsidR="00F24946" w:rsidRDefault="00613B06">
            <w:pPr>
              <w:pStyle w:val="P68B1DB1-Normal8"/>
              <w:spacing w:after="0" w:line="240" w:lineRule="auto"/>
              <w:jc w:val="center"/>
              <w:rPr>
                <w:rFonts w:eastAsia="Times New Roman" w:cs="Calibri"/>
                <w:noProof/>
              </w:rPr>
            </w:pPr>
            <w:r>
              <w:rPr>
                <w:noProof/>
              </w:rPr>
              <w:t xml:space="preserve">Začetek veljavnosti nove pravne ureditve za tehnološka in inovacijska središča </w:t>
            </w:r>
          </w:p>
        </w:tc>
        <w:tc>
          <w:tcPr>
            <w:tcW w:w="982" w:type="dxa"/>
            <w:shd w:val="clear" w:color="auto" w:fill="C4EFCE"/>
            <w:vAlign w:val="center"/>
            <w:hideMark/>
          </w:tcPr>
          <w:p w14:paraId="04B50F84"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3120DC99"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54BBA269"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D528544"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21CF437E"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75CFEAF" w14:textId="77777777" w:rsidR="00F24946" w:rsidRDefault="00613B06">
            <w:pPr>
              <w:pStyle w:val="P68B1DB1-Normal8"/>
              <w:spacing w:after="0" w:line="240" w:lineRule="auto"/>
              <w:jc w:val="both"/>
              <w:rPr>
                <w:rFonts w:eastAsia="Times New Roman" w:cs="Calibri"/>
                <w:noProof/>
              </w:rPr>
            </w:pPr>
            <w:r>
              <w:rPr>
                <w:noProof/>
              </w:rPr>
              <w:t>Zakonodaja pregleda in standardizira zakonodajni in regulativni okvir subjektov, ki so del znanstvenega in tehnološkega sistema, ter opredeli njegov model financiranja in ocenjevanja.</w:t>
            </w:r>
          </w:p>
        </w:tc>
      </w:tr>
      <w:tr w:rsidR="00F24946" w14:paraId="0A1CA6E0" w14:textId="77777777">
        <w:trPr>
          <w:trHeight w:val="882"/>
        </w:trPr>
        <w:tc>
          <w:tcPr>
            <w:tcW w:w="1134" w:type="dxa"/>
            <w:shd w:val="clear" w:color="auto" w:fill="C4EFCE"/>
            <w:vAlign w:val="center"/>
            <w:hideMark/>
          </w:tcPr>
          <w:p w14:paraId="539F0C3A" w14:textId="77777777" w:rsidR="00F24946" w:rsidRDefault="00613B06">
            <w:pPr>
              <w:pStyle w:val="P68B1DB1-Normal7"/>
              <w:spacing w:after="0" w:line="240" w:lineRule="auto"/>
              <w:jc w:val="center"/>
              <w:rPr>
                <w:rFonts w:eastAsia="Times New Roman" w:cs="Calibri"/>
                <w:noProof/>
              </w:rPr>
            </w:pPr>
            <w:r>
              <w:rPr>
                <w:noProof/>
              </w:rPr>
              <w:t>5.4</w:t>
            </w:r>
          </w:p>
        </w:tc>
        <w:tc>
          <w:tcPr>
            <w:tcW w:w="1165" w:type="dxa"/>
            <w:shd w:val="clear" w:color="auto" w:fill="C4EFCE"/>
            <w:vAlign w:val="center"/>
            <w:hideMark/>
          </w:tcPr>
          <w:p w14:paraId="17A4EABC" w14:textId="77777777" w:rsidR="00F24946" w:rsidRDefault="00613B06">
            <w:pPr>
              <w:pStyle w:val="P68B1DB1-Normal8"/>
              <w:spacing w:after="0" w:line="240" w:lineRule="auto"/>
              <w:jc w:val="center"/>
              <w:rPr>
                <w:rFonts w:eastAsia="Times New Roman" w:cs="Calibri"/>
                <w:noProof/>
              </w:rPr>
            </w:pPr>
            <w:r>
              <w:rPr>
                <w:noProof/>
              </w:rPr>
              <w:t>Re-C05-r12</w:t>
            </w:r>
          </w:p>
        </w:tc>
        <w:tc>
          <w:tcPr>
            <w:tcW w:w="976" w:type="dxa"/>
            <w:shd w:val="clear" w:color="auto" w:fill="C4EFCE"/>
            <w:vAlign w:val="center"/>
            <w:hideMark/>
          </w:tcPr>
          <w:p w14:paraId="2CCDE3B9"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71A5F73D" w14:textId="77777777" w:rsidR="00F24946" w:rsidRDefault="00613B06">
            <w:pPr>
              <w:pStyle w:val="P68B1DB1-Normal8"/>
              <w:spacing w:after="0" w:line="240" w:lineRule="auto"/>
              <w:jc w:val="center"/>
              <w:rPr>
                <w:rFonts w:eastAsia="Times New Roman" w:cs="Calibri"/>
                <w:noProof/>
              </w:rPr>
            </w:pPr>
            <w:r>
              <w:rPr>
                <w:noProof/>
              </w:rPr>
              <w:t>Odobritev inovacijskega programa za kmetijstvo</w:t>
            </w:r>
          </w:p>
        </w:tc>
        <w:tc>
          <w:tcPr>
            <w:tcW w:w="2029" w:type="dxa"/>
            <w:shd w:val="clear" w:color="auto" w:fill="C4EFCE"/>
            <w:vAlign w:val="center"/>
            <w:hideMark/>
          </w:tcPr>
          <w:p w14:paraId="070AC07F" w14:textId="77777777" w:rsidR="00F24946" w:rsidRDefault="00613B06">
            <w:pPr>
              <w:pStyle w:val="P68B1DB1-Normal8"/>
              <w:spacing w:after="0" w:line="240" w:lineRule="auto"/>
              <w:jc w:val="center"/>
              <w:rPr>
                <w:rFonts w:eastAsia="Times New Roman" w:cs="Calibri"/>
                <w:noProof/>
              </w:rPr>
            </w:pPr>
            <w:r>
              <w:rPr>
                <w:noProof/>
              </w:rPr>
              <w:t>Odobritev inovacijskega programa za kmetijstvo</w:t>
            </w:r>
          </w:p>
        </w:tc>
        <w:tc>
          <w:tcPr>
            <w:tcW w:w="982" w:type="dxa"/>
            <w:shd w:val="clear" w:color="auto" w:fill="C4EFCE"/>
            <w:vAlign w:val="center"/>
            <w:hideMark/>
          </w:tcPr>
          <w:p w14:paraId="428779D0"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2590ACF"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0D0096C5"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AA4C8CC"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4EB83404" w14:textId="77777777" w:rsidR="00F24946" w:rsidRDefault="00613B06">
            <w:pPr>
              <w:pStyle w:val="P68B1DB1-Normal8"/>
              <w:spacing w:after="0" w:line="240" w:lineRule="auto"/>
              <w:jc w:val="center"/>
              <w:rPr>
                <w:rFonts w:eastAsia="Times New Roman" w:cs="Calibri"/>
                <w:noProof/>
              </w:rPr>
            </w:pPr>
            <w:r>
              <w:rPr>
                <w:noProof/>
              </w:rPr>
              <w:t>2020</w:t>
            </w:r>
          </w:p>
        </w:tc>
        <w:tc>
          <w:tcPr>
            <w:tcW w:w="3919" w:type="dxa"/>
            <w:shd w:val="clear" w:color="auto" w:fill="C4EFCE"/>
            <w:vAlign w:val="center"/>
            <w:hideMark/>
          </w:tcPr>
          <w:p w14:paraId="0BB06B9A" w14:textId="77777777" w:rsidR="00F24946" w:rsidRDefault="00613B06">
            <w:pPr>
              <w:pStyle w:val="P68B1DB1-Normal8"/>
              <w:spacing w:after="0" w:line="240" w:lineRule="auto"/>
              <w:jc w:val="both"/>
              <w:rPr>
                <w:rFonts w:eastAsia="Times New Roman" w:cs="Calibri"/>
                <w:noProof/>
              </w:rPr>
            </w:pPr>
            <w:r>
              <w:rPr>
                <w:noProof/>
              </w:rPr>
              <w:t>Objava sklepa Sveta ministrov o potrditvi inovacijskega programa za kmetijstvo. Sklep Sveta ministrov objavljen 15. oktobra 2020</w:t>
            </w:r>
          </w:p>
        </w:tc>
      </w:tr>
      <w:tr w:rsidR="00F24946" w14:paraId="32426B30" w14:textId="77777777">
        <w:trPr>
          <w:trHeight w:val="290"/>
        </w:trPr>
        <w:tc>
          <w:tcPr>
            <w:tcW w:w="1134" w:type="dxa"/>
            <w:shd w:val="clear" w:color="auto" w:fill="C4EFCE"/>
            <w:vAlign w:val="center"/>
            <w:hideMark/>
          </w:tcPr>
          <w:p w14:paraId="496B6F04" w14:textId="11995258" w:rsidR="00F24946" w:rsidRDefault="00613B06">
            <w:pPr>
              <w:pStyle w:val="P68B1DB1-Normal7"/>
              <w:spacing w:after="0" w:line="240" w:lineRule="auto"/>
              <w:jc w:val="center"/>
              <w:rPr>
                <w:rFonts w:eastAsia="Times New Roman" w:cs="Calibri"/>
                <w:noProof/>
              </w:rPr>
            </w:pPr>
            <w:r>
              <w:rPr>
                <w:noProof/>
              </w:rPr>
              <w:t>5.5</w:t>
            </w:r>
          </w:p>
        </w:tc>
        <w:tc>
          <w:tcPr>
            <w:tcW w:w="1165" w:type="dxa"/>
            <w:shd w:val="clear" w:color="auto" w:fill="C4EFCE"/>
            <w:vAlign w:val="center"/>
            <w:hideMark/>
          </w:tcPr>
          <w:p w14:paraId="398EBCED" w14:textId="77777777" w:rsidR="00F24946" w:rsidRDefault="00613B06">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33F2AD16"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FE6E86D" w14:textId="1BD699C7" w:rsidR="00F24946" w:rsidRDefault="00613B06">
            <w:pPr>
              <w:pStyle w:val="P68B1DB1-Normal8"/>
              <w:spacing w:after="0" w:line="240" w:lineRule="auto"/>
              <w:jc w:val="center"/>
              <w:rPr>
                <w:rFonts w:eastAsia="Times New Roman" w:cs="Calibri"/>
                <w:noProof/>
              </w:rPr>
            </w:pPr>
            <w:r>
              <w:rPr>
                <w:noProof/>
              </w:rPr>
              <w:t>Sklepanje pogodb za razvoj novih proizvodov, postopkov ali storitev na ustreznih strateških področjih (agende inovacij).</w:t>
            </w:r>
          </w:p>
        </w:tc>
        <w:tc>
          <w:tcPr>
            <w:tcW w:w="2029" w:type="dxa"/>
            <w:shd w:val="clear" w:color="auto" w:fill="C4EFCE"/>
            <w:vAlign w:val="center"/>
            <w:hideMark/>
          </w:tcPr>
          <w:p w14:paraId="586F89B8"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0335E1"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7836D100"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9FCEC27" w14:textId="77777777" w:rsidR="00F24946" w:rsidRDefault="00613B06">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26FC7773"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3E7F441B" w14:textId="77777777" w:rsidR="00F24946" w:rsidRDefault="00613B06">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B6D042" w14:textId="77777777" w:rsidR="00F24946" w:rsidRDefault="00613B06">
            <w:pPr>
              <w:pStyle w:val="P68B1DB1-Normal8"/>
              <w:spacing w:after="0" w:line="240" w:lineRule="auto"/>
              <w:jc w:val="both"/>
              <w:rPr>
                <w:rFonts w:eastAsia="Times New Roman" w:cs="Calibri"/>
                <w:noProof/>
              </w:rPr>
            </w:pPr>
            <w:r>
              <w:rPr>
                <w:noProof/>
              </w:rPr>
              <w:t xml:space="preserve">Sklenitev šestih pogodb (inovacijski pakti ali projekti mobilizacije) s konzorciji, ki vključujejo: Identifikacijo subjektov v sestavi konzorcija; </w:t>
            </w:r>
          </w:p>
          <w:p w14:paraId="4551FC29" w14:textId="213B120F" w:rsidR="00F24946" w:rsidRDefault="00613B06">
            <w:pPr>
              <w:pStyle w:val="P68B1DB1-Normal8"/>
              <w:spacing w:after="0" w:line="240" w:lineRule="auto"/>
              <w:jc w:val="both"/>
              <w:rPr>
                <w:rFonts w:eastAsia="Times New Roman" w:cs="Calibri"/>
                <w:noProof/>
              </w:rPr>
            </w:pPr>
            <w:r>
              <w:rPr>
                <w:noProof/>
              </w:rPr>
              <w:t>Poslovni načrt/naložba;</w:t>
            </w:r>
          </w:p>
          <w:p w14:paraId="74966FD9" w14:textId="77777777" w:rsidR="00F24946" w:rsidRDefault="00613B06">
            <w:pPr>
              <w:pStyle w:val="P68B1DB1-Normal8"/>
              <w:spacing w:after="0" w:line="240" w:lineRule="auto"/>
              <w:jc w:val="both"/>
              <w:rPr>
                <w:rFonts w:eastAsia="Times New Roman" w:cs="Calibri"/>
                <w:noProof/>
              </w:rPr>
            </w:pPr>
            <w:r>
              <w:rPr>
                <w:noProof/>
              </w:rPr>
              <w:t xml:space="preserve">znesek financiranja; </w:t>
            </w:r>
          </w:p>
          <w:p w14:paraId="3EC5A194" w14:textId="77777777" w:rsidR="00F24946" w:rsidRDefault="00613B06">
            <w:pPr>
              <w:pStyle w:val="P68B1DB1-Normal8"/>
              <w:spacing w:after="0" w:line="240" w:lineRule="auto"/>
              <w:jc w:val="both"/>
              <w:rPr>
                <w:rFonts w:eastAsia="Times New Roman" w:cs="Calibri"/>
                <w:noProof/>
              </w:rPr>
            </w:pPr>
            <w:r>
              <w:rPr>
                <w:noProof/>
              </w:rPr>
              <w:t xml:space="preserve">Cilje, h katerim je upravičenec zavezan; </w:t>
            </w:r>
          </w:p>
          <w:p w14:paraId="6A5827B9" w14:textId="77777777" w:rsidR="00F24946" w:rsidRDefault="00613B06">
            <w:pPr>
              <w:pStyle w:val="P68B1DB1-Normal8"/>
              <w:spacing w:after="0" w:line="240" w:lineRule="auto"/>
              <w:jc w:val="both"/>
              <w:rPr>
                <w:rFonts w:eastAsia="Times New Roman" w:cs="Calibri"/>
                <w:noProof/>
              </w:rPr>
            </w:pPr>
            <w:r>
              <w:rPr>
                <w:noProof/>
              </w:rPr>
              <w:t xml:space="preserve">Oblika spremljanja. </w:t>
            </w:r>
          </w:p>
          <w:p w14:paraId="336484AB" w14:textId="12D62436" w:rsidR="00F24946" w:rsidRDefault="00613B06">
            <w:pPr>
              <w:pStyle w:val="P68B1DB1-Normal8"/>
              <w:spacing w:after="0" w:line="240" w:lineRule="auto"/>
              <w:jc w:val="both"/>
              <w:rPr>
                <w:rFonts w:eastAsia="Times New Roman" w:cs="Calibri"/>
                <w:noProof/>
              </w:rPr>
            </w:pPr>
            <w:r>
              <w:rPr>
                <w:noProof/>
              </w:rPr>
              <w:t>Pogodbe podpirajo skupno najmanj 60 proizvodov, postopkov ali storitev. Mandat vključuje merila za upravičenost, ki zagotavljajo, da so izbrani projekti skladni s tehničnimi smernicami, da se ne škoduje bistveno (2021/C58/01), z uporabo seznama za izključitev in zahtevo po skladnosti z ustrezno okoljsko zakonodajo EU in nacionalno okoljsko zakonodajo.</w:t>
            </w:r>
          </w:p>
        </w:tc>
      </w:tr>
      <w:tr w:rsidR="00F24946" w14:paraId="2A70DAF8" w14:textId="77777777">
        <w:trPr>
          <w:trHeight w:val="1177"/>
        </w:trPr>
        <w:tc>
          <w:tcPr>
            <w:tcW w:w="1134" w:type="dxa"/>
            <w:shd w:val="clear" w:color="auto" w:fill="C4EFCE"/>
            <w:vAlign w:val="center"/>
            <w:hideMark/>
          </w:tcPr>
          <w:p w14:paraId="509D06FA" w14:textId="77777777" w:rsidR="00F24946" w:rsidRDefault="00613B06">
            <w:pPr>
              <w:pStyle w:val="P68B1DB1-Normal7"/>
              <w:spacing w:after="0" w:line="240" w:lineRule="auto"/>
              <w:jc w:val="center"/>
              <w:rPr>
                <w:rFonts w:eastAsia="Times New Roman" w:cs="Calibri"/>
                <w:noProof/>
              </w:rPr>
            </w:pPr>
            <w:r>
              <w:rPr>
                <w:noProof/>
              </w:rPr>
              <w:t>5.6</w:t>
            </w:r>
          </w:p>
        </w:tc>
        <w:tc>
          <w:tcPr>
            <w:tcW w:w="1165" w:type="dxa"/>
            <w:shd w:val="clear" w:color="auto" w:fill="C4EFCE"/>
            <w:vAlign w:val="center"/>
            <w:hideMark/>
          </w:tcPr>
          <w:p w14:paraId="33218AE0" w14:textId="77777777" w:rsidR="00F24946" w:rsidRDefault="00613B06">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28D975FD"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99030BE" w14:textId="77777777" w:rsidR="00F24946" w:rsidRDefault="00613B06">
            <w:pPr>
              <w:pStyle w:val="P68B1DB1-Normal8"/>
              <w:spacing w:after="0" w:line="240" w:lineRule="auto"/>
              <w:jc w:val="center"/>
              <w:rPr>
                <w:rFonts w:eastAsia="Times New Roman" w:cs="Calibri"/>
                <w:noProof/>
              </w:rPr>
            </w:pPr>
            <w:r>
              <w:rPr>
                <w:noProof/>
              </w:rPr>
              <w:t xml:space="preserve">Zaključek izvajanja šestih pogodb (inovacijski pakti ali projekti mobilizacije)  </w:t>
            </w:r>
          </w:p>
        </w:tc>
        <w:tc>
          <w:tcPr>
            <w:tcW w:w="2029" w:type="dxa"/>
            <w:shd w:val="clear" w:color="auto" w:fill="C4EFCE"/>
            <w:vAlign w:val="center"/>
            <w:hideMark/>
          </w:tcPr>
          <w:p w14:paraId="6BAACDF3"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12ABD6D2"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655CED5C"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90ACFAB" w14:textId="77777777" w:rsidR="00F24946" w:rsidRDefault="00613B06">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6ECDA684"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6279F629"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BE5656C" w14:textId="77777777" w:rsidR="00F24946" w:rsidRDefault="00613B06">
            <w:pPr>
              <w:pStyle w:val="P68B1DB1-Normal8"/>
              <w:spacing w:after="0" w:line="240" w:lineRule="auto"/>
              <w:jc w:val="both"/>
              <w:rPr>
                <w:rFonts w:eastAsia="Times New Roman" w:cs="Calibri"/>
                <w:noProof/>
              </w:rPr>
            </w:pPr>
            <w:r>
              <w:rPr>
                <w:noProof/>
              </w:rPr>
              <w:t xml:space="preserve">Dokončanje proizvodov, postopkov ali storitev na ustreznih strateških področjih, ki izhajajo iz izvajanja šestih pogodb (inovacijski pakti ali projekti mobilizacije), sklenjenih s konzorciji. </w:t>
            </w:r>
          </w:p>
        </w:tc>
      </w:tr>
      <w:tr w:rsidR="00F24946" w14:paraId="6643E212" w14:textId="77777777">
        <w:trPr>
          <w:trHeight w:val="3677"/>
        </w:trPr>
        <w:tc>
          <w:tcPr>
            <w:tcW w:w="1134" w:type="dxa"/>
            <w:shd w:val="clear" w:color="auto" w:fill="C4EFCE"/>
            <w:vAlign w:val="center"/>
            <w:hideMark/>
          </w:tcPr>
          <w:p w14:paraId="468D23F3" w14:textId="77777777" w:rsidR="00F24946" w:rsidRDefault="00613B06">
            <w:pPr>
              <w:pStyle w:val="P68B1DB1-Normal7"/>
              <w:spacing w:after="0" w:line="240" w:lineRule="auto"/>
              <w:jc w:val="center"/>
              <w:rPr>
                <w:rFonts w:eastAsia="Times New Roman" w:cs="Calibri"/>
                <w:noProof/>
              </w:rPr>
            </w:pPr>
            <w:r>
              <w:rPr>
                <w:noProof/>
              </w:rPr>
              <w:t>5.7 </w:t>
            </w:r>
          </w:p>
        </w:tc>
        <w:tc>
          <w:tcPr>
            <w:tcW w:w="1165" w:type="dxa"/>
            <w:shd w:val="clear" w:color="auto" w:fill="C4EFCE"/>
            <w:vAlign w:val="center"/>
            <w:hideMark/>
          </w:tcPr>
          <w:p w14:paraId="2FA90289" w14:textId="77777777" w:rsidR="00F24946" w:rsidRDefault="00613B06">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01D312C5"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983D09B" w14:textId="4A5620C6" w:rsidR="00F24946" w:rsidRDefault="00613B06">
            <w:pPr>
              <w:pStyle w:val="P68B1DB1-Normal8"/>
              <w:spacing w:after="0" w:line="240" w:lineRule="auto"/>
              <w:jc w:val="center"/>
              <w:rPr>
                <w:rFonts w:eastAsia="Times New Roman" w:cs="Calibri"/>
                <w:noProof/>
              </w:rPr>
            </w:pPr>
            <w:r>
              <w:rPr>
                <w:noProof/>
              </w:rPr>
              <w:t xml:space="preserve">Sklepanje pogodb za razvoj novih proizvodov, procesov ali storitev na strateških področjih, pomembnih za nizkoogljično gospodarstvo, odpornost in prilagajanje podnebnim spremembam. </w:t>
            </w:r>
          </w:p>
        </w:tc>
        <w:tc>
          <w:tcPr>
            <w:tcW w:w="2029" w:type="dxa"/>
            <w:shd w:val="clear" w:color="auto" w:fill="C4EFCE"/>
            <w:vAlign w:val="center"/>
            <w:hideMark/>
          </w:tcPr>
          <w:p w14:paraId="70E69742"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945C4B9"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6498CFE3"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56C19C5" w14:textId="77777777" w:rsidR="00F24946" w:rsidRDefault="00613B06">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2F258065"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4CBB76C3" w14:textId="77777777" w:rsidR="00F24946" w:rsidRDefault="00613B06">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F200E4" w14:textId="77777777" w:rsidR="00F24946" w:rsidRDefault="00613B06">
            <w:pPr>
              <w:pStyle w:val="P68B1DB1-Normal8"/>
              <w:spacing w:after="0" w:line="240" w:lineRule="auto"/>
              <w:jc w:val="both"/>
              <w:rPr>
                <w:rFonts w:eastAsia="Times New Roman" w:cs="Calibri"/>
                <w:noProof/>
              </w:rPr>
            </w:pPr>
            <w:r>
              <w:rPr>
                <w:noProof/>
              </w:rPr>
              <w:t>Sklenitev štirih pogodb (inovacijski pakti ali projekti mobilizacije) s konzorciji, ki vključujejo: Identifikacijo subjektov v sestavi konzorcija;</w:t>
            </w:r>
          </w:p>
          <w:p w14:paraId="270B450D" w14:textId="4F7D3223" w:rsidR="00F24946" w:rsidRDefault="00613B06">
            <w:pPr>
              <w:pStyle w:val="P68B1DB1-Normal8"/>
              <w:spacing w:after="0" w:line="240" w:lineRule="auto"/>
              <w:jc w:val="both"/>
              <w:rPr>
                <w:rFonts w:eastAsia="Times New Roman" w:cs="Calibri"/>
                <w:noProof/>
              </w:rPr>
            </w:pPr>
            <w:r>
              <w:rPr>
                <w:noProof/>
              </w:rPr>
              <w:t xml:space="preserve">Poslovni načrt/naložba; </w:t>
            </w:r>
          </w:p>
          <w:p w14:paraId="026E6977" w14:textId="77777777" w:rsidR="00F24946" w:rsidRDefault="00613B06">
            <w:pPr>
              <w:pStyle w:val="P68B1DB1-Normal8"/>
              <w:spacing w:after="0" w:line="240" w:lineRule="auto"/>
              <w:jc w:val="both"/>
              <w:rPr>
                <w:rFonts w:eastAsia="Times New Roman" w:cs="Calibri"/>
                <w:noProof/>
              </w:rPr>
            </w:pPr>
            <w:r>
              <w:rPr>
                <w:noProof/>
              </w:rPr>
              <w:t xml:space="preserve">znesek financiranja; </w:t>
            </w:r>
          </w:p>
          <w:p w14:paraId="3DAD31FF" w14:textId="77777777" w:rsidR="00F24946" w:rsidRDefault="00613B06">
            <w:pPr>
              <w:pStyle w:val="P68B1DB1-Normal8"/>
              <w:spacing w:after="0" w:line="240" w:lineRule="auto"/>
              <w:jc w:val="both"/>
              <w:rPr>
                <w:rFonts w:eastAsia="Times New Roman" w:cs="Calibri"/>
                <w:noProof/>
              </w:rPr>
            </w:pPr>
            <w:r>
              <w:rPr>
                <w:noProof/>
              </w:rPr>
              <w:t xml:space="preserve">Cilje, h katerim je upravičenec zavezan; </w:t>
            </w:r>
          </w:p>
          <w:p w14:paraId="7918E159" w14:textId="77777777" w:rsidR="00F24946" w:rsidRDefault="00613B06">
            <w:pPr>
              <w:pStyle w:val="P68B1DB1-Normal8"/>
              <w:spacing w:after="0" w:line="240" w:lineRule="auto"/>
              <w:jc w:val="both"/>
              <w:rPr>
                <w:rFonts w:eastAsia="Times New Roman" w:cs="Calibri"/>
                <w:noProof/>
              </w:rPr>
            </w:pPr>
            <w:r>
              <w:rPr>
                <w:noProof/>
              </w:rPr>
              <w:t>Oblika spremljanja.</w:t>
            </w:r>
          </w:p>
          <w:p w14:paraId="663B5E0B" w14:textId="77777777" w:rsidR="00F24946" w:rsidRDefault="00F24946">
            <w:pPr>
              <w:spacing w:after="0" w:line="240" w:lineRule="auto"/>
              <w:jc w:val="both"/>
              <w:rPr>
                <w:rFonts w:ascii="Calibri" w:eastAsia="Times New Roman" w:hAnsi="Calibri" w:cs="Calibri"/>
                <w:noProof/>
                <w:sz w:val="16"/>
              </w:rPr>
            </w:pPr>
          </w:p>
          <w:p w14:paraId="4EC7E909" w14:textId="1C2F6D07" w:rsidR="00F24946" w:rsidRDefault="00613B06">
            <w:pPr>
              <w:pStyle w:val="P68B1DB1-Normal9"/>
              <w:spacing w:after="0" w:line="240" w:lineRule="auto"/>
              <w:jc w:val="both"/>
              <w:rPr>
                <w:rFonts w:eastAsia="Times New Roman" w:cs="Calibri"/>
                <w:noProof/>
                <w:sz w:val="16"/>
              </w:rPr>
            </w:pPr>
            <w:r>
              <w:rPr>
                <w:noProof/>
                <w:sz w:val="16"/>
              </w:rPr>
              <w:t>Pogodbe podpirajo skupno najmanj 40 proizvodov, procesov ali storitev in odražajo usklajenost s področjem ukrepanja 022 (procesi raziskav in inovacij, prenos tehnologije in sodelovanje med podjetji s poudarkom na nizkoogljičnem gospodarstvu ter odpornosti in prilagajanju podnebnim spremembam).</w:t>
            </w:r>
            <w:r>
              <w:rPr>
                <w:noProof/>
              </w:rPr>
              <w:t xml:space="preserve"> </w:t>
            </w:r>
            <w:r>
              <w:rPr>
                <w:noProof/>
                <w:sz w:val="16"/>
              </w:rPr>
              <w:t>Mandat vključuje merila za upravičenost, ki zagotavljajo, da so izbrani projekti skladni s tehničnimi smernicami, da se ne škoduje bistveno (2021/C58/01), z uporabo seznama za izključitev in zahtevo po skladnosti z ustrezno okoljsko zakonodajo EU in nacionalno okoljsko zakonodajo.</w:t>
            </w:r>
          </w:p>
        </w:tc>
      </w:tr>
      <w:tr w:rsidR="00F24946" w14:paraId="7CCE9FC2" w14:textId="77777777">
        <w:trPr>
          <w:trHeight w:val="1405"/>
        </w:trPr>
        <w:tc>
          <w:tcPr>
            <w:tcW w:w="1134" w:type="dxa"/>
            <w:shd w:val="clear" w:color="auto" w:fill="C4EFCE"/>
            <w:vAlign w:val="center"/>
            <w:hideMark/>
          </w:tcPr>
          <w:p w14:paraId="42B4F12E" w14:textId="77777777" w:rsidR="00F24946" w:rsidRDefault="00613B06">
            <w:pPr>
              <w:pStyle w:val="P68B1DB1-Normal7"/>
              <w:spacing w:after="0" w:line="240" w:lineRule="auto"/>
              <w:jc w:val="center"/>
              <w:rPr>
                <w:rFonts w:eastAsia="Times New Roman" w:cs="Calibri"/>
                <w:noProof/>
              </w:rPr>
            </w:pPr>
            <w:r>
              <w:rPr>
                <w:noProof/>
              </w:rPr>
              <w:t>5.8</w:t>
            </w:r>
          </w:p>
        </w:tc>
        <w:tc>
          <w:tcPr>
            <w:tcW w:w="1165" w:type="dxa"/>
            <w:shd w:val="clear" w:color="auto" w:fill="C4EFCE"/>
            <w:vAlign w:val="center"/>
            <w:hideMark/>
          </w:tcPr>
          <w:p w14:paraId="32953778" w14:textId="77777777" w:rsidR="00F24946" w:rsidRDefault="00613B06">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217DD48E"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3501CE1" w14:textId="77777777" w:rsidR="00F24946" w:rsidRDefault="00613B06">
            <w:pPr>
              <w:pStyle w:val="P68B1DB1-Normal8"/>
              <w:spacing w:after="0" w:line="240" w:lineRule="auto"/>
              <w:jc w:val="center"/>
              <w:rPr>
                <w:rFonts w:eastAsia="Times New Roman" w:cs="Calibri"/>
                <w:noProof/>
              </w:rPr>
            </w:pPr>
            <w:r>
              <w:rPr>
                <w:noProof/>
              </w:rPr>
              <w:t xml:space="preserve">Dokončani proizvodi, procesi ali storitve v zvezi z nizkoogljičnim gospodarstvom, odpornostjo in prilagajanjem podnebnim spremembam </w:t>
            </w:r>
          </w:p>
        </w:tc>
        <w:tc>
          <w:tcPr>
            <w:tcW w:w="2029" w:type="dxa"/>
            <w:shd w:val="clear" w:color="auto" w:fill="C4EFCE"/>
            <w:vAlign w:val="center"/>
            <w:hideMark/>
          </w:tcPr>
          <w:p w14:paraId="6370E703"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D5B40EB"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30D6679D"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C51CFC6" w14:textId="77777777" w:rsidR="00F24946" w:rsidRDefault="00613B06">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599C9B52"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67FF8210"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502D8185" w14:textId="77777777" w:rsidR="00F24946" w:rsidRDefault="00613B06">
            <w:pPr>
              <w:pStyle w:val="P68B1DB1-Normal8"/>
              <w:spacing w:after="0" w:line="240" w:lineRule="auto"/>
              <w:jc w:val="both"/>
              <w:rPr>
                <w:rFonts w:eastAsia="Times New Roman" w:cs="Calibri"/>
                <w:noProof/>
              </w:rPr>
            </w:pPr>
            <w:r>
              <w:rPr>
                <w:noProof/>
              </w:rPr>
              <w:t>Dokončanje proizvodov, postopkov ali storitev, ki izhajajo iz izvajanja štirih pogodb (inovacijski pakti ali mobilizacija projektov), sklenjenih s konzorciji, kar odraža uskladitev s področjem ukrepanja 022 (procesi raziskav in inovacij, prenos tehnologije in sodelovanje med podjetji s poudarkom na nizkoogljičnem gospodarstvu ter odpornosti in prilagajanju podnebnim spremembam).</w:t>
            </w:r>
          </w:p>
        </w:tc>
      </w:tr>
      <w:tr w:rsidR="00F24946" w14:paraId="7306DD3C" w14:textId="77777777">
        <w:trPr>
          <w:trHeight w:val="420"/>
        </w:trPr>
        <w:tc>
          <w:tcPr>
            <w:tcW w:w="1134" w:type="dxa"/>
            <w:shd w:val="clear" w:color="auto" w:fill="C4EFCE"/>
            <w:vAlign w:val="center"/>
            <w:hideMark/>
          </w:tcPr>
          <w:p w14:paraId="1DD3CA84" w14:textId="77777777" w:rsidR="00F24946" w:rsidRDefault="00613B06">
            <w:pPr>
              <w:pStyle w:val="P68B1DB1-Normal7"/>
              <w:spacing w:after="0" w:line="240" w:lineRule="auto"/>
              <w:jc w:val="center"/>
              <w:rPr>
                <w:rFonts w:eastAsia="Times New Roman" w:cs="Calibri"/>
                <w:noProof/>
              </w:rPr>
            </w:pPr>
            <w:r>
              <w:rPr>
                <w:noProof/>
              </w:rPr>
              <w:t>5.9</w:t>
            </w:r>
          </w:p>
        </w:tc>
        <w:tc>
          <w:tcPr>
            <w:tcW w:w="1165" w:type="dxa"/>
            <w:shd w:val="clear" w:color="auto" w:fill="C4EFCE"/>
            <w:vAlign w:val="center"/>
            <w:hideMark/>
          </w:tcPr>
          <w:p w14:paraId="610CF94D" w14:textId="77777777" w:rsidR="00F24946" w:rsidRDefault="00613B06">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49C4E686"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21CC7D92" w14:textId="62765798" w:rsidR="00F24946" w:rsidRDefault="00613B06">
            <w:pPr>
              <w:pStyle w:val="P68B1DB1-Normal8"/>
              <w:spacing w:after="0" w:line="240" w:lineRule="auto"/>
              <w:jc w:val="center"/>
              <w:rPr>
                <w:rFonts w:eastAsia="Times New Roman" w:cs="Calibri"/>
                <w:noProof/>
              </w:rPr>
            </w:pPr>
            <w:r>
              <w:rPr>
                <w:noProof/>
              </w:rPr>
              <w:t xml:space="preserve">Sklenjene pogodbe z vmesnimi subjekti, vključno s sodelovalnimi laboratoriji-Colabs </w:t>
            </w:r>
          </w:p>
        </w:tc>
        <w:tc>
          <w:tcPr>
            <w:tcW w:w="2029" w:type="dxa"/>
            <w:shd w:val="clear" w:color="auto" w:fill="C4EFCE"/>
            <w:vAlign w:val="center"/>
            <w:hideMark/>
          </w:tcPr>
          <w:p w14:paraId="3CFA0A2E"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F654CC4"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4C3EF509"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64B4173" w14:textId="77777777" w:rsidR="00F24946" w:rsidRDefault="00613B06">
            <w:pPr>
              <w:pStyle w:val="P68B1DB1-Normal8"/>
              <w:spacing w:after="0" w:line="240" w:lineRule="auto"/>
              <w:jc w:val="center"/>
              <w:rPr>
                <w:rFonts w:eastAsia="Times New Roman" w:cs="Calibri"/>
                <w:noProof/>
              </w:rPr>
            </w:pPr>
            <w:r>
              <w:rPr>
                <w:noProof/>
              </w:rPr>
              <w:t>20</w:t>
            </w:r>
          </w:p>
        </w:tc>
        <w:tc>
          <w:tcPr>
            <w:tcW w:w="514" w:type="dxa"/>
            <w:shd w:val="clear" w:color="auto" w:fill="C4EFCE"/>
            <w:vAlign w:val="center"/>
            <w:hideMark/>
          </w:tcPr>
          <w:p w14:paraId="301A90D3"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0632C366" w14:textId="77777777" w:rsidR="00F24946" w:rsidRDefault="00613B06">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41D8E0A7" w14:textId="77777777" w:rsidR="00F24946" w:rsidRDefault="00613B06">
            <w:pPr>
              <w:pStyle w:val="P68B1DB1-Normal8"/>
              <w:spacing w:after="0" w:line="240" w:lineRule="auto"/>
              <w:jc w:val="both"/>
              <w:rPr>
                <w:rFonts w:eastAsia="Times New Roman" w:cs="Calibri"/>
                <w:noProof/>
              </w:rPr>
            </w:pPr>
            <w:r>
              <w:rPr>
                <w:noProof/>
              </w:rPr>
              <w:t xml:space="preserve">Na podlagi javnega razpisa se izberejo subjekti, ki jih je treba podpreti. Ta razpis je omejen na predlagatelje, ki so priznani kot „vmesniki“ ali kot sodelovalni laboratoriji. </w:t>
            </w:r>
          </w:p>
          <w:p w14:paraId="7F724A76" w14:textId="77777777" w:rsidR="00F24946" w:rsidRDefault="00F24946">
            <w:pPr>
              <w:spacing w:after="0" w:line="240" w:lineRule="auto"/>
              <w:jc w:val="both"/>
              <w:rPr>
                <w:rFonts w:ascii="Calibri" w:eastAsia="Times New Roman" w:hAnsi="Calibri" w:cs="Calibri"/>
                <w:noProof/>
                <w:sz w:val="16"/>
              </w:rPr>
            </w:pPr>
          </w:p>
          <w:p w14:paraId="647EE43D" w14:textId="710B48F1" w:rsidR="00F24946" w:rsidRDefault="00613B06">
            <w:pPr>
              <w:pStyle w:val="P68B1DB1-Normal9"/>
              <w:spacing w:after="0" w:line="240" w:lineRule="auto"/>
              <w:jc w:val="both"/>
              <w:rPr>
                <w:rFonts w:eastAsia="Times New Roman" w:cs="Calibri"/>
                <w:noProof/>
                <w:sz w:val="16"/>
              </w:rPr>
            </w:pPr>
            <w:r>
              <w:rPr>
                <w:noProof/>
                <w:sz w:val="16"/>
              </w:rPr>
              <w:t>Pogodbe odražajo usklajenost s področjema ukrepanja 021 (prenos tehnologije in sodelovanje med podjetji, raziskovalnimi središči in izobraževalnim sektorjem) in/ali 022 (Postopki raziskav in inovacij, prenos tehnologije in sodelovanje med podjetji s poudarkom na nizkoogljičnem gospodarstvu ter odpornosti in prilagajanju podnebnim spremembam).</w:t>
            </w:r>
            <w:r>
              <w:rPr>
                <w:noProof/>
              </w:rPr>
              <w:t xml:space="preserve"> </w:t>
            </w:r>
            <w:r>
              <w:rPr>
                <w:noProof/>
                <w:sz w:val="16"/>
              </w:rPr>
              <w:t>Mandat vključuje merila za upravičenost, ki zagotavljajo, da so izbrani projekti skladni s tehničnimi smernicami, da se ne škoduje bistveno (2021/C58/01), z uporabo seznama za izključitev in zahtevo po skladnosti z ustrezno okoljsko zakonodajo EU in nacionalno okoljsko zakonodajo.</w:t>
            </w:r>
          </w:p>
        </w:tc>
      </w:tr>
      <w:tr w:rsidR="00F24946" w14:paraId="5DDFFD35" w14:textId="77777777">
        <w:trPr>
          <w:trHeight w:val="1366"/>
        </w:trPr>
        <w:tc>
          <w:tcPr>
            <w:tcW w:w="1134" w:type="dxa"/>
            <w:shd w:val="clear" w:color="auto" w:fill="C4EFCE"/>
            <w:vAlign w:val="center"/>
            <w:hideMark/>
          </w:tcPr>
          <w:p w14:paraId="4A7C31C4" w14:textId="77777777" w:rsidR="00F24946" w:rsidRDefault="00613B06">
            <w:pPr>
              <w:pStyle w:val="P68B1DB1-Normal7"/>
              <w:spacing w:after="0" w:line="240" w:lineRule="auto"/>
              <w:jc w:val="center"/>
              <w:rPr>
                <w:rFonts w:eastAsia="Times New Roman" w:cs="Calibri"/>
                <w:noProof/>
              </w:rPr>
            </w:pPr>
            <w:r>
              <w:rPr>
                <w:noProof/>
              </w:rPr>
              <w:t>5.10</w:t>
            </w:r>
          </w:p>
        </w:tc>
        <w:tc>
          <w:tcPr>
            <w:tcW w:w="1165" w:type="dxa"/>
            <w:shd w:val="clear" w:color="auto" w:fill="C4EFCE"/>
            <w:vAlign w:val="center"/>
            <w:hideMark/>
          </w:tcPr>
          <w:p w14:paraId="198E11A9" w14:textId="77777777" w:rsidR="00F24946" w:rsidRDefault="00613B06">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7A48319F"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EA48790" w14:textId="77777777" w:rsidR="00F24946" w:rsidRDefault="00613B06">
            <w:pPr>
              <w:pStyle w:val="P68B1DB1-Normal8"/>
              <w:spacing w:after="0" w:line="240" w:lineRule="auto"/>
              <w:jc w:val="center"/>
              <w:rPr>
                <w:rFonts w:eastAsia="Times New Roman" w:cs="Calibri"/>
                <w:noProof/>
              </w:rPr>
            </w:pPr>
            <w:r>
              <w:rPr>
                <w:noProof/>
              </w:rPr>
              <w:t>Podjetja, ki imajo koristi od storitev, ki jih zagotavljajo vmesni subjekti, vključno s sodelovalnimi laboratoriji – Colabs</w:t>
            </w:r>
          </w:p>
        </w:tc>
        <w:tc>
          <w:tcPr>
            <w:tcW w:w="2029" w:type="dxa"/>
            <w:shd w:val="clear" w:color="auto" w:fill="C4EFCE"/>
            <w:vAlign w:val="center"/>
            <w:hideMark/>
          </w:tcPr>
          <w:p w14:paraId="48F1813E"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3F810DF"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0EAC23B1"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CE1E755" w14:textId="77777777" w:rsidR="00F24946" w:rsidRDefault="00613B06">
            <w:pPr>
              <w:pStyle w:val="P68B1DB1-Normal8"/>
              <w:spacing w:after="0" w:line="240" w:lineRule="auto"/>
              <w:jc w:val="center"/>
              <w:rPr>
                <w:rFonts w:eastAsia="Times New Roman" w:cs="Calibri"/>
                <w:noProof/>
              </w:rPr>
            </w:pPr>
            <w:r>
              <w:rPr>
                <w:noProof/>
              </w:rPr>
              <w:t>500</w:t>
            </w:r>
          </w:p>
        </w:tc>
        <w:tc>
          <w:tcPr>
            <w:tcW w:w="514" w:type="dxa"/>
            <w:shd w:val="clear" w:color="auto" w:fill="C4EFCE"/>
            <w:vAlign w:val="center"/>
            <w:hideMark/>
          </w:tcPr>
          <w:p w14:paraId="0174A444"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72CE65E5"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327EDF0" w14:textId="77777777" w:rsidR="00F24946" w:rsidRDefault="00613B06">
            <w:pPr>
              <w:pStyle w:val="P68B1DB1-Normal8"/>
              <w:spacing w:after="0" w:line="240" w:lineRule="auto"/>
              <w:jc w:val="both"/>
              <w:rPr>
                <w:rFonts w:eastAsia="Times New Roman" w:cs="Calibri"/>
                <w:noProof/>
              </w:rPr>
            </w:pPr>
            <w:r>
              <w:rPr>
                <w:noProof/>
              </w:rPr>
              <w:t>Poročila o izvajanju, ki jih morajo vmesni subjekti vsako leto predložiti, omogočajo merjenje kvantitativnega napredka glede na posebne cilje, sprejete ob dodelitvi osnovnega financiranja, zlasti števila podjetij, ki imajo koristi od zagotovljenih storitev.</w:t>
            </w:r>
          </w:p>
        </w:tc>
      </w:tr>
      <w:tr w:rsidR="00F24946" w14:paraId="296A7EE2" w14:textId="77777777">
        <w:trPr>
          <w:trHeight w:val="420"/>
        </w:trPr>
        <w:tc>
          <w:tcPr>
            <w:tcW w:w="1134" w:type="dxa"/>
            <w:shd w:val="clear" w:color="auto" w:fill="C4EFCE"/>
            <w:vAlign w:val="center"/>
            <w:hideMark/>
          </w:tcPr>
          <w:p w14:paraId="7501BF2E" w14:textId="0A9B9B12" w:rsidR="00F24946" w:rsidRDefault="00613B06">
            <w:pPr>
              <w:pStyle w:val="P68B1DB1-Normal7"/>
              <w:spacing w:after="0" w:line="240" w:lineRule="auto"/>
              <w:jc w:val="center"/>
              <w:rPr>
                <w:rFonts w:eastAsia="Times New Roman" w:cs="Calibri"/>
                <w:noProof/>
              </w:rPr>
            </w:pPr>
            <w:r>
              <w:rPr>
                <w:noProof/>
              </w:rPr>
              <w:t>5.11</w:t>
            </w:r>
          </w:p>
        </w:tc>
        <w:tc>
          <w:tcPr>
            <w:tcW w:w="1165" w:type="dxa"/>
            <w:shd w:val="clear" w:color="auto" w:fill="C4EFCE"/>
            <w:vAlign w:val="center"/>
            <w:hideMark/>
          </w:tcPr>
          <w:p w14:paraId="5F103B40" w14:textId="77777777" w:rsidR="00F24946" w:rsidRDefault="00613B06">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BDE3B0"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BD49DD1" w14:textId="77777777" w:rsidR="00F24946" w:rsidRDefault="00613B06">
            <w:pPr>
              <w:pStyle w:val="P68B1DB1-Normal8"/>
              <w:spacing w:after="0" w:line="240" w:lineRule="auto"/>
              <w:jc w:val="center"/>
              <w:rPr>
                <w:rFonts w:eastAsia="Times New Roman" w:cs="Calibri"/>
                <w:noProof/>
              </w:rPr>
            </w:pPr>
            <w:r>
              <w:rPr>
                <w:noProof/>
              </w:rPr>
              <w:t xml:space="preserve">Razpisni postopek za raziskovalne in inovacijske projekte </w:t>
            </w:r>
          </w:p>
        </w:tc>
        <w:tc>
          <w:tcPr>
            <w:tcW w:w="2029" w:type="dxa"/>
            <w:shd w:val="clear" w:color="auto" w:fill="C4EFCE"/>
            <w:vAlign w:val="center"/>
            <w:hideMark/>
          </w:tcPr>
          <w:p w14:paraId="56B754AF" w14:textId="77777777" w:rsidR="00F24946" w:rsidRDefault="00613B06">
            <w:pPr>
              <w:pStyle w:val="P68B1DB1-Normal8"/>
              <w:spacing w:after="0" w:line="240" w:lineRule="auto"/>
              <w:jc w:val="center"/>
              <w:rPr>
                <w:rFonts w:eastAsia="Times New Roman" w:cs="Calibri"/>
                <w:noProof/>
              </w:rPr>
            </w:pPr>
            <w:r>
              <w:rPr>
                <w:noProof/>
              </w:rPr>
              <w:t xml:space="preserve">Objava obvestila o začetku razpisnega postopka za raziskovalne in inovacijske projekte </w:t>
            </w:r>
          </w:p>
        </w:tc>
        <w:tc>
          <w:tcPr>
            <w:tcW w:w="982" w:type="dxa"/>
            <w:shd w:val="clear" w:color="auto" w:fill="C4EFCE"/>
            <w:vAlign w:val="center"/>
            <w:hideMark/>
          </w:tcPr>
          <w:p w14:paraId="52389DDB"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10CC40E"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1CA43B3"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793F21D" w14:textId="77777777" w:rsidR="00F24946" w:rsidRDefault="00613B06">
            <w:pPr>
              <w:pStyle w:val="P68B1DB1-Normal8"/>
              <w:spacing w:after="0" w:line="240" w:lineRule="auto"/>
              <w:jc w:val="center"/>
              <w:rPr>
                <w:rFonts w:eastAsia="Times New Roman" w:cs="Calibri"/>
                <w:noProof/>
              </w:rPr>
            </w:pPr>
            <w:r>
              <w:rPr>
                <w:noProof/>
              </w:rPr>
              <w:t>Q3</w:t>
            </w:r>
          </w:p>
        </w:tc>
        <w:tc>
          <w:tcPr>
            <w:tcW w:w="747" w:type="dxa"/>
            <w:shd w:val="clear" w:color="auto" w:fill="C4EFCE"/>
            <w:vAlign w:val="center"/>
            <w:hideMark/>
          </w:tcPr>
          <w:p w14:paraId="51BBEBF8"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9C4175C" w14:textId="77777777" w:rsidR="00F24946" w:rsidRDefault="00613B06">
            <w:pPr>
              <w:pStyle w:val="P68B1DB1-Normal8"/>
              <w:spacing w:after="0" w:line="240" w:lineRule="auto"/>
              <w:jc w:val="both"/>
              <w:rPr>
                <w:rFonts w:eastAsia="Times New Roman" w:cs="Calibri"/>
                <w:noProof/>
              </w:rPr>
            </w:pPr>
            <w:r>
              <w:rPr>
                <w:noProof/>
              </w:rPr>
              <w:t xml:space="preserve">Objava javnega razpisa za raziskovalne in inovacijske programe/projekte, ki se financirajo v okviru pobud inovacijskega programa za kmetijstvo do leta 2030. </w:t>
            </w:r>
          </w:p>
          <w:p w14:paraId="424377D2" w14:textId="77777777" w:rsidR="00F24946" w:rsidRDefault="00F24946">
            <w:pPr>
              <w:spacing w:after="0" w:line="240" w:lineRule="auto"/>
              <w:jc w:val="both"/>
              <w:rPr>
                <w:rFonts w:ascii="Calibri" w:eastAsia="Times New Roman" w:hAnsi="Calibri" w:cs="Calibri"/>
                <w:noProof/>
                <w:sz w:val="16"/>
              </w:rPr>
            </w:pPr>
          </w:p>
          <w:p w14:paraId="4EAA924A" w14:textId="77777777" w:rsidR="00F24946" w:rsidRDefault="00613B06">
            <w:pPr>
              <w:pStyle w:val="P68B1DB1-Normal8"/>
              <w:spacing w:after="0" w:line="240" w:lineRule="auto"/>
              <w:jc w:val="both"/>
              <w:rPr>
                <w:rFonts w:eastAsia="Times New Roman" w:cs="Calibri"/>
                <w:noProof/>
              </w:rPr>
            </w:pPr>
            <w:r>
              <w:rPr>
                <w:noProof/>
              </w:rPr>
              <w:t xml:space="preserve">Mandat vključuje merila za upravičenost, ki zagotavljajo, da so izbrani projekti skladni s tehničnimi smernicami za uporabo načela, da se ne škoduje bistveno (2021/C58/01), in sicer z uporabo seznama za izključitev in zahtevo po skladnosti z ustrezno okoljsko zakonodajo EU in nacionalno okoljsko zakonodajo. Merila za izbor zagotavljajo, da so projekti osredotočeni na: </w:t>
            </w:r>
          </w:p>
          <w:p w14:paraId="6AB443B7" w14:textId="3523683F" w:rsidR="00F24946" w:rsidRDefault="00613B06">
            <w:pPr>
              <w:pStyle w:val="P68B1DB1-Normal8"/>
              <w:spacing w:after="0" w:line="240" w:lineRule="auto"/>
              <w:rPr>
                <w:rFonts w:eastAsia="Times New Roman" w:cs="Calibri"/>
                <w:noProof/>
              </w:rPr>
            </w:pPr>
            <w:r>
              <w:rPr>
                <w:noProof/>
              </w:rPr>
              <w:t xml:space="preserve">o nizkoogljičnem gospodarstvu, odpornosti in prilagajanju podnebnim spremembam z zmanjšanjem emisij, povečanjem sekvestracije ogljika ali krepitvijo odpornosti in prilagajanja podnebnim spremembam, kar odraža zahteve področja ukrepanja 022, kot je navedeno v Prilogi VI k uredbi o mehanizmu za okrevanje in odpornost </w:t>
            </w:r>
          </w:p>
          <w:p w14:paraId="31587418" w14:textId="3A5A6E5D" w:rsidR="00F24946" w:rsidRDefault="00613B06">
            <w:pPr>
              <w:pStyle w:val="P68B1DB1-Normal8"/>
              <w:spacing w:after="0" w:line="240" w:lineRule="auto"/>
              <w:jc w:val="both"/>
              <w:rPr>
                <w:rFonts w:eastAsia="Times New Roman" w:cs="Calibri"/>
                <w:noProof/>
              </w:rPr>
            </w:pPr>
            <w:r>
              <w:rPr>
                <w:noProof/>
              </w:rPr>
              <w:t>— ali o projektih raziskav in razvoja na področju digitalizacije, kot so enotni kmetijski portal, digitalni prehod ter projekti raziskav in inovacij, povezani z vrednostnimi verigami, ki odražajo zahteve področja intervencije 009.</w:t>
            </w:r>
          </w:p>
        </w:tc>
      </w:tr>
      <w:tr w:rsidR="00F24946" w14:paraId="00335F0E" w14:textId="77777777">
        <w:trPr>
          <w:trHeight w:val="1347"/>
        </w:trPr>
        <w:tc>
          <w:tcPr>
            <w:tcW w:w="1134" w:type="dxa"/>
            <w:shd w:val="clear" w:color="auto" w:fill="C4EFCE"/>
            <w:vAlign w:val="center"/>
            <w:hideMark/>
          </w:tcPr>
          <w:p w14:paraId="6928F1B6" w14:textId="77777777" w:rsidR="00F24946" w:rsidRDefault="00613B06">
            <w:pPr>
              <w:pStyle w:val="P68B1DB1-Normal7"/>
              <w:spacing w:after="0" w:line="240" w:lineRule="auto"/>
              <w:jc w:val="center"/>
              <w:rPr>
                <w:rFonts w:eastAsia="Times New Roman" w:cs="Calibri"/>
                <w:noProof/>
              </w:rPr>
            </w:pPr>
            <w:r>
              <w:rPr>
                <w:noProof/>
              </w:rPr>
              <w:t>5.12</w:t>
            </w:r>
          </w:p>
        </w:tc>
        <w:tc>
          <w:tcPr>
            <w:tcW w:w="1165" w:type="dxa"/>
            <w:shd w:val="clear" w:color="auto" w:fill="C4EFCE"/>
            <w:vAlign w:val="center"/>
            <w:hideMark/>
          </w:tcPr>
          <w:p w14:paraId="62CDCC6D" w14:textId="77777777" w:rsidR="00F24946" w:rsidRDefault="00613B06">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284E5D"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152F452" w14:textId="77777777" w:rsidR="00F24946" w:rsidRDefault="00613B06">
            <w:pPr>
              <w:pStyle w:val="P68B1DB1-Normal8"/>
              <w:spacing w:after="0" w:line="240" w:lineRule="auto"/>
              <w:jc w:val="center"/>
              <w:rPr>
                <w:rFonts w:eastAsia="Times New Roman" w:cs="Calibri"/>
                <w:noProof/>
              </w:rPr>
            </w:pPr>
            <w:r>
              <w:rPr>
                <w:noProof/>
              </w:rPr>
              <w:t xml:space="preserve">Zaključek inovacijskih in raziskovalnih projektov, osredotočenih na zelene vidike inovacijske agende za kmetijstvo do leta 2030 </w:t>
            </w:r>
          </w:p>
        </w:tc>
        <w:tc>
          <w:tcPr>
            <w:tcW w:w="2029" w:type="dxa"/>
            <w:shd w:val="clear" w:color="auto" w:fill="C4EFCE"/>
            <w:vAlign w:val="center"/>
            <w:hideMark/>
          </w:tcPr>
          <w:p w14:paraId="6673998C"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BD66CB2"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6C14CFFD"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57C0954" w14:textId="77777777" w:rsidR="00F24946" w:rsidRDefault="00613B06">
            <w:pPr>
              <w:pStyle w:val="P68B1DB1-Normal8"/>
              <w:spacing w:after="0" w:line="240" w:lineRule="auto"/>
              <w:jc w:val="center"/>
              <w:rPr>
                <w:rFonts w:eastAsia="Times New Roman" w:cs="Calibri"/>
                <w:noProof/>
              </w:rPr>
            </w:pPr>
            <w:r>
              <w:rPr>
                <w:noProof/>
              </w:rPr>
              <w:t>100</w:t>
            </w:r>
          </w:p>
        </w:tc>
        <w:tc>
          <w:tcPr>
            <w:tcW w:w="514" w:type="dxa"/>
            <w:shd w:val="clear" w:color="auto" w:fill="C4EFCE"/>
            <w:vAlign w:val="center"/>
            <w:hideMark/>
          </w:tcPr>
          <w:p w14:paraId="327ED56D" w14:textId="77777777" w:rsidR="00F24946" w:rsidRDefault="00613B06">
            <w:pPr>
              <w:pStyle w:val="P68B1DB1-Normal8"/>
              <w:spacing w:after="0" w:line="240" w:lineRule="auto"/>
              <w:jc w:val="center"/>
              <w:rPr>
                <w:rFonts w:eastAsia="Times New Roman" w:cs="Calibri"/>
                <w:noProof/>
              </w:rPr>
            </w:pPr>
            <w:r>
              <w:rPr>
                <w:noProof/>
              </w:rPr>
              <w:t>Q3</w:t>
            </w:r>
          </w:p>
        </w:tc>
        <w:tc>
          <w:tcPr>
            <w:tcW w:w="747" w:type="dxa"/>
            <w:shd w:val="clear" w:color="auto" w:fill="C4EFCE"/>
            <w:vAlign w:val="center"/>
            <w:hideMark/>
          </w:tcPr>
          <w:p w14:paraId="46CE7E74"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AD60965" w14:textId="77777777" w:rsidR="00F24946" w:rsidRDefault="00613B06">
            <w:pPr>
              <w:pStyle w:val="P68B1DB1-Normal8"/>
              <w:spacing w:after="0" w:line="240" w:lineRule="auto"/>
              <w:jc w:val="both"/>
              <w:rPr>
                <w:rFonts w:eastAsia="Times New Roman" w:cs="Calibri"/>
                <w:noProof/>
              </w:rPr>
            </w:pPr>
            <w:r>
              <w:rPr>
                <w:noProof/>
              </w:rPr>
              <w:t>Skupaj je bilo financiranih in zaključenih 100 projektov na področju raziskav in inovacij. Podpora raziskovalnim in inovacijskim projektom in programom, ki prispevajo k vsaj eni od 15 pobud iz inovacijskega programa in se osredotočajo na nizkoogljično gospodarstvo, odpornost in prilagajanje podnebnim spremembam.</w:t>
            </w:r>
          </w:p>
        </w:tc>
      </w:tr>
      <w:tr w:rsidR="00F24946" w14:paraId="58EE858D" w14:textId="77777777">
        <w:trPr>
          <w:trHeight w:val="1406"/>
        </w:trPr>
        <w:tc>
          <w:tcPr>
            <w:tcW w:w="1134" w:type="dxa"/>
            <w:shd w:val="clear" w:color="auto" w:fill="C4EFCE"/>
            <w:vAlign w:val="center"/>
            <w:hideMark/>
          </w:tcPr>
          <w:p w14:paraId="4DD25D33" w14:textId="77777777" w:rsidR="00F24946" w:rsidRDefault="00613B06">
            <w:pPr>
              <w:pStyle w:val="P68B1DB1-Normal7"/>
              <w:spacing w:after="0" w:line="240" w:lineRule="auto"/>
              <w:jc w:val="center"/>
              <w:rPr>
                <w:rFonts w:eastAsia="Times New Roman" w:cs="Calibri"/>
                <w:noProof/>
              </w:rPr>
            </w:pPr>
            <w:r>
              <w:rPr>
                <w:noProof/>
              </w:rPr>
              <w:t>5.13</w:t>
            </w:r>
          </w:p>
        </w:tc>
        <w:tc>
          <w:tcPr>
            <w:tcW w:w="1165" w:type="dxa"/>
            <w:shd w:val="clear" w:color="auto" w:fill="C4EFCE"/>
            <w:vAlign w:val="center"/>
            <w:hideMark/>
          </w:tcPr>
          <w:p w14:paraId="1A4E4173" w14:textId="77777777" w:rsidR="00F24946" w:rsidRDefault="00613B06">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4731AB6C"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78A357C" w14:textId="147DED00" w:rsidR="00F24946" w:rsidRDefault="00613B06">
            <w:pPr>
              <w:pStyle w:val="P68B1DB1-Normal8"/>
              <w:spacing w:after="0" w:line="240" w:lineRule="auto"/>
              <w:jc w:val="center"/>
              <w:rPr>
                <w:rFonts w:eastAsia="Times New Roman" w:cs="Calibri"/>
                <w:noProof/>
              </w:rPr>
            </w:pPr>
            <w:r>
              <w:rPr>
                <w:noProof/>
              </w:rPr>
              <w:t>Zaključek petih strukturnih projektov, ki se osredotočajo na digitalne vidike inovacijske agende za kmetijstvo do leta 2030</w:t>
            </w:r>
          </w:p>
        </w:tc>
        <w:tc>
          <w:tcPr>
            <w:tcW w:w="2029" w:type="dxa"/>
            <w:shd w:val="clear" w:color="auto" w:fill="C4EFCE"/>
            <w:vAlign w:val="center"/>
            <w:hideMark/>
          </w:tcPr>
          <w:p w14:paraId="6C32BB6C"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14D1538"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3533F044"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4954256" w14:textId="77777777" w:rsidR="00F24946" w:rsidRDefault="00613B06">
            <w:pPr>
              <w:pStyle w:val="P68B1DB1-Normal8"/>
              <w:spacing w:after="0" w:line="240" w:lineRule="auto"/>
              <w:jc w:val="center"/>
              <w:rPr>
                <w:rFonts w:eastAsia="Times New Roman" w:cs="Calibri"/>
                <w:noProof/>
              </w:rPr>
            </w:pPr>
            <w:r>
              <w:rPr>
                <w:noProof/>
              </w:rPr>
              <w:t>5</w:t>
            </w:r>
          </w:p>
        </w:tc>
        <w:tc>
          <w:tcPr>
            <w:tcW w:w="514" w:type="dxa"/>
            <w:shd w:val="clear" w:color="auto" w:fill="C4EFCE"/>
            <w:vAlign w:val="center"/>
            <w:hideMark/>
          </w:tcPr>
          <w:p w14:paraId="0D1EAAB9" w14:textId="77777777" w:rsidR="00F24946" w:rsidRDefault="00613B06">
            <w:pPr>
              <w:pStyle w:val="P68B1DB1-Normal8"/>
              <w:spacing w:after="0" w:line="240" w:lineRule="auto"/>
              <w:jc w:val="center"/>
              <w:rPr>
                <w:rFonts w:eastAsia="Times New Roman" w:cs="Calibri"/>
                <w:noProof/>
              </w:rPr>
            </w:pPr>
            <w:r>
              <w:rPr>
                <w:noProof/>
              </w:rPr>
              <w:t>Q3</w:t>
            </w:r>
          </w:p>
        </w:tc>
        <w:tc>
          <w:tcPr>
            <w:tcW w:w="747" w:type="dxa"/>
            <w:shd w:val="clear" w:color="auto" w:fill="C4EFCE"/>
            <w:vAlign w:val="center"/>
            <w:hideMark/>
          </w:tcPr>
          <w:p w14:paraId="6C8827A3"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E658D67" w14:textId="77777777" w:rsidR="00F24946" w:rsidRDefault="00613B06">
            <w:pPr>
              <w:pStyle w:val="P68B1DB1-Normal8"/>
              <w:spacing w:after="0" w:line="240" w:lineRule="auto"/>
              <w:jc w:val="both"/>
              <w:rPr>
                <w:rFonts w:eastAsia="Times New Roman" w:cs="Calibri"/>
                <w:noProof/>
              </w:rPr>
            </w:pPr>
            <w:r>
              <w:rPr>
                <w:noProof/>
              </w:rPr>
              <w:t>Skupaj pet financiranih in zaključenih projektov na področju inovacij. Podpora inovacijskim projektom, ki prispevajo k vsaj eni od 15 pobud iz inovacijskega programa in se osredotočajo na digitalizacijo.</w:t>
            </w:r>
          </w:p>
        </w:tc>
      </w:tr>
      <w:tr w:rsidR="00F24946" w14:paraId="0325433E" w14:textId="77777777">
        <w:trPr>
          <w:trHeight w:val="420"/>
        </w:trPr>
        <w:tc>
          <w:tcPr>
            <w:tcW w:w="1134" w:type="dxa"/>
            <w:shd w:val="clear" w:color="auto" w:fill="C4EFCE"/>
            <w:vAlign w:val="center"/>
            <w:hideMark/>
          </w:tcPr>
          <w:p w14:paraId="2C9BBFE3" w14:textId="330406B0" w:rsidR="00F24946" w:rsidRDefault="00613B06">
            <w:pPr>
              <w:pStyle w:val="P68B1DB1-Normal7"/>
              <w:spacing w:after="0" w:line="240" w:lineRule="auto"/>
              <w:jc w:val="center"/>
              <w:rPr>
                <w:rFonts w:eastAsia="Times New Roman" w:cs="Calibri"/>
                <w:noProof/>
              </w:rPr>
            </w:pPr>
            <w:r>
              <w:rPr>
                <w:noProof/>
              </w:rPr>
              <w:t>5.14</w:t>
            </w:r>
          </w:p>
        </w:tc>
        <w:tc>
          <w:tcPr>
            <w:tcW w:w="1165" w:type="dxa"/>
            <w:shd w:val="clear" w:color="auto" w:fill="C4EFCE"/>
            <w:vAlign w:val="center"/>
            <w:hideMark/>
          </w:tcPr>
          <w:p w14:paraId="6E1D1FCF" w14:textId="77777777" w:rsidR="00F24946" w:rsidRDefault="00613B06">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6E5A38D0"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6428411" w14:textId="77777777" w:rsidR="00F24946" w:rsidRDefault="00613B06">
            <w:pPr>
              <w:pStyle w:val="P68B1DB1-Normal8"/>
              <w:spacing w:after="0" w:line="240" w:lineRule="auto"/>
              <w:jc w:val="center"/>
              <w:rPr>
                <w:rFonts w:eastAsia="Times New Roman" w:cs="Calibri"/>
                <w:noProof/>
              </w:rPr>
            </w:pPr>
            <w:r>
              <w:rPr>
                <w:noProof/>
              </w:rPr>
              <w:t>Obnova/nadgradnja vozlišč za inovacije v kmetijstvu</w:t>
            </w:r>
          </w:p>
        </w:tc>
        <w:tc>
          <w:tcPr>
            <w:tcW w:w="2029" w:type="dxa"/>
            <w:shd w:val="clear" w:color="auto" w:fill="C4EFCE"/>
            <w:vAlign w:val="center"/>
            <w:hideMark/>
          </w:tcPr>
          <w:p w14:paraId="10D14770"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7AE3D33"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026E9922"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7F56B64" w14:textId="77777777" w:rsidR="00F24946" w:rsidRDefault="00613B06">
            <w:pPr>
              <w:pStyle w:val="P68B1DB1-Normal8"/>
              <w:spacing w:after="0" w:line="240" w:lineRule="auto"/>
              <w:jc w:val="center"/>
              <w:rPr>
                <w:rFonts w:eastAsia="Times New Roman" w:cs="Calibri"/>
                <w:noProof/>
              </w:rPr>
            </w:pPr>
            <w:r>
              <w:rPr>
                <w:noProof/>
              </w:rPr>
              <w:t>24</w:t>
            </w:r>
          </w:p>
        </w:tc>
        <w:tc>
          <w:tcPr>
            <w:tcW w:w="514" w:type="dxa"/>
            <w:shd w:val="clear" w:color="auto" w:fill="C4EFCE"/>
            <w:vAlign w:val="center"/>
            <w:hideMark/>
          </w:tcPr>
          <w:p w14:paraId="4D25C474"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3CEE80EA"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03E8138F" w14:textId="77777777" w:rsidR="00F24946" w:rsidRDefault="00613B06">
            <w:pPr>
              <w:pStyle w:val="P68B1DB1-Normal8"/>
              <w:spacing w:after="0" w:line="240" w:lineRule="auto"/>
              <w:jc w:val="both"/>
              <w:rPr>
                <w:rFonts w:eastAsia="Times New Roman" w:cs="Calibri"/>
                <w:noProof/>
              </w:rPr>
            </w:pPr>
            <w:r>
              <w:rPr>
                <w:noProof/>
              </w:rPr>
              <w:t xml:space="preserve">Vzpostavitev nacionalne inovacijske mreže za kmetijstvo, prehrano in razvoj podeželja z nadgradnjo 24 inovacijskih vozlišč. </w:t>
            </w:r>
          </w:p>
          <w:p w14:paraId="24D464A1" w14:textId="2ABBDBB2" w:rsidR="00F24946" w:rsidRDefault="00613B06">
            <w:pPr>
              <w:pStyle w:val="P68B1DB1-Normal8"/>
              <w:spacing w:after="0" w:line="240" w:lineRule="auto"/>
              <w:jc w:val="both"/>
              <w:rPr>
                <w:rFonts w:eastAsia="Times New Roman" w:cs="Calibri"/>
                <w:noProof/>
              </w:rPr>
            </w:pPr>
            <w:r>
              <w:rPr>
                <w:noProof/>
              </w:rPr>
              <w:t>Te naložbe zajemajo predvsem obnovo infrastrukture in nakup laboratorijske znanstvene opreme.</w:t>
            </w:r>
          </w:p>
        </w:tc>
      </w:tr>
      <w:tr w:rsidR="00F24946" w14:paraId="60F470C2" w14:textId="77777777">
        <w:trPr>
          <w:trHeight w:val="1050"/>
        </w:trPr>
        <w:tc>
          <w:tcPr>
            <w:tcW w:w="1134" w:type="dxa"/>
            <w:shd w:val="clear" w:color="auto" w:fill="C4EFCE"/>
            <w:vAlign w:val="center"/>
            <w:hideMark/>
          </w:tcPr>
          <w:p w14:paraId="5E8992DB" w14:textId="470E960C" w:rsidR="00F24946" w:rsidRDefault="00613B06">
            <w:pPr>
              <w:pStyle w:val="P68B1DB1-Normal7"/>
              <w:spacing w:after="0" w:line="240" w:lineRule="auto"/>
              <w:jc w:val="center"/>
              <w:rPr>
                <w:rFonts w:eastAsia="Times New Roman" w:cs="Calibri"/>
                <w:noProof/>
              </w:rPr>
            </w:pPr>
            <w:r>
              <w:rPr>
                <w:noProof/>
              </w:rPr>
              <w:t>5.15</w:t>
            </w:r>
          </w:p>
        </w:tc>
        <w:tc>
          <w:tcPr>
            <w:tcW w:w="1165" w:type="dxa"/>
            <w:shd w:val="clear" w:color="auto" w:fill="C4EFCE"/>
            <w:vAlign w:val="center"/>
            <w:hideMark/>
          </w:tcPr>
          <w:p w14:paraId="5ED3CA87" w14:textId="77777777" w:rsidR="00F24946" w:rsidRDefault="00613B06">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7E0D7741"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5A4ED20" w14:textId="77777777" w:rsidR="00F24946" w:rsidRDefault="00613B06">
            <w:pPr>
              <w:pStyle w:val="P68B1DB1-Normal8"/>
              <w:spacing w:after="0" w:line="240" w:lineRule="auto"/>
              <w:jc w:val="center"/>
              <w:rPr>
                <w:rFonts w:eastAsia="Times New Roman" w:cs="Calibri"/>
                <w:noProof/>
              </w:rPr>
            </w:pPr>
            <w:r>
              <w:rPr>
                <w:noProof/>
              </w:rPr>
              <w:t>Sprejetje uredbe o instrumentu dokapitalizacije podjetij na Azorih</w:t>
            </w:r>
          </w:p>
        </w:tc>
        <w:tc>
          <w:tcPr>
            <w:tcW w:w="2029" w:type="dxa"/>
            <w:shd w:val="clear" w:color="auto" w:fill="C4EFCE"/>
            <w:vAlign w:val="center"/>
            <w:hideMark/>
          </w:tcPr>
          <w:p w14:paraId="0329CFDA" w14:textId="77777777" w:rsidR="00F24946" w:rsidRDefault="00613B06">
            <w:pPr>
              <w:pStyle w:val="P68B1DB1-Normal8"/>
              <w:spacing w:after="0" w:line="240" w:lineRule="auto"/>
              <w:jc w:val="center"/>
              <w:rPr>
                <w:rFonts w:eastAsia="Times New Roman" w:cs="Calibri"/>
                <w:noProof/>
              </w:rPr>
            </w:pPr>
            <w:r>
              <w:rPr>
                <w:noProof/>
              </w:rPr>
              <w:t xml:space="preserve">Sprejetje uredbe regionalne vlade Azorov o uvedbi ukrepa kapitalizacije in pooblastitvi </w:t>
            </w:r>
            <w:r>
              <w:rPr>
                <w:i/>
                <w:noProof/>
              </w:rPr>
              <w:t>Banco Portugues de Fomento</w:t>
            </w:r>
            <w:r>
              <w:rPr>
                <w:noProof/>
              </w:rPr>
              <w:t>, da sprejme naložbeno politiko</w:t>
            </w:r>
          </w:p>
        </w:tc>
        <w:tc>
          <w:tcPr>
            <w:tcW w:w="982" w:type="dxa"/>
            <w:shd w:val="clear" w:color="auto" w:fill="C4EFCE"/>
            <w:vAlign w:val="center"/>
            <w:hideMark/>
          </w:tcPr>
          <w:p w14:paraId="76178EE5"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0D1E9F3"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008B1F9"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8A054C2" w14:textId="77777777" w:rsidR="00F24946" w:rsidRDefault="00613B06">
            <w:pPr>
              <w:pStyle w:val="P68B1DB1-Normal8"/>
              <w:spacing w:after="0" w:line="240" w:lineRule="auto"/>
              <w:jc w:val="center"/>
              <w:rPr>
                <w:rFonts w:eastAsia="Times New Roman" w:cs="Calibri"/>
                <w:noProof/>
              </w:rPr>
            </w:pPr>
            <w:r>
              <w:rPr>
                <w:noProof/>
              </w:rPr>
              <w:t>Q3</w:t>
            </w:r>
          </w:p>
        </w:tc>
        <w:tc>
          <w:tcPr>
            <w:tcW w:w="747" w:type="dxa"/>
            <w:shd w:val="clear" w:color="auto" w:fill="C4EFCE"/>
            <w:vAlign w:val="center"/>
            <w:hideMark/>
          </w:tcPr>
          <w:p w14:paraId="79E05766"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D2AB17A" w14:textId="77777777" w:rsidR="00F24946" w:rsidRDefault="00613B06">
            <w:pPr>
              <w:pStyle w:val="P68B1DB1-Normal8"/>
              <w:spacing w:after="0" w:line="240" w:lineRule="auto"/>
              <w:jc w:val="both"/>
              <w:rPr>
                <w:rFonts w:eastAsia="Times New Roman" w:cs="Calibri"/>
                <w:noProof/>
              </w:rPr>
            </w:pPr>
            <w:r>
              <w:rPr>
                <w:noProof/>
              </w:rPr>
              <w:t xml:space="preserve">Sprejetje uredbe regionalne vlade Azorov o uvedbi ukrepa kapitalizacije in pooblastitvi </w:t>
            </w:r>
            <w:r>
              <w:rPr>
                <w:i/>
                <w:noProof/>
              </w:rPr>
              <w:t>Banco Portugues de Fomento</w:t>
            </w:r>
            <w:r>
              <w:rPr>
                <w:noProof/>
              </w:rPr>
              <w:t xml:space="preserve">, da sprejme naložbeno politiko, ki med drugim določa merila za upravičenost in izbiro upravičenih družb za vsako vrsto finančnih instrumentov. Uredba zahteva, da naložbena politika vsebuje merila za izbiro/upravičenost za skladnost s tehničnimi smernicami za načelo, da se ne škoduje bistveno (2021/C58/01) podprtih podjetij, ki zahtevajo: </w:t>
            </w:r>
          </w:p>
          <w:p w14:paraId="34F2D080" w14:textId="77777777" w:rsidR="00F24946" w:rsidRDefault="00613B06">
            <w:pPr>
              <w:pStyle w:val="P68B1DB1-Normal8"/>
              <w:spacing w:after="0" w:line="240" w:lineRule="auto"/>
              <w:jc w:val="both"/>
              <w:rPr>
                <w:rFonts w:eastAsia="Times New Roman" w:cs="Calibri"/>
                <w:noProof/>
              </w:rPr>
            </w:pPr>
            <w:r>
              <w:rPr>
                <w:noProof/>
              </w:rPr>
              <w:t xml:space="preserve">— uporabo preverjanja trajnostnosti, </w:t>
            </w:r>
          </w:p>
          <w:p w14:paraId="65116438" w14:textId="77777777" w:rsidR="00F24946" w:rsidRDefault="00613B06">
            <w:pPr>
              <w:pStyle w:val="P68B1DB1-Normal8"/>
              <w:spacing w:after="0" w:line="240" w:lineRule="auto"/>
              <w:jc w:val="both"/>
              <w:rPr>
                <w:rFonts w:eastAsia="Times New Roman" w:cs="Calibri"/>
                <w:noProof/>
              </w:rPr>
            </w:pPr>
            <w:r>
              <w:rPr>
                <w:noProof/>
              </w:rPr>
              <w:t xml:space="preserve">seznam izključitev, ki vsebuje naslednje elemente: </w:t>
            </w:r>
          </w:p>
          <w:p w14:paraId="436922B2"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Naložbe v zvezi s fosilnimi gorivi (vključno z nadaljnjo uporabo), razen za toploto/energijo na osnovi zemeljskega plina v skladu s pogoji iz Priloge III k smernicam za nebistveno škodovanje</w:t>
            </w:r>
          </w:p>
          <w:p w14:paraId="14409371"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Dejavnosti v okviru ETS s predvidenimi emisijami ekvivalenta CO2, ki niso nižje od ustreznih referenčnih vrednosti, določenih za brezplačno dodelitev. </w:t>
            </w:r>
          </w:p>
          <w:p w14:paraId="55434946"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Naložbe v obrate za odstranjevanje odpadkov na odlagališčih, obrate za mehansko-biološko obdelavo in sežigalnice za obdelavo odpadkov. Seznam izključitev se ne uporablja za obrate, ki so namenjeni izključno obdelavi nevarnih odpadkov, ki jih ni mogoče reciklirati; za obstoječe obrate, kjer je naložba namenjena povečanju energetske učinkovitosti, zajemanju izpušnih plinov za shranjevanje ali uporabo ali pridobivanju materialov iz pepela za sežiganje, pod pogojem, da take naložbe ne povzročijo povečanja zmogljivosti obrata za predelavo odpadkov ali podaljšanja življenjske dobe obrata. </w:t>
            </w:r>
          </w:p>
          <w:p w14:paraId="344B3A1B"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Dejavnosti, pri katerih lahko dolgoročno odlaganje odpadkov povzroči dolgoročno škodo okolju (npr. jedrski odpadki). </w:t>
            </w:r>
          </w:p>
          <w:p w14:paraId="1A84525D"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Raziskave, razvoj in inovacije, namenjene zgoraj navedenim sredstvom in dejavnostim. </w:t>
            </w:r>
          </w:p>
          <w:p w14:paraId="54498B89" w14:textId="77777777" w:rsidR="00F24946" w:rsidRDefault="00613B06">
            <w:pPr>
              <w:pStyle w:val="P68B1DB1-Normal8"/>
              <w:spacing w:after="0" w:line="240" w:lineRule="auto"/>
              <w:jc w:val="both"/>
              <w:rPr>
                <w:rFonts w:eastAsia="Times New Roman" w:cs="Calibri"/>
                <w:noProof/>
              </w:rPr>
            </w:pPr>
            <w:r>
              <w:rPr>
                <w:noProof/>
              </w:rPr>
              <w:t>obvezna preverjanja skladnosti z zakonodajo prek BPF in/ali njenih izbranih finančnih posrednikov za transakcije, izvzete iz preverjanja trajnostnosti</w:t>
            </w:r>
          </w:p>
          <w:p w14:paraId="2E85E023" w14:textId="05CE3EBD" w:rsidR="00F24946" w:rsidRDefault="00613B06">
            <w:pPr>
              <w:pStyle w:val="P68B1DB1-Normal8"/>
              <w:spacing w:after="0" w:line="240" w:lineRule="auto"/>
              <w:jc w:val="both"/>
              <w:rPr>
                <w:rFonts w:eastAsia="Times New Roman" w:cs="Calibri"/>
                <w:noProof/>
              </w:rPr>
            </w:pPr>
            <w:r>
              <w:rPr>
                <w:noProof/>
              </w:rPr>
              <w:t>— upravičenci do podpore lastniškega kapitala, ki vsaj 50 % svojih prihodkov pridobijo iz dejavnosti s seznama izključitev za sprejetje in objavo načrtov za zeleni prehod.</w:t>
            </w:r>
          </w:p>
        </w:tc>
      </w:tr>
      <w:tr w:rsidR="00F24946" w14:paraId="140CEE72" w14:textId="77777777">
        <w:trPr>
          <w:trHeight w:val="1933"/>
        </w:trPr>
        <w:tc>
          <w:tcPr>
            <w:tcW w:w="1134" w:type="dxa"/>
            <w:shd w:val="clear" w:color="auto" w:fill="C4EFCE"/>
            <w:vAlign w:val="center"/>
            <w:hideMark/>
          </w:tcPr>
          <w:p w14:paraId="5D768A55" w14:textId="58B8B80D" w:rsidR="00F24946" w:rsidRDefault="00613B06">
            <w:pPr>
              <w:pStyle w:val="P68B1DB1-Normal7"/>
              <w:spacing w:after="0" w:line="240" w:lineRule="auto"/>
              <w:jc w:val="center"/>
              <w:rPr>
                <w:rFonts w:eastAsia="Times New Roman" w:cs="Calibri"/>
                <w:noProof/>
              </w:rPr>
            </w:pPr>
            <w:r>
              <w:rPr>
                <w:noProof/>
              </w:rPr>
              <w:t>5.16</w:t>
            </w:r>
          </w:p>
        </w:tc>
        <w:tc>
          <w:tcPr>
            <w:tcW w:w="1165" w:type="dxa"/>
            <w:shd w:val="clear" w:color="auto" w:fill="C4EFCE"/>
            <w:vAlign w:val="center"/>
            <w:hideMark/>
          </w:tcPr>
          <w:p w14:paraId="27A5C23C" w14:textId="77777777" w:rsidR="00F24946" w:rsidRDefault="00613B06">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1D194C18"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E88F574" w14:textId="77777777" w:rsidR="00F24946" w:rsidRDefault="00613B06">
            <w:pPr>
              <w:pStyle w:val="P68B1DB1-Normal8"/>
              <w:spacing w:after="0" w:line="240" w:lineRule="auto"/>
              <w:jc w:val="center"/>
              <w:rPr>
                <w:rFonts w:eastAsia="Times New Roman" w:cs="Calibri"/>
                <w:noProof/>
              </w:rPr>
            </w:pPr>
            <w:r>
              <w:rPr>
                <w:noProof/>
              </w:rPr>
              <w:t>Sprejetje naložbene politike za instrument dokapitalizacije podjetij na Azorih</w:t>
            </w:r>
          </w:p>
        </w:tc>
        <w:tc>
          <w:tcPr>
            <w:tcW w:w="2029" w:type="dxa"/>
            <w:shd w:val="clear" w:color="auto" w:fill="C4EFCE"/>
            <w:vAlign w:val="center"/>
            <w:hideMark/>
          </w:tcPr>
          <w:p w14:paraId="173D60F3" w14:textId="77777777" w:rsidR="00F24946" w:rsidRDefault="00613B06">
            <w:pPr>
              <w:pStyle w:val="P68B1DB1-Normal8"/>
              <w:spacing w:after="0" w:line="240" w:lineRule="auto"/>
              <w:jc w:val="center"/>
              <w:rPr>
                <w:rFonts w:eastAsia="Times New Roman" w:cs="Calibri"/>
                <w:noProof/>
              </w:rPr>
            </w:pPr>
            <w:r>
              <w:rPr>
                <w:noProof/>
              </w:rPr>
              <w:t>BPF sprejme naložbeno politiko, ki zajema vse finančne instrumente, predvidene v ukrepu.</w:t>
            </w:r>
          </w:p>
        </w:tc>
        <w:tc>
          <w:tcPr>
            <w:tcW w:w="982" w:type="dxa"/>
            <w:shd w:val="clear" w:color="auto" w:fill="C4EFCE"/>
            <w:vAlign w:val="center"/>
            <w:hideMark/>
          </w:tcPr>
          <w:p w14:paraId="28BCFCDB"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53D2856"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6414FB9"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529C3603" w14:textId="77777777" w:rsidR="00F24946" w:rsidRDefault="00613B06">
            <w:pPr>
              <w:pStyle w:val="P68B1DB1-Normal8"/>
              <w:spacing w:after="0" w:line="240" w:lineRule="auto"/>
              <w:jc w:val="center"/>
              <w:rPr>
                <w:rFonts w:eastAsia="Times New Roman" w:cs="Calibri"/>
                <w:noProof/>
              </w:rPr>
            </w:pPr>
            <w:r>
              <w:rPr>
                <w:noProof/>
              </w:rPr>
              <w:t>Q3</w:t>
            </w:r>
          </w:p>
        </w:tc>
        <w:tc>
          <w:tcPr>
            <w:tcW w:w="747" w:type="dxa"/>
            <w:shd w:val="clear" w:color="auto" w:fill="C4EFCE"/>
            <w:vAlign w:val="center"/>
            <w:hideMark/>
          </w:tcPr>
          <w:p w14:paraId="4DD0E7B5" w14:textId="77777777" w:rsidR="00F24946" w:rsidRDefault="00613B06">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6255E3B1" w14:textId="77777777" w:rsidR="00F24946" w:rsidRDefault="00613B06">
            <w:pPr>
              <w:pStyle w:val="P68B1DB1-Normal8"/>
              <w:spacing w:after="0" w:line="240" w:lineRule="auto"/>
              <w:jc w:val="both"/>
              <w:rPr>
                <w:rFonts w:eastAsia="Times New Roman" w:cs="Calibri"/>
                <w:noProof/>
              </w:rPr>
            </w:pPr>
            <w:r>
              <w:rPr>
                <w:noProof/>
              </w:rPr>
              <w:t>BPF sprejme naložbeno politiko, ki zajema vse finančne instrumente, predvidene v ukrepu. BPF razvije in sprejme naložbeno politiko kot organ upravljanja nosilca, ki ima deleže, ki izhajajo iz finančnih instrumentov, ki se izvajajo za podporo družbam, izbranim za upravičence. Naložbena politika odraža merila za izbor/upravičenost in veljavne zaveze/cilje, določene v Uredbi za instrument dokapitalizacije podjetij na Azorih.</w:t>
            </w:r>
          </w:p>
        </w:tc>
      </w:tr>
      <w:tr w:rsidR="00F24946" w14:paraId="787BD1C2" w14:textId="77777777">
        <w:trPr>
          <w:trHeight w:val="684"/>
        </w:trPr>
        <w:tc>
          <w:tcPr>
            <w:tcW w:w="1134" w:type="dxa"/>
            <w:shd w:val="clear" w:color="auto" w:fill="C4EFCE"/>
            <w:vAlign w:val="center"/>
            <w:hideMark/>
          </w:tcPr>
          <w:p w14:paraId="4F244987" w14:textId="77777777" w:rsidR="00F24946" w:rsidRDefault="00613B06">
            <w:pPr>
              <w:pStyle w:val="P68B1DB1-Normal7"/>
              <w:spacing w:after="0" w:line="240" w:lineRule="auto"/>
              <w:jc w:val="center"/>
              <w:rPr>
                <w:rFonts w:eastAsia="Times New Roman" w:cs="Calibri"/>
                <w:noProof/>
              </w:rPr>
            </w:pPr>
            <w:r>
              <w:rPr>
                <w:noProof/>
              </w:rPr>
              <w:t>5.17</w:t>
            </w:r>
          </w:p>
        </w:tc>
        <w:tc>
          <w:tcPr>
            <w:tcW w:w="1165" w:type="dxa"/>
            <w:shd w:val="clear" w:color="auto" w:fill="C4EFCE"/>
            <w:vAlign w:val="center"/>
            <w:hideMark/>
          </w:tcPr>
          <w:p w14:paraId="3E25B023" w14:textId="77777777" w:rsidR="00F24946" w:rsidRDefault="00613B06">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46E2FE5D"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D4512D9" w14:textId="77777777" w:rsidR="00F24946" w:rsidRDefault="00613B06">
            <w:pPr>
              <w:pStyle w:val="P68B1DB1-Normal8"/>
              <w:spacing w:after="0" w:line="240" w:lineRule="auto"/>
              <w:jc w:val="center"/>
              <w:rPr>
                <w:rFonts w:eastAsia="Times New Roman" w:cs="Calibri"/>
                <w:noProof/>
              </w:rPr>
            </w:pPr>
            <w:r>
              <w:rPr>
                <w:noProof/>
              </w:rPr>
              <w:t xml:space="preserve">Zagotovitev podpore v skupnem znesku 125 000 000 EUR nefinančnim družbam regije v obliki lastniškega kapitala in navideznega lastniškega kapitala v skladu z naložbeno politiko instrumenta. Okvirno se ocenjuje, da bo z dokončanjem načrta podprtih vsaj 300 podjetij. </w:t>
            </w:r>
          </w:p>
        </w:tc>
        <w:tc>
          <w:tcPr>
            <w:tcW w:w="2029" w:type="dxa"/>
            <w:shd w:val="clear" w:color="auto" w:fill="C4EFCE"/>
            <w:vAlign w:val="center"/>
            <w:hideMark/>
          </w:tcPr>
          <w:p w14:paraId="2DF0D93D"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CABACD" w14:textId="77777777" w:rsidR="00F24946" w:rsidRDefault="00613B06">
            <w:pPr>
              <w:pStyle w:val="P68B1DB1-Normal8"/>
              <w:spacing w:after="0" w:line="240" w:lineRule="auto"/>
              <w:jc w:val="center"/>
              <w:rPr>
                <w:rFonts w:eastAsia="Times New Roman" w:cs="Calibri"/>
                <w:noProof/>
              </w:rPr>
            </w:pPr>
            <w:r>
              <w:rPr>
                <w:noProof/>
              </w:rPr>
              <w:t>EUR</w:t>
            </w:r>
          </w:p>
        </w:tc>
        <w:tc>
          <w:tcPr>
            <w:tcW w:w="982" w:type="dxa"/>
            <w:shd w:val="clear" w:color="auto" w:fill="C4EFCE"/>
            <w:vAlign w:val="center"/>
            <w:hideMark/>
          </w:tcPr>
          <w:p w14:paraId="7B6D0271"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0039D31" w14:textId="77777777" w:rsidR="00F24946" w:rsidRDefault="00613B06">
            <w:pPr>
              <w:pStyle w:val="P68B1DB1-Normal8"/>
              <w:spacing w:after="0" w:line="240" w:lineRule="auto"/>
              <w:jc w:val="center"/>
              <w:rPr>
                <w:rFonts w:eastAsia="Times New Roman" w:cs="Calibri"/>
                <w:noProof/>
              </w:rPr>
            </w:pPr>
            <w:r>
              <w:rPr>
                <w:noProof/>
              </w:rPr>
              <w:t xml:space="preserve">125 000 000 </w:t>
            </w:r>
          </w:p>
        </w:tc>
        <w:tc>
          <w:tcPr>
            <w:tcW w:w="514" w:type="dxa"/>
            <w:shd w:val="clear" w:color="auto" w:fill="C4EFCE"/>
            <w:vAlign w:val="center"/>
            <w:hideMark/>
          </w:tcPr>
          <w:p w14:paraId="45B22942"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5EE59541"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89BB502" w14:textId="31A7E732" w:rsidR="00F24946" w:rsidRDefault="00613B06">
            <w:pPr>
              <w:pStyle w:val="P68B1DB1-Normal8"/>
              <w:spacing w:after="0" w:line="240" w:lineRule="auto"/>
              <w:jc w:val="both"/>
              <w:rPr>
                <w:rFonts w:eastAsia="Times New Roman" w:cs="Calibri"/>
                <w:noProof/>
              </w:rPr>
            </w:pPr>
            <w:r>
              <w:rPr>
                <w:noProof/>
              </w:rPr>
              <w:t xml:space="preserve">Zagotovitev podpore v skupnem znesku 125 000 000 EUR nefinančnim družbam regije v obliki lastniškega kapitala in navideznega lastniškega kapitala v skladu z naložbeno politiko, sprejeto za instrument dokapitalizacije podjetij na Azorih. </w:t>
            </w:r>
            <w:r>
              <w:rPr>
                <w:i/>
                <w:noProof/>
              </w:rPr>
              <w:t>Banco Portugues de Fomento</w:t>
            </w:r>
            <w:r>
              <w:rPr>
                <w:noProof/>
              </w:rPr>
              <w:t xml:space="preserve"> je odgovorna za poročanje o izvedenih poslih. V tem poročilu se poleg finančnih gibanj objavi seznam upravičenih podjetij, njihove IŠD in CAE, datum naročila, dodeljena sredstva, vrsta uporabljenega finančnega instrumenta in po potrebi zadevni finančni subjekt.</w:t>
            </w:r>
          </w:p>
        </w:tc>
      </w:tr>
      <w:tr w:rsidR="00F24946" w14:paraId="22040B4A" w14:textId="77777777">
        <w:trPr>
          <w:trHeight w:val="1480"/>
        </w:trPr>
        <w:tc>
          <w:tcPr>
            <w:tcW w:w="1134" w:type="dxa"/>
            <w:shd w:val="clear" w:color="auto" w:fill="C4EFCE"/>
            <w:vAlign w:val="center"/>
            <w:hideMark/>
          </w:tcPr>
          <w:p w14:paraId="412AFCFB" w14:textId="77777777" w:rsidR="00F24946" w:rsidRDefault="00613B06">
            <w:pPr>
              <w:pStyle w:val="P68B1DB1-Normal7"/>
              <w:spacing w:after="0" w:line="240" w:lineRule="auto"/>
              <w:jc w:val="center"/>
              <w:rPr>
                <w:rFonts w:eastAsia="Times New Roman" w:cs="Calibri"/>
                <w:noProof/>
              </w:rPr>
            </w:pPr>
            <w:r>
              <w:rPr>
                <w:noProof/>
              </w:rPr>
              <w:t>5.18</w:t>
            </w:r>
          </w:p>
        </w:tc>
        <w:tc>
          <w:tcPr>
            <w:tcW w:w="1165" w:type="dxa"/>
            <w:shd w:val="clear" w:color="auto" w:fill="C4EFCE"/>
            <w:vAlign w:val="center"/>
            <w:hideMark/>
          </w:tcPr>
          <w:p w14:paraId="29380C9D" w14:textId="77777777" w:rsidR="00F24946" w:rsidRDefault="00613B06">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648BE4C" w14:textId="77777777" w:rsidR="00F24946" w:rsidRDefault="00613B06">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FB94C98" w14:textId="77777777" w:rsidR="00F24946" w:rsidRDefault="00613B06">
            <w:pPr>
              <w:pStyle w:val="P68B1DB1-Normal8"/>
              <w:spacing w:after="0" w:line="240" w:lineRule="auto"/>
              <w:jc w:val="center"/>
              <w:rPr>
                <w:rFonts w:eastAsia="Times New Roman" w:cs="Calibri"/>
                <w:noProof/>
              </w:rPr>
            </w:pPr>
            <w:r>
              <w:rPr>
                <w:noProof/>
              </w:rPr>
              <w:t>Objava programa Azorov za inovacije in digitalizacijo kmetijstva</w:t>
            </w:r>
          </w:p>
        </w:tc>
        <w:tc>
          <w:tcPr>
            <w:tcW w:w="2029" w:type="dxa"/>
            <w:shd w:val="clear" w:color="auto" w:fill="C4EFCE"/>
            <w:vAlign w:val="center"/>
            <w:hideMark/>
          </w:tcPr>
          <w:p w14:paraId="52BC14AC" w14:textId="77777777" w:rsidR="00F24946" w:rsidRDefault="00613B06">
            <w:pPr>
              <w:pStyle w:val="P68B1DB1-Normal8"/>
              <w:spacing w:after="0" w:line="240" w:lineRule="auto"/>
              <w:jc w:val="center"/>
              <w:rPr>
                <w:rFonts w:eastAsia="Times New Roman" w:cs="Calibri"/>
                <w:noProof/>
              </w:rPr>
            </w:pPr>
            <w:r>
              <w:rPr>
                <w:noProof/>
              </w:rPr>
              <w:t>Objava programa Azorov za inovacije in digitalizacijo kmetijstva</w:t>
            </w:r>
          </w:p>
        </w:tc>
        <w:tc>
          <w:tcPr>
            <w:tcW w:w="982" w:type="dxa"/>
            <w:shd w:val="clear" w:color="auto" w:fill="C4EFCE"/>
            <w:vAlign w:val="center"/>
            <w:hideMark/>
          </w:tcPr>
          <w:p w14:paraId="1471DFD5"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FA49D95" w14:textId="77777777" w:rsidR="00F24946" w:rsidRDefault="00613B06">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93E479B" w14:textId="77777777" w:rsidR="00F24946" w:rsidRDefault="00613B06">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54DBD22" w14:textId="77777777" w:rsidR="00F24946" w:rsidRDefault="00613B06">
            <w:pPr>
              <w:pStyle w:val="P68B1DB1-Normal8"/>
              <w:spacing w:after="0" w:line="240" w:lineRule="auto"/>
              <w:jc w:val="center"/>
              <w:rPr>
                <w:rFonts w:eastAsia="Times New Roman" w:cs="Calibri"/>
                <w:noProof/>
              </w:rPr>
            </w:pPr>
            <w:r>
              <w:rPr>
                <w:noProof/>
              </w:rPr>
              <w:t>Q2</w:t>
            </w:r>
          </w:p>
        </w:tc>
        <w:tc>
          <w:tcPr>
            <w:tcW w:w="747" w:type="dxa"/>
            <w:shd w:val="clear" w:color="auto" w:fill="C4EFCE"/>
            <w:vAlign w:val="center"/>
            <w:hideMark/>
          </w:tcPr>
          <w:p w14:paraId="125D8132" w14:textId="77777777" w:rsidR="00F24946" w:rsidRDefault="00613B06">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2832055A" w14:textId="77777777" w:rsidR="00F24946" w:rsidRDefault="00613B06">
            <w:pPr>
              <w:pStyle w:val="P68B1DB1-Normal8"/>
              <w:spacing w:after="0" w:line="240" w:lineRule="auto"/>
              <w:jc w:val="both"/>
              <w:rPr>
                <w:rFonts w:eastAsia="Times New Roman" w:cs="Calibri"/>
                <w:noProof/>
              </w:rPr>
            </w:pPr>
            <w:r>
              <w:rPr>
                <w:noProof/>
              </w:rPr>
              <w:t>Objava programa za inovacije in digitalizacijo kmetijstva na Azorih, vključno z načrtom za razvoj mreže za spremljanje in obvestili o kmetijstvu na ravni otokov ter načrtom za prehod na digitalno realnost in precizno kmetovanje.</w:t>
            </w:r>
          </w:p>
        </w:tc>
      </w:tr>
      <w:tr w:rsidR="00F24946" w14:paraId="66C0B1D9" w14:textId="77777777">
        <w:trPr>
          <w:trHeight w:val="1446"/>
        </w:trPr>
        <w:tc>
          <w:tcPr>
            <w:tcW w:w="1134" w:type="dxa"/>
            <w:shd w:val="clear" w:color="auto" w:fill="C4EFCE"/>
            <w:vAlign w:val="center"/>
            <w:hideMark/>
          </w:tcPr>
          <w:p w14:paraId="1031D533" w14:textId="77777777" w:rsidR="00F24946" w:rsidRDefault="00613B06">
            <w:pPr>
              <w:pStyle w:val="P68B1DB1-Normal7"/>
              <w:spacing w:after="0" w:line="240" w:lineRule="auto"/>
              <w:jc w:val="center"/>
              <w:rPr>
                <w:rFonts w:eastAsia="Times New Roman" w:cs="Calibri"/>
                <w:noProof/>
              </w:rPr>
            </w:pPr>
            <w:r>
              <w:rPr>
                <w:noProof/>
              </w:rPr>
              <w:t>5.19</w:t>
            </w:r>
          </w:p>
        </w:tc>
        <w:tc>
          <w:tcPr>
            <w:tcW w:w="1165" w:type="dxa"/>
            <w:shd w:val="clear" w:color="auto" w:fill="C4EFCE"/>
            <w:vAlign w:val="center"/>
            <w:hideMark/>
          </w:tcPr>
          <w:p w14:paraId="62CCCBA9" w14:textId="77777777" w:rsidR="00F24946" w:rsidRDefault="00613B06">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5ADECD5"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C638A6F" w14:textId="77777777" w:rsidR="00F24946" w:rsidRDefault="00613B06">
            <w:pPr>
              <w:pStyle w:val="P68B1DB1-Normal8"/>
              <w:spacing w:after="0" w:line="240" w:lineRule="auto"/>
              <w:jc w:val="center"/>
              <w:rPr>
                <w:rFonts w:eastAsia="Times New Roman" w:cs="Calibri"/>
                <w:noProof/>
              </w:rPr>
            </w:pPr>
            <w:r>
              <w:rPr>
                <w:noProof/>
              </w:rPr>
              <w:t>Nove (za nadomestitev zastarelih struktur) ali prekvalificirane strukture, odgovorne za zakol živali ter potrjevanje kakovosti mleka in varnosti hrane</w:t>
            </w:r>
          </w:p>
        </w:tc>
        <w:tc>
          <w:tcPr>
            <w:tcW w:w="2029" w:type="dxa"/>
            <w:shd w:val="clear" w:color="auto" w:fill="C4EFCE"/>
            <w:vAlign w:val="center"/>
            <w:hideMark/>
          </w:tcPr>
          <w:p w14:paraId="71C2A31B"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2F83A65"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17E50AA3"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48D5CFCE" w14:textId="77777777" w:rsidR="00F24946" w:rsidRDefault="00613B06">
            <w:pPr>
              <w:pStyle w:val="P68B1DB1-Normal8"/>
              <w:spacing w:after="0" w:line="240" w:lineRule="auto"/>
              <w:jc w:val="center"/>
              <w:rPr>
                <w:rFonts w:eastAsia="Times New Roman" w:cs="Calibri"/>
                <w:noProof/>
              </w:rPr>
            </w:pPr>
            <w:r>
              <w:rPr>
                <w:noProof/>
              </w:rPr>
              <w:t>3</w:t>
            </w:r>
          </w:p>
        </w:tc>
        <w:tc>
          <w:tcPr>
            <w:tcW w:w="514" w:type="dxa"/>
            <w:shd w:val="clear" w:color="auto" w:fill="C4EFCE"/>
            <w:vAlign w:val="center"/>
            <w:hideMark/>
          </w:tcPr>
          <w:p w14:paraId="4D91DB57" w14:textId="115D2735"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6F9879B6" w14:textId="3DB5DF04"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4782248B" w14:textId="77777777" w:rsidR="00F24946" w:rsidRDefault="00613B06">
            <w:pPr>
              <w:pStyle w:val="P68B1DB1-Normal8"/>
              <w:spacing w:after="0" w:line="240" w:lineRule="auto"/>
              <w:jc w:val="both"/>
              <w:rPr>
                <w:rFonts w:eastAsia="Times New Roman" w:cs="Calibri"/>
                <w:noProof/>
              </w:rPr>
            </w:pPr>
            <w:r>
              <w:rPr>
                <w:noProof/>
              </w:rPr>
              <w:t>Dokončanje del v zvezi z novimi (za nadomestitev zastarelih struktur) ali prekvalificiranimi strukturami, odgovornimi za zakol živali, certificiranje kakovosti mleka in varnost hrane, da bi se odzvali na razvoj in naraščajoče povpraševanje trgov, z vključevanjem naložb v inovacije proizvodnih in organizacijskih procesov, zeleni prehod, digitalni prehod in dobrobit živali.</w:t>
            </w:r>
          </w:p>
        </w:tc>
      </w:tr>
      <w:tr w:rsidR="00F24946" w14:paraId="0FE8C46B" w14:textId="77777777">
        <w:trPr>
          <w:trHeight w:val="1550"/>
        </w:trPr>
        <w:tc>
          <w:tcPr>
            <w:tcW w:w="1134" w:type="dxa"/>
            <w:shd w:val="clear" w:color="auto" w:fill="C4EFCE"/>
            <w:vAlign w:val="center"/>
            <w:hideMark/>
          </w:tcPr>
          <w:p w14:paraId="0973CB5F" w14:textId="77777777" w:rsidR="00F24946" w:rsidRDefault="00613B06">
            <w:pPr>
              <w:pStyle w:val="P68B1DB1-Normal7"/>
              <w:spacing w:after="0" w:line="240" w:lineRule="auto"/>
              <w:jc w:val="center"/>
              <w:rPr>
                <w:rFonts w:eastAsia="Times New Roman" w:cs="Calibri"/>
                <w:noProof/>
              </w:rPr>
            </w:pPr>
            <w:r>
              <w:rPr>
                <w:noProof/>
              </w:rPr>
              <w:t>5.20</w:t>
            </w:r>
          </w:p>
        </w:tc>
        <w:tc>
          <w:tcPr>
            <w:tcW w:w="1165" w:type="dxa"/>
            <w:shd w:val="clear" w:color="auto" w:fill="C4EFCE"/>
            <w:vAlign w:val="center"/>
            <w:hideMark/>
          </w:tcPr>
          <w:p w14:paraId="3A4DA074" w14:textId="77777777" w:rsidR="00F24946" w:rsidRDefault="00613B06">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4F114AAC"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656A7BBA" w14:textId="77777777" w:rsidR="00F24946" w:rsidRDefault="00613B06">
            <w:pPr>
              <w:pStyle w:val="P68B1DB1-Normal8"/>
              <w:spacing w:after="0" w:line="240" w:lineRule="auto"/>
              <w:jc w:val="center"/>
              <w:rPr>
                <w:rFonts w:eastAsia="Times New Roman" w:cs="Calibri"/>
                <w:noProof/>
              </w:rPr>
            </w:pPr>
            <w:r>
              <w:rPr>
                <w:noProof/>
              </w:rPr>
              <w:t>Projekti, podprti v okviru shem podpore za prestrukturiranje podjetij v sektorju predelave in trženja</w:t>
            </w:r>
          </w:p>
        </w:tc>
        <w:tc>
          <w:tcPr>
            <w:tcW w:w="2029" w:type="dxa"/>
            <w:shd w:val="clear" w:color="auto" w:fill="C4EFCE"/>
            <w:vAlign w:val="center"/>
            <w:hideMark/>
          </w:tcPr>
          <w:p w14:paraId="41198735"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64C0AB"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33400D61"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B4E10FD" w14:textId="77777777" w:rsidR="00F24946" w:rsidRDefault="00613B06">
            <w:pPr>
              <w:pStyle w:val="P68B1DB1-Normal8"/>
              <w:spacing w:after="0" w:line="240" w:lineRule="auto"/>
              <w:jc w:val="center"/>
              <w:rPr>
                <w:rFonts w:eastAsia="Times New Roman" w:cs="Calibri"/>
                <w:noProof/>
              </w:rPr>
            </w:pPr>
            <w:r>
              <w:rPr>
                <w:noProof/>
              </w:rPr>
              <w:t>9</w:t>
            </w:r>
          </w:p>
        </w:tc>
        <w:tc>
          <w:tcPr>
            <w:tcW w:w="514" w:type="dxa"/>
            <w:shd w:val="clear" w:color="auto" w:fill="C4EFCE"/>
            <w:vAlign w:val="center"/>
            <w:hideMark/>
          </w:tcPr>
          <w:p w14:paraId="3CEE9014"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271A24C3"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10109FC" w14:textId="77777777" w:rsidR="00F24946" w:rsidRDefault="00613B06">
            <w:pPr>
              <w:pStyle w:val="P68B1DB1-Normal8"/>
              <w:spacing w:after="0" w:line="240" w:lineRule="auto"/>
              <w:jc w:val="both"/>
              <w:rPr>
                <w:rFonts w:eastAsia="Times New Roman" w:cs="Calibri"/>
                <w:noProof/>
              </w:rPr>
            </w:pPr>
            <w:r>
              <w:rPr>
                <w:noProof/>
              </w:rPr>
              <w:t>Projekte, odobrene in sklenjene v okviru podpornih shem za inovacije na področju proizvodov in procesov proizvodnje in organizacije, zelenega prehoda in digitalnega prehoda, namenjenih prestrukturiranju podjetij v sektorju kmetijske predelave in trženja.</w:t>
            </w:r>
          </w:p>
        </w:tc>
      </w:tr>
      <w:tr w:rsidR="00F24946" w14:paraId="0924F5C3" w14:textId="77777777">
        <w:trPr>
          <w:trHeight w:val="971"/>
        </w:trPr>
        <w:tc>
          <w:tcPr>
            <w:tcW w:w="1134" w:type="dxa"/>
            <w:shd w:val="clear" w:color="auto" w:fill="C4EFCE"/>
            <w:vAlign w:val="center"/>
            <w:hideMark/>
          </w:tcPr>
          <w:p w14:paraId="6FC3F55D" w14:textId="77777777" w:rsidR="00F24946" w:rsidRDefault="00613B06">
            <w:pPr>
              <w:pStyle w:val="P68B1DB1-Normal7"/>
              <w:spacing w:after="0" w:line="240" w:lineRule="auto"/>
              <w:jc w:val="center"/>
              <w:rPr>
                <w:rFonts w:eastAsia="Times New Roman" w:cs="Calibri"/>
                <w:noProof/>
              </w:rPr>
            </w:pPr>
            <w:r>
              <w:rPr>
                <w:noProof/>
              </w:rPr>
              <w:t>5.21</w:t>
            </w:r>
          </w:p>
        </w:tc>
        <w:tc>
          <w:tcPr>
            <w:tcW w:w="1165" w:type="dxa"/>
            <w:shd w:val="clear" w:color="auto" w:fill="C4EFCE"/>
            <w:vAlign w:val="center"/>
            <w:hideMark/>
          </w:tcPr>
          <w:p w14:paraId="4BA8EF57" w14:textId="77777777" w:rsidR="00F24946" w:rsidRDefault="00613B06">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2AF2AE81"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B1D52CC" w14:textId="77777777" w:rsidR="00F24946" w:rsidRDefault="00613B06">
            <w:pPr>
              <w:pStyle w:val="P68B1DB1-Normal8"/>
              <w:spacing w:after="0" w:line="240" w:lineRule="auto"/>
              <w:jc w:val="center"/>
              <w:rPr>
                <w:rFonts w:eastAsia="Times New Roman" w:cs="Calibri"/>
                <w:noProof/>
              </w:rPr>
            </w:pPr>
            <w:r>
              <w:rPr>
                <w:noProof/>
              </w:rPr>
              <w:t>Projekti, podprti v okviru shem podpore za prestrukturiranje kmetij</w:t>
            </w:r>
          </w:p>
        </w:tc>
        <w:tc>
          <w:tcPr>
            <w:tcW w:w="2029" w:type="dxa"/>
            <w:shd w:val="clear" w:color="auto" w:fill="C4EFCE"/>
            <w:vAlign w:val="center"/>
            <w:hideMark/>
          </w:tcPr>
          <w:p w14:paraId="6EFE1DF8"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25D0A656"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5089F2CE"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734A034" w14:textId="30F54B9E" w:rsidR="00F24946" w:rsidRDefault="00613B06">
            <w:pPr>
              <w:pStyle w:val="P68B1DB1-Normal8"/>
              <w:spacing w:after="0" w:line="240" w:lineRule="auto"/>
              <w:jc w:val="center"/>
              <w:rPr>
                <w:rFonts w:eastAsia="Times New Roman" w:cs="Calibri"/>
                <w:noProof/>
              </w:rPr>
            </w:pPr>
            <w:r>
              <w:rPr>
                <w:noProof/>
              </w:rPr>
              <w:t>178</w:t>
            </w:r>
          </w:p>
        </w:tc>
        <w:tc>
          <w:tcPr>
            <w:tcW w:w="514" w:type="dxa"/>
            <w:shd w:val="clear" w:color="auto" w:fill="C4EFCE"/>
            <w:vAlign w:val="center"/>
            <w:hideMark/>
          </w:tcPr>
          <w:p w14:paraId="18F2BCCA"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33415951"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6D0C3A49" w14:textId="77777777" w:rsidR="00F24946" w:rsidRDefault="00613B06">
            <w:pPr>
              <w:pStyle w:val="P68B1DB1-Normal8"/>
              <w:spacing w:after="0" w:line="240" w:lineRule="auto"/>
              <w:jc w:val="both"/>
              <w:rPr>
                <w:rFonts w:eastAsia="Times New Roman" w:cs="Calibri"/>
                <w:noProof/>
              </w:rPr>
            </w:pPr>
            <w:r>
              <w:rPr>
                <w:noProof/>
              </w:rPr>
              <w:t>Projekti, za katere so bile odobrene in sklenjene pogodbe v okviru shem podpore za inovacije na področju proizvodov in procesov proizvodnje in organizacije, zelenega prehoda in digitalnega prehoda, namenjenih prestrukturiranju kmetij.</w:t>
            </w:r>
          </w:p>
        </w:tc>
      </w:tr>
      <w:tr w:rsidR="00F24946" w14:paraId="7B64C750" w14:textId="77777777">
        <w:trPr>
          <w:trHeight w:val="67"/>
        </w:trPr>
        <w:tc>
          <w:tcPr>
            <w:tcW w:w="1134" w:type="dxa"/>
            <w:shd w:val="clear" w:color="auto" w:fill="C4EFCE"/>
            <w:vAlign w:val="center"/>
            <w:hideMark/>
          </w:tcPr>
          <w:p w14:paraId="69F4FB66" w14:textId="77777777" w:rsidR="00F24946" w:rsidRDefault="00613B06">
            <w:pPr>
              <w:pStyle w:val="P68B1DB1-Normal7"/>
              <w:spacing w:after="0" w:line="240" w:lineRule="auto"/>
              <w:jc w:val="center"/>
              <w:rPr>
                <w:rFonts w:eastAsia="Times New Roman" w:cs="Calibri"/>
                <w:noProof/>
              </w:rPr>
            </w:pPr>
            <w:r>
              <w:rPr>
                <w:noProof/>
              </w:rPr>
              <w:t>5.22</w:t>
            </w:r>
          </w:p>
        </w:tc>
        <w:tc>
          <w:tcPr>
            <w:tcW w:w="1165" w:type="dxa"/>
            <w:shd w:val="clear" w:color="auto" w:fill="C4EFCE"/>
            <w:vAlign w:val="center"/>
            <w:hideMark/>
          </w:tcPr>
          <w:p w14:paraId="765D75C8" w14:textId="77777777" w:rsidR="00F24946" w:rsidRDefault="00613B06">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7A7C71EA" w14:textId="77777777" w:rsidR="00F24946" w:rsidRDefault="00613B06">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32B0C61" w14:textId="77777777" w:rsidR="00F24946" w:rsidRDefault="00613B06">
            <w:pPr>
              <w:pStyle w:val="P68B1DB1-Normal8"/>
              <w:spacing w:after="0" w:line="240" w:lineRule="auto"/>
              <w:jc w:val="center"/>
              <w:rPr>
                <w:rFonts w:eastAsia="Times New Roman" w:cs="Calibri"/>
                <w:noProof/>
              </w:rPr>
            </w:pPr>
            <w:r>
              <w:rPr>
                <w:noProof/>
              </w:rPr>
              <w:t>Kmetije, ki prejemajo specializirano tehnično podporo v okviru programa za krepitev vloge kmetov</w:t>
            </w:r>
          </w:p>
        </w:tc>
        <w:tc>
          <w:tcPr>
            <w:tcW w:w="2029" w:type="dxa"/>
            <w:shd w:val="clear" w:color="auto" w:fill="C4EFCE"/>
            <w:vAlign w:val="center"/>
            <w:hideMark/>
          </w:tcPr>
          <w:p w14:paraId="7586AE24" w14:textId="77777777" w:rsidR="00F24946" w:rsidRDefault="00613B06">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D3912A" w14:textId="77777777" w:rsidR="00F24946" w:rsidRDefault="00613B06">
            <w:pPr>
              <w:pStyle w:val="P68B1DB1-Normal8"/>
              <w:spacing w:after="0" w:line="240" w:lineRule="auto"/>
              <w:jc w:val="center"/>
              <w:rPr>
                <w:rFonts w:eastAsia="Times New Roman" w:cs="Calibri"/>
                <w:noProof/>
              </w:rPr>
            </w:pPr>
            <w:r>
              <w:rPr>
                <w:noProof/>
              </w:rPr>
              <w:t>Število</w:t>
            </w:r>
          </w:p>
        </w:tc>
        <w:tc>
          <w:tcPr>
            <w:tcW w:w="982" w:type="dxa"/>
            <w:shd w:val="clear" w:color="auto" w:fill="C4EFCE"/>
            <w:vAlign w:val="center"/>
            <w:hideMark/>
          </w:tcPr>
          <w:p w14:paraId="3174DC4A" w14:textId="77777777" w:rsidR="00F24946" w:rsidRDefault="00613B06">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B33C92A" w14:textId="77777777" w:rsidR="00F24946" w:rsidRDefault="00613B06">
            <w:pPr>
              <w:pStyle w:val="P68B1DB1-Normal8"/>
              <w:spacing w:after="0" w:line="240" w:lineRule="auto"/>
              <w:jc w:val="center"/>
              <w:rPr>
                <w:rFonts w:eastAsia="Times New Roman" w:cs="Calibri"/>
                <w:noProof/>
              </w:rPr>
            </w:pPr>
            <w:r>
              <w:rPr>
                <w:noProof/>
              </w:rPr>
              <w:t>2 000</w:t>
            </w:r>
          </w:p>
        </w:tc>
        <w:tc>
          <w:tcPr>
            <w:tcW w:w="514" w:type="dxa"/>
            <w:shd w:val="clear" w:color="auto" w:fill="C4EFCE"/>
            <w:vAlign w:val="center"/>
            <w:hideMark/>
          </w:tcPr>
          <w:p w14:paraId="3CB938A2" w14:textId="77777777" w:rsidR="00F24946" w:rsidRDefault="00613B06">
            <w:pPr>
              <w:pStyle w:val="P68B1DB1-Normal8"/>
              <w:spacing w:after="0" w:line="240" w:lineRule="auto"/>
              <w:jc w:val="center"/>
              <w:rPr>
                <w:rFonts w:eastAsia="Times New Roman" w:cs="Calibri"/>
                <w:noProof/>
              </w:rPr>
            </w:pPr>
            <w:r>
              <w:rPr>
                <w:noProof/>
              </w:rPr>
              <w:t>Q4</w:t>
            </w:r>
          </w:p>
        </w:tc>
        <w:tc>
          <w:tcPr>
            <w:tcW w:w="747" w:type="dxa"/>
            <w:shd w:val="clear" w:color="auto" w:fill="C4EFCE"/>
            <w:vAlign w:val="center"/>
            <w:hideMark/>
          </w:tcPr>
          <w:p w14:paraId="28BE79BE" w14:textId="77777777" w:rsidR="00F24946" w:rsidRDefault="00613B06">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E512E2A" w14:textId="77777777" w:rsidR="00F24946" w:rsidRDefault="00613B06">
            <w:pPr>
              <w:pStyle w:val="P68B1DB1-Normal8"/>
              <w:spacing w:after="0" w:line="240" w:lineRule="auto"/>
              <w:jc w:val="both"/>
              <w:rPr>
                <w:rFonts w:eastAsia="Times New Roman" w:cs="Calibri"/>
                <w:noProof/>
              </w:rPr>
            </w:pPr>
            <w:r>
              <w:rPr>
                <w:noProof/>
              </w:rPr>
              <w:t>Kmetijska gospodarstva, ki prejemajo specializirano tehnično podporo v okviru ukrepov, ki se izvajajo v okviru programa za krepitev vloge kmetov.</w:t>
            </w:r>
          </w:p>
        </w:tc>
      </w:tr>
      <w:tr w:rsidR="00F24946" w14:paraId="6B3FA3FC" w14:textId="77777777">
        <w:trPr>
          <w:trHeight w:val="2709"/>
        </w:trPr>
        <w:tc>
          <w:tcPr>
            <w:tcW w:w="1134" w:type="dxa"/>
            <w:shd w:val="clear" w:color="auto" w:fill="C4EFCE"/>
            <w:vAlign w:val="center"/>
          </w:tcPr>
          <w:p w14:paraId="54E7BC25" w14:textId="62E6C5C0" w:rsidR="00F24946" w:rsidRDefault="00613B06">
            <w:pPr>
              <w:pStyle w:val="P68B1DB1-Normal11"/>
              <w:spacing w:after="0" w:line="240" w:lineRule="auto"/>
              <w:jc w:val="center"/>
              <w:rPr>
                <w:rFonts w:eastAsia="Times New Roman" w:cstheme="minorHAnsi"/>
                <w:noProof/>
              </w:rPr>
            </w:pPr>
            <w:r>
              <w:rPr>
                <w:noProof/>
              </w:rPr>
              <w:t>5.33</w:t>
            </w:r>
          </w:p>
        </w:tc>
        <w:tc>
          <w:tcPr>
            <w:tcW w:w="1165" w:type="dxa"/>
            <w:shd w:val="clear" w:color="auto" w:fill="C4EFCE"/>
            <w:vAlign w:val="center"/>
          </w:tcPr>
          <w:p w14:paraId="5929BA6C" w14:textId="428A8C0E" w:rsidR="00F24946" w:rsidRDefault="00613B06">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30E1990D" w14:textId="582BDEE3" w:rsidR="00F24946" w:rsidRDefault="00613B06">
            <w:pPr>
              <w:pStyle w:val="P68B1DB1-Normal12"/>
              <w:spacing w:after="0" w:line="240" w:lineRule="auto"/>
              <w:jc w:val="center"/>
              <w:rPr>
                <w:rFonts w:eastAsia="Times New Roman" w:cstheme="minorHAnsi"/>
                <w:noProof/>
              </w:rPr>
            </w:pPr>
            <w:r>
              <w:rPr>
                <w:noProof/>
              </w:rPr>
              <w:t>M</w:t>
            </w:r>
          </w:p>
        </w:tc>
        <w:tc>
          <w:tcPr>
            <w:tcW w:w="1668" w:type="dxa"/>
            <w:shd w:val="clear" w:color="auto" w:fill="C4EFCE"/>
            <w:vAlign w:val="center"/>
          </w:tcPr>
          <w:p w14:paraId="59B95D11" w14:textId="5995F441" w:rsidR="00F24946" w:rsidRDefault="00613B06">
            <w:pPr>
              <w:pStyle w:val="P68B1DB1-Bodytext1013"/>
              <w:jc w:val="center"/>
              <w:rPr>
                <w:rFonts w:cstheme="minorHAnsi"/>
                <w:noProof/>
              </w:rPr>
            </w:pPr>
            <w:r>
              <w:rPr>
                <w:noProof/>
              </w:rPr>
              <w:t>Podpis izvedbenega sporazuma (protokola) med Banco Português de Fomento, Instituto de Desenvolvimento Empresarial in izbranimi finančnimi posredniki</w:t>
            </w:r>
          </w:p>
        </w:tc>
        <w:tc>
          <w:tcPr>
            <w:tcW w:w="2029" w:type="dxa"/>
            <w:shd w:val="clear" w:color="auto" w:fill="C4EFCE"/>
            <w:vAlign w:val="center"/>
          </w:tcPr>
          <w:p w14:paraId="37342ABF" w14:textId="1772DDF4" w:rsidR="00F24946" w:rsidRDefault="00613B06">
            <w:pPr>
              <w:pStyle w:val="P68B1DB1-Normal12"/>
              <w:spacing w:after="0" w:line="240" w:lineRule="auto"/>
              <w:jc w:val="center"/>
              <w:rPr>
                <w:rFonts w:eastAsia="Times New Roman" w:cstheme="minorHAnsi"/>
                <w:noProof/>
              </w:rPr>
            </w:pPr>
            <w:r>
              <w:rPr>
                <w:noProof/>
              </w:rPr>
              <w:t>Podpis izvedbenega sporazuma (protokola) med Banco Português de Fomento, Instituto de Desenvolvimento Empresarial in izbranimi finančnimi posredniki, ki zajema vse finančne instrumente, predvidene v ukrepu</w:t>
            </w:r>
          </w:p>
        </w:tc>
        <w:tc>
          <w:tcPr>
            <w:tcW w:w="982" w:type="dxa"/>
            <w:shd w:val="clear" w:color="auto" w:fill="C4EFCE"/>
            <w:vAlign w:val="center"/>
          </w:tcPr>
          <w:p w14:paraId="6758A57F" w14:textId="77777777" w:rsidR="00F24946" w:rsidRDefault="00F24946">
            <w:pPr>
              <w:spacing w:after="0" w:line="240" w:lineRule="auto"/>
              <w:jc w:val="center"/>
              <w:rPr>
                <w:rFonts w:eastAsia="Times New Roman" w:cstheme="minorHAnsi"/>
                <w:noProof/>
                <w:sz w:val="16"/>
              </w:rPr>
            </w:pPr>
          </w:p>
        </w:tc>
        <w:tc>
          <w:tcPr>
            <w:tcW w:w="982" w:type="dxa"/>
            <w:shd w:val="clear" w:color="auto" w:fill="C4EFCE"/>
            <w:vAlign w:val="center"/>
          </w:tcPr>
          <w:p w14:paraId="4ED1D73F" w14:textId="77777777" w:rsidR="00F24946" w:rsidRDefault="00F24946">
            <w:pPr>
              <w:spacing w:after="0" w:line="240" w:lineRule="auto"/>
              <w:jc w:val="center"/>
              <w:rPr>
                <w:rFonts w:eastAsia="Times New Roman" w:cstheme="minorHAnsi"/>
                <w:noProof/>
                <w:sz w:val="16"/>
              </w:rPr>
            </w:pPr>
          </w:p>
        </w:tc>
        <w:tc>
          <w:tcPr>
            <w:tcW w:w="626" w:type="dxa"/>
            <w:shd w:val="clear" w:color="auto" w:fill="C4EFCE"/>
            <w:vAlign w:val="center"/>
          </w:tcPr>
          <w:p w14:paraId="633B6B1E" w14:textId="77777777" w:rsidR="00F24946" w:rsidRDefault="00F24946">
            <w:pPr>
              <w:spacing w:after="0" w:line="240" w:lineRule="auto"/>
              <w:jc w:val="center"/>
              <w:rPr>
                <w:rFonts w:eastAsia="Times New Roman" w:cstheme="minorHAnsi"/>
                <w:noProof/>
                <w:sz w:val="16"/>
              </w:rPr>
            </w:pPr>
          </w:p>
        </w:tc>
        <w:tc>
          <w:tcPr>
            <w:tcW w:w="514" w:type="dxa"/>
            <w:shd w:val="clear" w:color="auto" w:fill="C4EFCE"/>
            <w:vAlign w:val="center"/>
          </w:tcPr>
          <w:p w14:paraId="798958ED" w14:textId="3E2F7C91" w:rsidR="00F24946" w:rsidRDefault="00613B06">
            <w:pPr>
              <w:pStyle w:val="P68B1DB1-Normal12"/>
              <w:spacing w:after="0" w:line="240" w:lineRule="auto"/>
              <w:jc w:val="center"/>
              <w:rPr>
                <w:rFonts w:eastAsia="Times New Roman" w:cstheme="minorHAnsi"/>
                <w:noProof/>
              </w:rPr>
            </w:pPr>
            <w:r>
              <w:rPr>
                <w:noProof/>
              </w:rPr>
              <w:t>Q2</w:t>
            </w:r>
          </w:p>
        </w:tc>
        <w:tc>
          <w:tcPr>
            <w:tcW w:w="747" w:type="dxa"/>
            <w:shd w:val="clear" w:color="auto" w:fill="C4EFCE"/>
            <w:vAlign w:val="center"/>
          </w:tcPr>
          <w:p w14:paraId="2525860B" w14:textId="3ECA8FE2" w:rsidR="00F24946" w:rsidRDefault="00613B06">
            <w:pPr>
              <w:pStyle w:val="P68B1DB1-Normal12"/>
              <w:spacing w:after="0" w:line="240" w:lineRule="auto"/>
              <w:jc w:val="center"/>
              <w:rPr>
                <w:rFonts w:eastAsia="Times New Roman" w:cstheme="minorHAnsi"/>
                <w:noProof/>
              </w:rPr>
            </w:pPr>
            <w:r>
              <w:rPr>
                <w:noProof/>
              </w:rPr>
              <w:t>2024</w:t>
            </w:r>
          </w:p>
        </w:tc>
        <w:tc>
          <w:tcPr>
            <w:tcW w:w="3919" w:type="dxa"/>
            <w:shd w:val="clear" w:color="auto" w:fill="C4EFCE"/>
          </w:tcPr>
          <w:p w14:paraId="7BFE9655" w14:textId="291FD11F" w:rsidR="00F24946" w:rsidRDefault="00613B06">
            <w:pPr>
              <w:pStyle w:val="P68B1DB1-Bodytext1013"/>
              <w:rPr>
                <w:rFonts w:cstheme="minorHAnsi"/>
                <w:noProof/>
              </w:rPr>
            </w:pPr>
            <w:r>
              <w:rPr>
                <w:noProof/>
              </w:rPr>
              <w:t xml:space="preserve">Podpis izvedbenega sporazuma (protokola) med Banco Português de Fomento, Instituto de Desenvolvimento Empresarial in izbranimi finančnimi posredniki, ki zajemajo vse finančne instrumente, predvidene v ukrepu. </w:t>
            </w:r>
          </w:p>
          <w:p w14:paraId="2B9416E9" w14:textId="1999C5AE" w:rsidR="00F24946" w:rsidRDefault="00613B06">
            <w:pPr>
              <w:pStyle w:val="P68B1DB1-Normal12"/>
              <w:spacing w:after="0" w:line="240" w:lineRule="auto"/>
              <w:jc w:val="both"/>
              <w:rPr>
                <w:rFonts w:eastAsia="Times New Roman" w:cstheme="minorHAnsi"/>
                <w:noProof/>
              </w:rPr>
            </w:pPr>
            <w:r>
              <w:rPr>
                <w:noProof/>
              </w:rPr>
              <w:t xml:space="preserve">Izvedbeni sporazum in poznejši pravni dokumenti finančnega instrumenta zahtevajo uporabo seznama za izključitev (kot je določen v opisu ukrepa) in preverjanje skladnosti z okoljsko zakonodajo EU in nacionalno okoljsko zakonodajo. </w:t>
            </w:r>
          </w:p>
        </w:tc>
      </w:tr>
      <w:tr w:rsidR="00F24946" w14:paraId="4CBE3D8A" w14:textId="77777777">
        <w:trPr>
          <w:trHeight w:val="67"/>
        </w:trPr>
        <w:tc>
          <w:tcPr>
            <w:tcW w:w="1134" w:type="dxa"/>
            <w:shd w:val="clear" w:color="auto" w:fill="C4EFCE"/>
            <w:vAlign w:val="center"/>
          </w:tcPr>
          <w:p w14:paraId="7BB0CA82" w14:textId="09AAED9B" w:rsidR="00F24946" w:rsidRDefault="00613B06">
            <w:pPr>
              <w:pStyle w:val="P68B1DB1-Normal11"/>
              <w:spacing w:after="0" w:line="240" w:lineRule="auto"/>
              <w:jc w:val="center"/>
              <w:rPr>
                <w:rFonts w:eastAsia="Times New Roman" w:cstheme="minorHAnsi"/>
                <w:noProof/>
              </w:rPr>
            </w:pPr>
            <w:r>
              <w:rPr>
                <w:noProof/>
              </w:rPr>
              <w:t>5.34</w:t>
            </w:r>
          </w:p>
        </w:tc>
        <w:tc>
          <w:tcPr>
            <w:tcW w:w="1165" w:type="dxa"/>
            <w:shd w:val="clear" w:color="auto" w:fill="C4EFCE"/>
            <w:vAlign w:val="center"/>
          </w:tcPr>
          <w:p w14:paraId="4855C77A" w14:textId="5D5E927E" w:rsidR="00F24946" w:rsidRDefault="00613B06">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1DD25CAD" w14:textId="1026C3D1" w:rsidR="00F24946" w:rsidRDefault="00613B06">
            <w:pPr>
              <w:pStyle w:val="P68B1DB1-Normal12"/>
              <w:spacing w:after="0" w:line="240" w:lineRule="auto"/>
              <w:jc w:val="center"/>
              <w:rPr>
                <w:rFonts w:eastAsia="Times New Roman" w:cstheme="minorHAnsi"/>
                <w:noProof/>
              </w:rPr>
            </w:pPr>
            <w:r>
              <w:rPr>
                <w:noProof/>
              </w:rPr>
              <w:t>T</w:t>
            </w:r>
          </w:p>
        </w:tc>
        <w:tc>
          <w:tcPr>
            <w:tcW w:w="1668" w:type="dxa"/>
            <w:shd w:val="clear" w:color="auto" w:fill="C4EFCE"/>
            <w:vAlign w:val="center"/>
          </w:tcPr>
          <w:p w14:paraId="2A3A2C05" w14:textId="671BE97B" w:rsidR="00F24946" w:rsidRDefault="00613B06">
            <w:pPr>
              <w:pStyle w:val="P68B1DB1-Normal12"/>
              <w:spacing w:after="0" w:line="240" w:lineRule="auto"/>
              <w:jc w:val="center"/>
              <w:rPr>
                <w:rFonts w:eastAsia="Times New Roman" w:cstheme="minorHAnsi"/>
                <w:noProof/>
              </w:rPr>
            </w:pPr>
            <w:r>
              <w:rPr>
                <w:noProof/>
              </w:rPr>
              <w:t>Jamstva za posojila, ki podpirajo projekte regionalnih podjetij.</w:t>
            </w:r>
          </w:p>
        </w:tc>
        <w:tc>
          <w:tcPr>
            <w:tcW w:w="2029" w:type="dxa"/>
            <w:shd w:val="clear" w:color="auto" w:fill="C4EFCE"/>
            <w:vAlign w:val="center"/>
          </w:tcPr>
          <w:p w14:paraId="14B7871F" w14:textId="4EB3B0C4" w:rsidR="00F24946" w:rsidRDefault="00613B06">
            <w:pPr>
              <w:pStyle w:val="P68B1DB1-Normal12"/>
              <w:spacing w:after="0" w:line="240" w:lineRule="auto"/>
              <w:jc w:val="center"/>
              <w:rPr>
                <w:rFonts w:eastAsia="Times New Roman" w:cstheme="minorHAnsi"/>
                <w:noProof/>
              </w:rPr>
            </w:pPr>
            <w:r>
              <w:rPr>
                <w:noProof/>
              </w:rPr>
              <w:t>—</w:t>
            </w:r>
          </w:p>
        </w:tc>
        <w:tc>
          <w:tcPr>
            <w:tcW w:w="982" w:type="dxa"/>
            <w:shd w:val="clear" w:color="auto" w:fill="C4EFCE"/>
            <w:vAlign w:val="center"/>
          </w:tcPr>
          <w:p w14:paraId="5FC778CA" w14:textId="5E913ACC" w:rsidR="00F24946" w:rsidRDefault="00613B06">
            <w:pPr>
              <w:pStyle w:val="P68B1DB1-Normal12"/>
              <w:spacing w:after="0" w:line="240" w:lineRule="auto"/>
              <w:jc w:val="center"/>
              <w:rPr>
                <w:rFonts w:eastAsia="Times New Roman" w:cstheme="minorHAnsi"/>
                <w:noProof/>
              </w:rPr>
            </w:pPr>
            <w:r>
              <w:rPr>
                <w:noProof/>
              </w:rPr>
              <w:t>EUR</w:t>
            </w:r>
          </w:p>
        </w:tc>
        <w:tc>
          <w:tcPr>
            <w:tcW w:w="982" w:type="dxa"/>
            <w:shd w:val="clear" w:color="auto" w:fill="C4EFCE"/>
            <w:vAlign w:val="center"/>
          </w:tcPr>
          <w:p w14:paraId="0271D6FF" w14:textId="04899E06" w:rsidR="00F24946" w:rsidRDefault="00613B06">
            <w:pPr>
              <w:pStyle w:val="P68B1DB1-Normal12"/>
              <w:spacing w:after="0" w:line="240" w:lineRule="auto"/>
              <w:jc w:val="center"/>
              <w:rPr>
                <w:rFonts w:eastAsia="Times New Roman" w:cstheme="minorHAnsi"/>
                <w:noProof/>
              </w:rPr>
            </w:pPr>
            <w:r>
              <w:rPr>
                <w:noProof/>
              </w:rPr>
              <w:t>0</w:t>
            </w:r>
          </w:p>
        </w:tc>
        <w:tc>
          <w:tcPr>
            <w:tcW w:w="626" w:type="dxa"/>
            <w:shd w:val="clear" w:color="auto" w:fill="C4EFCE"/>
            <w:vAlign w:val="center"/>
          </w:tcPr>
          <w:p w14:paraId="6451A08B" w14:textId="2E7FED99" w:rsidR="00F24946" w:rsidRDefault="00613B06">
            <w:pPr>
              <w:pStyle w:val="P68B1DB1-Normal12"/>
              <w:spacing w:after="0" w:line="240" w:lineRule="auto"/>
              <w:jc w:val="center"/>
              <w:rPr>
                <w:rFonts w:eastAsia="Times New Roman" w:cstheme="minorHAnsi"/>
                <w:noProof/>
              </w:rPr>
            </w:pPr>
            <w:r>
              <w:rPr>
                <w:noProof/>
              </w:rPr>
              <w:t>15 900 000</w:t>
            </w:r>
          </w:p>
        </w:tc>
        <w:tc>
          <w:tcPr>
            <w:tcW w:w="514" w:type="dxa"/>
            <w:shd w:val="clear" w:color="auto" w:fill="C4EFCE"/>
            <w:vAlign w:val="center"/>
          </w:tcPr>
          <w:p w14:paraId="2A88DF46" w14:textId="7CCAE0DE" w:rsidR="00F24946" w:rsidRDefault="00613B06">
            <w:pPr>
              <w:pStyle w:val="P68B1DB1-Normal12"/>
              <w:spacing w:after="0" w:line="240" w:lineRule="auto"/>
              <w:jc w:val="center"/>
              <w:rPr>
                <w:rFonts w:eastAsia="Times New Roman" w:cstheme="minorHAnsi"/>
                <w:noProof/>
              </w:rPr>
            </w:pPr>
            <w:r>
              <w:rPr>
                <w:noProof/>
              </w:rPr>
              <w:t>Q4</w:t>
            </w:r>
          </w:p>
        </w:tc>
        <w:tc>
          <w:tcPr>
            <w:tcW w:w="747" w:type="dxa"/>
            <w:shd w:val="clear" w:color="auto" w:fill="C4EFCE"/>
            <w:vAlign w:val="center"/>
          </w:tcPr>
          <w:p w14:paraId="5FEA44B0" w14:textId="0E21A022" w:rsidR="00F24946" w:rsidRDefault="00613B06">
            <w:pPr>
              <w:pStyle w:val="P68B1DB1-Normal12"/>
              <w:spacing w:after="0" w:line="240" w:lineRule="auto"/>
              <w:jc w:val="center"/>
              <w:rPr>
                <w:rFonts w:eastAsia="Times New Roman" w:cstheme="minorHAnsi"/>
                <w:noProof/>
              </w:rPr>
            </w:pPr>
            <w:r>
              <w:rPr>
                <w:noProof/>
              </w:rPr>
              <w:t>2025</w:t>
            </w:r>
          </w:p>
        </w:tc>
        <w:tc>
          <w:tcPr>
            <w:tcW w:w="3919" w:type="dxa"/>
            <w:shd w:val="clear" w:color="auto" w:fill="C4EFCE"/>
          </w:tcPr>
          <w:p w14:paraId="3959FFFC" w14:textId="44A649C9" w:rsidR="00F24946" w:rsidRDefault="00613B06">
            <w:pPr>
              <w:pStyle w:val="P68B1DB1-Normal12"/>
              <w:spacing w:after="0" w:line="240" w:lineRule="auto"/>
              <w:jc w:val="both"/>
              <w:rPr>
                <w:rFonts w:eastAsia="Times New Roman" w:cstheme="minorHAnsi"/>
                <w:noProof/>
              </w:rPr>
            </w:pPr>
            <w:r>
              <w:rPr>
                <w:noProof/>
              </w:rPr>
              <w:t xml:space="preserve">Zagotavljanje jamstev za posojila v višini 15 900 000 EUR, skupaj s podporo za odhodke obresti za posojila v okviru nacionalnega sistema vzajemnega jamstva, ki podpirajo vsaj 10 regionalnih projektov. </w:t>
            </w:r>
          </w:p>
        </w:tc>
      </w:tr>
      <w:tr w:rsidR="00F24946" w14:paraId="2C5CFDE1" w14:textId="77777777">
        <w:trPr>
          <w:trHeight w:val="67"/>
        </w:trPr>
        <w:tc>
          <w:tcPr>
            <w:tcW w:w="1134" w:type="dxa"/>
            <w:shd w:val="clear" w:color="auto" w:fill="C4EFCE"/>
            <w:vAlign w:val="center"/>
          </w:tcPr>
          <w:p w14:paraId="0773CFB1" w14:textId="6033DE37" w:rsidR="00F24946" w:rsidRDefault="00613B06">
            <w:pPr>
              <w:pStyle w:val="P68B1DB1-Normal11"/>
              <w:spacing w:after="0" w:line="240" w:lineRule="auto"/>
              <w:jc w:val="center"/>
              <w:rPr>
                <w:rFonts w:cstheme="minorHAnsi"/>
                <w:noProof/>
              </w:rPr>
            </w:pPr>
            <w:r>
              <w:rPr>
                <w:noProof/>
              </w:rPr>
              <w:t>5.35</w:t>
            </w:r>
          </w:p>
        </w:tc>
        <w:tc>
          <w:tcPr>
            <w:tcW w:w="1165" w:type="dxa"/>
            <w:shd w:val="clear" w:color="auto" w:fill="C4EFCE"/>
            <w:vAlign w:val="center"/>
          </w:tcPr>
          <w:p w14:paraId="00F378C5" w14:textId="26E033C1" w:rsidR="00F24946" w:rsidRDefault="00613B06">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176CCB47" w14:textId="022E3FC5"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3BF0EA1" w14:textId="55368CAA" w:rsidR="00F24946" w:rsidRDefault="00613B06">
            <w:pPr>
              <w:pStyle w:val="P68B1DB1-Normal12"/>
              <w:spacing w:after="0" w:line="240" w:lineRule="auto"/>
              <w:jc w:val="center"/>
              <w:rPr>
                <w:noProof/>
              </w:rPr>
            </w:pPr>
            <w:r>
              <w:rPr>
                <w:noProof/>
              </w:rPr>
              <w:t>Zaključek „Kampusa Science XXI“ in „Znanostnega centra“ ter zagotavljanje storitev v okviru nacionalnega programa za odprto znanost in odprte raziskovalne podatke (PNCADAI)</w:t>
            </w:r>
          </w:p>
        </w:tc>
        <w:tc>
          <w:tcPr>
            <w:tcW w:w="2029" w:type="dxa"/>
            <w:shd w:val="clear" w:color="auto" w:fill="C4EFCE"/>
            <w:vAlign w:val="center"/>
          </w:tcPr>
          <w:p w14:paraId="13A0FF6F" w14:textId="77777777" w:rsidR="00F24946" w:rsidRDefault="00F24946">
            <w:pPr>
              <w:spacing w:after="0" w:line="240" w:lineRule="auto"/>
              <w:jc w:val="center"/>
              <w:rPr>
                <w:rFonts w:cstheme="minorHAnsi"/>
                <w:noProof/>
                <w:sz w:val="16"/>
              </w:rPr>
            </w:pPr>
          </w:p>
        </w:tc>
        <w:tc>
          <w:tcPr>
            <w:tcW w:w="982" w:type="dxa"/>
            <w:shd w:val="clear" w:color="auto" w:fill="C4EFCE"/>
            <w:vAlign w:val="center"/>
          </w:tcPr>
          <w:p w14:paraId="22740551" w14:textId="1CB75FCC"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57FCAC8C" w14:textId="6C811F49" w:rsidR="00F24946" w:rsidRDefault="00613B06">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13745293" w14:textId="3C59DC12" w:rsidR="00F24946" w:rsidRDefault="00613B06">
            <w:pPr>
              <w:pStyle w:val="P68B1DB1-Normal12"/>
              <w:spacing w:after="0" w:line="240" w:lineRule="auto"/>
              <w:jc w:val="center"/>
              <w:rPr>
                <w:noProof/>
                <w:highlight w:val="cyan"/>
              </w:rPr>
            </w:pPr>
            <w:r>
              <w:rPr>
                <w:noProof/>
              </w:rPr>
              <w:t>9</w:t>
            </w:r>
          </w:p>
        </w:tc>
        <w:tc>
          <w:tcPr>
            <w:tcW w:w="514" w:type="dxa"/>
            <w:shd w:val="clear" w:color="auto" w:fill="C4EFCE"/>
            <w:vAlign w:val="center"/>
          </w:tcPr>
          <w:p w14:paraId="70909177" w14:textId="2BF5B3A1" w:rsidR="00F24946" w:rsidRDefault="00613B06">
            <w:pPr>
              <w:pStyle w:val="P68B1DB1-Normal12"/>
              <w:spacing w:after="0" w:line="240" w:lineRule="auto"/>
              <w:jc w:val="center"/>
              <w:rPr>
                <w:rFonts w:cstheme="minorHAnsi"/>
                <w:noProof/>
              </w:rPr>
            </w:pPr>
            <w:r>
              <w:rPr>
                <w:noProof/>
              </w:rPr>
              <w:t>Q4</w:t>
            </w:r>
          </w:p>
        </w:tc>
        <w:tc>
          <w:tcPr>
            <w:tcW w:w="747" w:type="dxa"/>
            <w:shd w:val="clear" w:color="auto" w:fill="C4EFCE"/>
            <w:vAlign w:val="center"/>
          </w:tcPr>
          <w:p w14:paraId="752967AE" w14:textId="0BF8F3C5" w:rsidR="00F24946" w:rsidRDefault="00613B06">
            <w:pPr>
              <w:pStyle w:val="P68B1DB1-Normal12"/>
              <w:spacing w:after="0" w:line="240" w:lineRule="auto"/>
              <w:jc w:val="center"/>
              <w:rPr>
                <w:rFonts w:cstheme="minorHAnsi"/>
                <w:noProof/>
              </w:rPr>
            </w:pPr>
            <w:r>
              <w:rPr>
                <w:noProof/>
              </w:rPr>
              <w:t>2025 </w:t>
            </w:r>
          </w:p>
        </w:tc>
        <w:tc>
          <w:tcPr>
            <w:tcW w:w="3919" w:type="dxa"/>
            <w:shd w:val="clear" w:color="auto" w:fill="C4EFCE"/>
            <w:vAlign w:val="center"/>
          </w:tcPr>
          <w:p w14:paraId="74F80FFD" w14:textId="63AC4EAE" w:rsidR="00F24946" w:rsidRDefault="00613B06">
            <w:pPr>
              <w:pStyle w:val="P68B1DB1-Normal12"/>
              <w:spacing w:after="0" w:line="240" w:lineRule="auto"/>
              <w:jc w:val="both"/>
              <w:rPr>
                <w:noProof/>
              </w:rPr>
            </w:pPr>
            <w:r>
              <w:rPr>
                <w:noProof/>
              </w:rPr>
              <w:t xml:space="preserve">Dokončanje dveh digitalnih storitev in storitev fizikalnih znanosti in tehnologije: „Campus Science XXI“ in „Znanostni center“. </w:t>
            </w:r>
          </w:p>
          <w:p w14:paraId="00F0CA38" w14:textId="04A5C66F" w:rsidR="00F24946" w:rsidRDefault="00F24946">
            <w:pPr>
              <w:spacing w:after="0" w:line="240" w:lineRule="auto"/>
              <w:jc w:val="both"/>
              <w:rPr>
                <w:noProof/>
                <w:sz w:val="16"/>
              </w:rPr>
            </w:pPr>
          </w:p>
          <w:p w14:paraId="507B7C51" w14:textId="320143D7" w:rsidR="00F24946" w:rsidRDefault="00613B06">
            <w:pPr>
              <w:pStyle w:val="P68B1DB1-Normal12"/>
              <w:spacing w:after="0" w:line="240" w:lineRule="auto"/>
              <w:jc w:val="both"/>
              <w:rPr>
                <w:noProof/>
              </w:rPr>
            </w:pPr>
            <w:r>
              <w:rPr>
                <w:noProof/>
              </w:rPr>
              <w:t>Zagotavljanje sedmih spletnih elektronskih storitev v okviru nacionalnega programa odprte znanosti in odprtih raziskovalnih podatkov (PNCADAI). Program vključuje infrastrukturo podatkovnega središča in storitev upravljanja podatkov.</w:t>
            </w:r>
          </w:p>
        </w:tc>
      </w:tr>
      <w:tr w:rsidR="00F24946" w14:paraId="7FB7AC29" w14:textId="77777777">
        <w:trPr>
          <w:trHeight w:val="67"/>
        </w:trPr>
        <w:tc>
          <w:tcPr>
            <w:tcW w:w="1134" w:type="dxa"/>
            <w:shd w:val="clear" w:color="auto" w:fill="C4EFCE"/>
            <w:vAlign w:val="center"/>
          </w:tcPr>
          <w:p w14:paraId="4B3A8873" w14:textId="179ED554" w:rsidR="00F24946" w:rsidRDefault="00613B06">
            <w:pPr>
              <w:pStyle w:val="P68B1DB1-Normal11"/>
              <w:spacing w:after="0" w:line="240" w:lineRule="auto"/>
              <w:jc w:val="center"/>
              <w:rPr>
                <w:rFonts w:cstheme="minorHAnsi"/>
                <w:noProof/>
              </w:rPr>
            </w:pPr>
            <w:r>
              <w:rPr>
                <w:noProof/>
              </w:rPr>
              <w:t>5.36</w:t>
            </w:r>
          </w:p>
        </w:tc>
        <w:tc>
          <w:tcPr>
            <w:tcW w:w="1165" w:type="dxa"/>
            <w:shd w:val="clear" w:color="auto" w:fill="C4EFCE"/>
            <w:vAlign w:val="center"/>
          </w:tcPr>
          <w:p w14:paraId="1F9177C6" w14:textId="5AA691B4" w:rsidR="00F24946" w:rsidRDefault="00613B06">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2AACB229" w14:textId="43308D7E"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3E3B9075" w14:textId="3A696E59" w:rsidR="00F24946" w:rsidRDefault="00613B06">
            <w:pPr>
              <w:pStyle w:val="P68B1DB1-Normal12"/>
              <w:spacing w:after="0" w:line="240" w:lineRule="auto"/>
              <w:jc w:val="center"/>
              <w:rPr>
                <w:noProof/>
              </w:rPr>
            </w:pPr>
            <w:r>
              <w:rPr>
                <w:noProof/>
              </w:rPr>
              <w:t>Zaključek projektov v okviru programa za raziskave in razvoj v javni upravi in novih tečajev na nacionalni platformi za množične spletne tečaje (NAU)</w:t>
            </w:r>
          </w:p>
        </w:tc>
        <w:tc>
          <w:tcPr>
            <w:tcW w:w="2029" w:type="dxa"/>
            <w:shd w:val="clear" w:color="auto" w:fill="C4EFCE"/>
            <w:vAlign w:val="center"/>
          </w:tcPr>
          <w:p w14:paraId="0E21AFE0" w14:textId="774900D8" w:rsidR="00F24946" w:rsidRDefault="00613B06">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3D64CFE9" w14:textId="46B248A4"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5F88E593" w14:textId="4099A441" w:rsidR="00F24946" w:rsidRDefault="00613B06">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21DC20A1" w14:textId="13A50267" w:rsidR="00F24946" w:rsidRDefault="00613B06">
            <w:pPr>
              <w:pStyle w:val="P68B1DB1-Normal12"/>
              <w:spacing w:after="0" w:line="240" w:lineRule="auto"/>
              <w:jc w:val="center"/>
              <w:rPr>
                <w:noProof/>
                <w:highlight w:val="cyan"/>
              </w:rPr>
            </w:pPr>
            <w:r>
              <w:rPr>
                <w:noProof/>
              </w:rPr>
              <w:t>144</w:t>
            </w:r>
          </w:p>
        </w:tc>
        <w:tc>
          <w:tcPr>
            <w:tcW w:w="514" w:type="dxa"/>
            <w:shd w:val="clear" w:color="auto" w:fill="C4EFCE"/>
            <w:vAlign w:val="center"/>
          </w:tcPr>
          <w:p w14:paraId="14DC8D5E" w14:textId="4E1FC6D6" w:rsidR="00F24946" w:rsidRDefault="00613B06">
            <w:pPr>
              <w:pStyle w:val="P68B1DB1-Normal12"/>
              <w:spacing w:after="0" w:line="240" w:lineRule="auto"/>
              <w:jc w:val="center"/>
              <w:rPr>
                <w:rFonts w:cstheme="minorHAnsi"/>
                <w:noProof/>
              </w:rPr>
            </w:pPr>
            <w:r>
              <w:rPr>
                <w:noProof/>
              </w:rPr>
              <w:t>ČETRTLETJE 1</w:t>
            </w:r>
          </w:p>
        </w:tc>
        <w:tc>
          <w:tcPr>
            <w:tcW w:w="747" w:type="dxa"/>
            <w:shd w:val="clear" w:color="auto" w:fill="C4EFCE"/>
            <w:vAlign w:val="center"/>
          </w:tcPr>
          <w:p w14:paraId="6C28108F" w14:textId="341BEB1E" w:rsidR="00F24946" w:rsidRDefault="00613B06">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3741DF14" w14:textId="79BB2D5C" w:rsidR="00F24946" w:rsidRDefault="00613B06">
            <w:pPr>
              <w:pStyle w:val="P68B1DB1-Normal12"/>
              <w:spacing w:after="0" w:line="240" w:lineRule="auto"/>
              <w:jc w:val="both"/>
              <w:rPr>
                <w:noProof/>
              </w:rPr>
            </w:pPr>
            <w:r>
              <w:rPr>
                <w:noProof/>
              </w:rPr>
              <w:t xml:space="preserve">Zaključek 94 projektov, financiranih v okviru programa za raziskave in razvoj v javni upravi (vključno s področji umetne inteligence, kibernetske varnosti in podatkovne znanosti). </w:t>
            </w:r>
          </w:p>
          <w:p w14:paraId="222B1DF4" w14:textId="507AAE05" w:rsidR="00F24946" w:rsidRDefault="00F24946">
            <w:pPr>
              <w:spacing w:after="0" w:line="240" w:lineRule="auto"/>
              <w:jc w:val="both"/>
              <w:rPr>
                <w:noProof/>
                <w:sz w:val="16"/>
              </w:rPr>
            </w:pPr>
          </w:p>
          <w:p w14:paraId="58102DBE" w14:textId="173B1D60" w:rsidR="00F24946" w:rsidRDefault="00613B06">
            <w:pPr>
              <w:pStyle w:val="P68B1DB1-Normal12"/>
              <w:spacing w:after="0" w:line="240" w:lineRule="auto"/>
              <w:jc w:val="both"/>
              <w:rPr>
                <w:noProof/>
              </w:rPr>
            </w:pPr>
            <w:r>
              <w:rPr>
                <w:noProof/>
              </w:rPr>
              <w:t>50 novih tečajev, ponujenih prek nacionalne platforme za množične spletne tečaje (NAU), ki uporabljajo novo razvito tehnološko infrastrukturo.</w:t>
            </w:r>
          </w:p>
        </w:tc>
      </w:tr>
      <w:tr w:rsidR="00F24946" w14:paraId="3CFFEAB5" w14:textId="77777777">
        <w:trPr>
          <w:trHeight w:val="67"/>
        </w:trPr>
        <w:tc>
          <w:tcPr>
            <w:tcW w:w="1134" w:type="dxa"/>
            <w:shd w:val="clear" w:color="auto" w:fill="C4EFCE"/>
            <w:vAlign w:val="center"/>
          </w:tcPr>
          <w:p w14:paraId="02998C93" w14:textId="7BC372D7" w:rsidR="00F24946" w:rsidRDefault="00613B06">
            <w:pPr>
              <w:pStyle w:val="P68B1DB1-Normal11"/>
              <w:spacing w:after="0" w:line="240" w:lineRule="auto"/>
              <w:jc w:val="center"/>
              <w:rPr>
                <w:rFonts w:cstheme="minorHAnsi"/>
                <w:noProof/>
              </w:rPr>
            </w:pPr>
            <w:r>
              <w:rPr>
                <w:noProof/>
              </w:rPr>
              <w:t>5.37</w:t>
            </w:r>
          </w:p>
        </w:tc>
        <w:tc>
          <w:tcPr>
            <w:tcW w:w="1165" w:type="dxa"/>
            <w:shd w:val="clear" w:color="auto" w:fill="C4EFCE"/>
            <w:vAlign w:val="center"/>
          </w:tcPr>
          <w:p w14:paraId="57B2A843" w14:textId="724532F4" w:rsidR="00F24946" w:rsidRDefault="00613B06">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BEDE968" w14:textId="63C0C0AF" w:rsidR="00F24946" w:rsidRDefault="00613B06">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71202E2B" w14:textId="74ACF820" w:rsidR="00F24946" w:rsidRDefault="00613B06">
            <w:pPr>
              <w:pStyle w:val="P68B1DB1-Normal12"/>
              <w:spacing w:after="0" w:line="240" w:lineRule="auto"/>
              <w:jc w:val="center"/>
              <w:rPr>
                <w:rFonts w:cstheme="minorHAnsi"/>
                <w:noProof/>
              </w:rPr>
            </w:pPr>
            <w:r>
              <w:rPr>
                <w:noProof/>
              </w:rPr>
              <w:t>Ustanovitev nacionalnega centra za napredno računalništvo (CNCA).</w:t>
            </w:r>
          </w:p>
        </w:tc>
        <w:tc>
          <w:tcPr>
            <w:tcW w:w="2029" w:type="dxa"/>
            <w:shd w:val="clear" w:color="auto" w:fill="C4EFCE"/>
            <w:vAlign w:val="center"/>
          </w:tcPr>
          <w:p w14:paraId="7A981D55" w14:textId="2AB7DBD0" w:rsidR="00F24946" w:rsidRDefault="00613B06">
            <w:pPr>
              <w:pStyle w:val="P68B1DB1-Normal12"/>
              <w:spacing w:after="0" w:line="240" w:lineRule="auto"/>
              <w:jc w:val="center"/>
              <w:rPr>
                <w:rFonts w:cstheme="minorHAnsi"/>
                <w:noProof/>
              </w:rPr>
            </w:pPr>
            <w:r>
              <w:rPr>
                <w:noProof/>
              </w:rPr>
              <w:t>Ustanovitev nacionalnega centra za napredno računalništvo</w:t>
            </w:r>
          </w:p>
        </w:tc>
        <w:tc>
          <w:tcPr>
            <w:tcW w:w="982" w:type="dxa"/>
            <w:shd w:val="clear" w:color="auto" w:fill="C4EFCE"/>
            <w:vAlign w:val="center"/>
          </w:tcPr>
          <w:p w14:paraId="38AA2D81" w14:textId="77777777" w:rsidR="00F24946" w:rsidRDefault="00F24946">
            <w:pPr>
              <w:spacing w:after="0" w:line="240" w:lineRule="auto"/>
              <w:jc w:val="center"/>
              <w:rPr>
                <w:rFonts w:cstheme="minorHAnsi"/>
                <w:noProof/>
                <w:sz w:val="16"/>
              </w:rPr>
            </w:pPr>
          </w:p>
        </w:tc>
        <w:tc>
          <w:tcPr>
            <w:tcW w:w="982" w:type="dxa"/>
            <w:shd w:val="clear" w:color="auto" w:fill="C4EFCE"/>
            <w:vAlign w:val="center"/>
          </w:tcPr>
          <w:p w14:paraId="73A08FCB" w14:textId="77777777" w:rsidR="00F24946" w:rsidRDefault="00F24946">
            <w:pPr>
              <w:spacing w:after="0" w:line="240" w:lineRule="auto"/>
              <w:jc w:val="center"/>
              <w:rPr>
                <w:rFonts w:cstheme="minorHAnsi"/>
                <w:noProof/>
                <w:sz w:val="16"/>
              </w:rPr>
            </w:pPr>
          </w:p>
        </w:tc>
        <w:tc>
          <w:tcPr>
            <w:tcW w:w="626" w:type="dxa"/>
            <w:shd w:val="clear" w:color="auto" w:fill="C4EFCE"/>
            <w:vAlign w:val="center"/>
          </w:tcPr>
          <w:p w14:paraId="71B94818" w14:textId="77777777" w:rsidR="00F24946" w:rsidRDefault="00F24946">
            <w:pPr>
              <w:spacing w:after="0" w:line="240" w:lineRule="auto"/>
              <w:jc w:val="center"/>
              <w:rPr>
                <w:rFonts w:cstheme="minorHAnsi"/>
                <w:noProof/>
                <w:sz w:val="16"/>
                <w:highlight w:val="cyan"/>
              </w:rPr>
            </w:pPr>
          </w:p>
        </w:tc>
        <w:tc>
          <w:tcPr>
            <w:tcW w:w="514" w:type="dxa"/>
            <w:shd w:val="clear" w:color="auto" w:fill="C4EFCE"/>
            <w:vAlign w:val="center"/>
          </w:tcPr>
          <w:p w14:paraId="6C0FA98B" w14:textId="6A787B86" w:rsidR="00F24946" w:rsidRDefault="00613B06">
            <w:pPr>
              <w:pStyle w:val="P68B1DB1-Normal12"/>
              <w:spacing w:after="0" w:line="240" w:lineRule="auto"/>
              <w:jc w:val="center"/>
              <w:rPr>
                <w:rFonts w:cstheme="minorHAnsi"/>
                <w:noProof/>
              </w:rPr>
            </w:pPr>
            <w:r>
              <w:rPr>
                <w:noProof/>
              </w:rPr>
              <w:t>Q4</w:t>
            </w:r>
          </w:p>
        </w:tc>
        <w:tc>
          <w:tcPr>
            <w:tcW w:w="747" w:type="dxa"/>
            <w:shd w:val="clear" w:color="auto" w:fill="C4EFCE"/>
            <w:vAlign w:val="center"/>
          </w:tcPr>
          <w:p w14:paraId="2FE817D5" w14:textId="2B27B007" w:rsidR="00F24946" w:rsidRDefault="00613B06">
            <w:pPr>
              <w:pStyle w:val="P68B1DB1-Normal12"/>
              <w:spacing w:after="0" w:line="240" w:lineRule="auto"/>
              <w:jc w:val="center"/>
              <w:rPr>
                <w:rFonts w:cstheme="minorHAnsi"/>
                <w:noProof/>
              </w:rPr>
            </w:pPr>
            <w:r>
              <w:rPr>
                <w:noProof/>
              </w:rPr>
              <w:t>2024 </w:t>
            </w:r>
          </w:p>
        </w:tc>
        <w:tc>
          <w:tcPr>
            <w:tcW w:w="3919" w:type="dxa"/>
            <w:shd w:val="clear" w:color="auto" w:fill="C4EFCE"/>
            <w:vAlign w:val="center"/>
          </w:tcPr>
          <w:p w14:paraId="75E7143A" w14:textId="7709FF39" w:rsidR="00F24946" w:rsidRDefault="00613B06">
            <w:pPr>
              <w:pStyle w:val="P68B1DB1-Normal12"/>
              <w:spacing w:after="0" w:line="240" w:lineRule="auto"/>
              <w:jc w:val="both"/>
              <w:rPr>
                <w:rFonts w:cstheme="minorHAnsi"/>
                <w:noProof/>
              </w:rPr>
            </w:pPr>
            <w:r>
              <w:rPr>
                <w:noProof/>
              </w:rPr>
              <w:t>Ustanovitev nacionalnega centra za napredno računalništvo, ki bo obstoječa portugalska računalniška omrežja in centre preoblikoval v en sam subjekt; podpora upravljanju dveh superračunalnikov (Deucalion in Mare Nostrum 5).</w:t>
            </w:r>
          </w:p>
        </w:tc>
      </w:tr>
      <w:tr w:rsidR="00F24946" w14:paraId="1168D75D" w14:textId="77777777">
        <w:trPr>
          <w:trHeight w:val="67"/>
        </w:trPr>
        <w:tc>
          <w:tcPr>
            <w:tcW w:w="1134" w:type="dxa"/>
            <w:shd w:val="clear" w:color="auto" w:fill="C4EFCE"/>
            <w:vAlign w:val="center"/>
          </w:tcPr>
          <w:p w14:paraId="6355B752" w14:textId="337B4A60" w:rsidR="00F24946" w:rsidRDefault="00613B06">
            <w:pPr>
              <w:pStyle w:val="P68B1DB1-Normal11"/>
              <w:spacing w:after="0" w:line="240" w:lineRule="auto"/>
              <w:jc w:val="center"/>
              <w:rPr>
                <w:rFonts w:cstheme="minorHAnsi"/>
                <w:noProof/>
              </w:rPr>
            </w:pPr>
            <w:r>
              <w:rPr>
                <w:noProof/>
              </w:rPr>
              <w:t>5.38</w:t>
            </w:r>
          </w:p>
        </w:tc>
        <w:tc>
          <w:tcPr>
            <w:tcW w:w="1165" w:type="dxa"/>
            <w:shd w:val="clear" w:color="auto" w:fill="C4EFCE"/>
            <w:vAlign w:val="center"/>
          </w:tcPr>
          <w:p w14:paraId="6A66A585" w14:textId="1CB84C87" w:rsidR="00F24946" w:rsidRDefault="00613B06">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EE8CC42" w14:textId="655C9C80" w:rsidR="00F24946" w:rsidRDefault="00613B06">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43F1043A" w14:textId="587CA9BE" w:rsidR="00F24946" w:rsidRDefault="00613B06">
            <w:pPr>
              <w:pStyle w:val="P68B1DB1-Normal12"/>
              <w:spacing w:after="0" w:line="240" w:lineRule="auto"/>
              <w:jc w:val="center"/>
              <w:rPr>
                <w:rFonts w:cstheme="minorHAnsi"/>
                <w:noProof/>
              </w:rPr>
            </w:pPr>
            <w:r>
              <w:rPr>
                <w:noProof/>
              </w:rPr>
              <w:t>Dokončanje podporne infrastrukture in podatkovnega središča za nacionalni napredni računalniški center</w:t>
            </w:r>
          </w:p>
        </w:tc>
        <w:tc>
          <w:tcPr>
            <w:tcW w:w="2029" w:type="dxa"/>
            <w:shd w:val="clear" w:color="auto" w:fill="C4EFCE"/>
            <w:vAlign w:val="center"/>
          </w:tcPr>
          <w:p w14:paraId="103BEF7A" w14:textId="505B7CAB" w:rsidR="00F24946" w:rsidRDefault="00613B06">
            <w:pPr>
              <w:pStyle w:val="P68B1DB1-Normal12"/>
              <w:spacing w:after="0" w:line="240" w:lineRule="auto"/>
              <w:jc w:val="center"/>
              <w:rPr>
                <w:rFonts w:cstheme="minorHAnsi"/>
                <w:noProof/>
              </w:rPr>
            </w:pPr>
            <w:r>
              <w:rPr>
                <w:noProof/>
              </w:rPr>
              <w:t xml:space="preserve"> Dokončanje podporne infrastrukture in podatkovnega središča za nacionalni napredni računalniški center</w:t>
            </w:r>
          </w:p>
        </w:tc>
        <w:tc>
          <w:tcPr>
            <w:tcW w:w="982" w:type="dxa"/>
            <w:shd w:val="clear" w:color="auto" w:fill="C4EFCE"/>
            <w:vAlign w:val="center"/>
          </w:tcPr>
          <w:p w14:paraId="665EDCF5" w14:textId="77777777" w:rsidR="00F24946" w:rsidRDefault="00F24946">
            <w:pPr>
              <w:spacing w:after="0" w:line="240" w:lineRule="auto"/>
              <w:jc w:val="center"/>
              <w:rPr>
                <w:rFonts w:cstheme="minorHAnsi"/>
                <w:noProof/>
                <w:sz w:val="16"/>
              </w:rPr>
            </w:pPr>
          </w:p>
        </w:tc>
        <w:tc>
          <w:tcPr>
            <w:tcW w:w="982" w:type="dxa"/>
            <w:shd w:val="clear" w:color="auto" w:fill="C4EFCE"/>
            <w:vAlign w:val="center"/>
          </w:tcPr>
          <w:p w14:paraId="604F8156" w14:textId="77777777" w:rsidR="00F24946" w:rsidRDefault="00F24946">
            <w:pPr>
              <w:spacing w:after="0" w:line="240" w:lineRule="auto"/>
              <w:jc w:val="center"/>
              <w:rPr>
                <w:rFonts w:cstheme="minorHAnsi"/>
                <w:noProof/>
                <w:sz w:val="16"/>
              </w:rPr>
            </w:pPr>
          </w:p>
        </w:tc>
        <w:tc>
          <w:tcPr>
            <w:tcW w:w="626" w:type="dxa"/>
            <w:shd w:val="clear" w:color="auto" w:fill="C4EFCE"/>
            <w:vAlign w:val="center"/>
          </w:tcPr>
          <w:p w14:paraId="6521B461" w14:textId="77777777" w:rsidR="00F24946" w:rsidRDefault="00F24946">
            <w:pPr>
              <w:spacing w:after="0" w:line="240" w:lineRule="auto"/>
              <w:jc w:val="center"/>
              <w:rPr>
                <w:rFonts w:cstheme="minorHAnsi"/>
                <w:noProof/>
                <w:sz w:val="16"/>
                <w:highlight w:val="cyan"/>
              </w:rPr>
            </w:pPr>
          </w:p>
        </w:tc>
        <w:tc>
          <w:tcPr>
            <w:tcW w:w="514" w:type="dxa"/>
            <w:shd w:val="clear" w:color="auto" w:fill="C4EFCE"/>
            <w:vAlign w:val="center"/>
          </w:tcPr>
          <w:p w14:paraId="5911DBE8" w14:textId="2778B2F0" w:rsidR="00F24946" w:rsidRDefault="00613B06">
            <w:pPr>
              <w:pStyle w:val="P68B1DB1-Normal12"/>
              <w:spacing w:after="0" w:line="240" w:lineRule="auto"/>
              <w:jc w:val="center"/>
              <w:rPr>
                <w:rFonts w:cstheme="minorHAnsi"/>
                <w:noProof/>
              </w:rPr>
            </w:pPr>
            <w:r>
              <w:rPr>
                <w:noProof/>
              </w:rPr>
              <w:t>ČETRTLETJE 1</w:t>
            </w:r>
          </w:p>
        </w:tc>
        <w:tc>
          <w:tcPr>
            <w:tcW w:w="747" w:type="dxa"/>
            <w:shd w:val="clear" w:color="auto" w:fill="C4EFCE"/>
            <w:vAlign w:val="center"/>
          </w:tcPr>
          <w:p w14:paraId="1D2E37FD" w14:textId="5C75696B" w:rsidR="00F24946" w:rsidRDefault="00613B06">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11269D2F" w14:textId="53F8063F" w:rsidR="00F24946" w:rsidRDefault="00613B06">
            <w:pPr>
              <w:pStyle w:val="P68B1DB1-Bodytext1013"/>
              <w:spacing w:line="256" w:lineRule="auto"/>
              <w:rPr>
                <w:rFonts w:cstheme="minorHAnsi"/>
                <w:noProof/>
              </w:rPr>
            </w:pPr>
            <w:r>
              <w:rPr>
                <w:noProof/>
              </w:rPr>
              <w:t>Dokončanje podporne infrastrukture in podatkovnega središča za nacionalni napredni računalniški center </w:t>
            </w:r>
          </w:p>
        </w:tc>
      </w:tr>
      <w:tr w:rsidR="00F24946" w14:paraId="3AE6E34A" w14:textId="77777777">
        <w:trPr>
          <w:trHeight w:val="67"/>
        </w:trPr>
        <w:tc>
          <w:tcPr>
            <w:tcW w:w="1134" w:type="dxa"/>
            <w:shd w:val="clear" w:color="auto" w:fill="C4EFCE"/>
            <w:vAlign w:val="center"/>
          </w:tcPr>
          <w:p w14:paraId="55867E7C" w14:textId="373DE81E" w:rsidR="00F24946" w:rsidRDefault="00613B06">
            <w:pPr>
              <w:pStyle w:val="P68B1DB1-Normal11"/>
              <w:spacing w:after="0" w:line="240" w:lineRule="auto"/>
              <w:jc w:val="center"/>
              <w:rPr>
                <w:rFonts w:cstheme="minorHAnsi"/>
                <w:noProof/>
              </w:rPr>
            </w:pPr>
            <w:r>
              <w:rPr>
                <w:noProof/>
              </w:rPr>
              <w:t>5.39</w:t>
            </w:r>
          </w:p>
        </w:tc>
        <w:tc>
          <w:tcPr>
            <w:tcW w:w="1165" w:type="dxa"/>
            <w:shd w:val="clear" w:color="auto" w:fill="C4EFCE"/>
            <w:vAlign w:val="center"/>
          </w:tcPr>
          <w:p w14:paraId="23AF3018" w14:textId="0A8EDF3B" w:rsidR="00F24946" w:rsidRDefault="00613B06">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2D4C26B" w14:textId="71E2271E"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0733311B" w14:textId="4DAD6F17" w:rsidR="00F24946" w:rsidRDefault="00613B06">
            <w:pPr>
              <w:pStyle w:val="P68B1DB1-Bodytext1013"/>
              <w:spacing w:line="256" w:lineRule="auto"/>
              <w:jc w:val="center"/>
              <w:rPr>
                <w:rFonts w:cstheme="minorHAnsi"/>
                <w:noProof/>
              </w:rPr>
            </w:pPr>
            <w:r>
              <w:rPr>
                <w:noProof/>
              </w:rPr>
              <w:t>Sklepanje pogodb za razvoj novih proizvodov, procesov ali storitev na ustreznih strateških področjih (programi inovacij).</w:t>
            </w:r>
          </w:p>
        </w:tc>
        <w:tc>
          <w:tcPr>
            <w:tcW w:w="2029" w:type="dxa"/>
            <w:shd w:val="clear" w:color="auto" w:fill="C4EFCE"/>
            <w:vAlign w:val="center"/>
          </w:tcPr>
          <w:p w14:paraId="51EF8F0E" w14:textId="406D3CE7" w:rsidR="00F24946" w:rsidRDefault="00F24946">
            <w:pPr>
              <w:spacing w:after="0" w:line="240" w:lineRule="auto"/>
              <w:jc w:val="center"/>
              <w:rPr>
                <w:rFonts w:cstheme="minorHAnsi"/>
                <w:noProof/>
                <w:sz w:val="16"/>
              </w:rPr>
            </w:pPr>
          </w:p>
        </w:tc>
        <w:tc>
          <w:tcPr>
            <w:tcW w:w="982" w:type="dxa"/>
            <w:shd w:val="clear" w:color="auto" w:fill="C4EFCE"/>
            <w:vAlign w:val="center"/>
          </w:tcPr>
          <w:p w14:paraId="6E4FF967" w14:textId="04C05558"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0D1FE526" w14:textId="0994B876" w:rsidR="00F24946" w:rsidRDefault="00613B06">
            <w:pPr>
              <w:pStyle w:val="P68B1DB1-Normal12"/>
              <w:spacing w:after="0" w:line="240" w:lineRule="auto"/>
              <w:jc w:val="center"/>
              <w:rPr>
                <w:rFonts w:cstheme="minorHAnsi"/>
                <w:noProof/>
              </w:rPr>
            </w:pPr>
            <w:r>
              <w:rPr>
                <w:noProof/>
              </w:rPr>
              <w:t>6</w:t>
            </w:r>
          </w:p>
        </w:tc>
        <w:tc>
          <w:tcPr>
            <w:tcW w:w="626" w:type="dxa"/>
            <w:shd w:val="clear" w:color="auto" w:fill="C4EFCE"/>
            <w:vAlign w:val="center"/>
          </w:tcPr>
          <w:p w14:paraId="1BA698AE" w14:textId="4F2BA1A9" w:rsidR="00F24946" w:rsidRDefault="00613B06">
            <w:pPr>
              <w:pStyle w:val="P68B1DB1-Normal12"/>
              <w:spacing w:after="0" w:line="240" w:lineRule="auto"/>
              <w:jc w:val="center"/>
              <w:rPr>
                <w:rFonts w:cstheme="minorHAnsi"/>
                <w:noProof/>
              </w:rPr>
            </w:pPr>
            <w:r>
              <w:rPr>
                <w:noProof/>
              </w:rPr>
              <w:t>12</w:t>
            </w:r>
          </w:p>
        </w:tc>
        <w:tc>
          <w:tcPr>
            <w:tcW w:w="514" w:type="dxa"/>
            <w:shd w:val="clear" w:color="auto" w:fill="C4EFCE"/>
            <w:vAlign w:val="center"/>
          </w:tcPr>
          <w:p w14:paraId="613C15B0" w14:textId="65072EBB" w:rsidR="00F24946" w:rsidRDefault="00613B06">
            <w:pPr>
              <w:pStyle w:val="P68B1DB1-Normal12"/>
              <w:spacing w:after="0" w:line="240" w:lineRule="auto"/>
              <w:jc w:val="center"/>
              <w:rPr>
                <w:noProof/>
              </w:rPr>
            </w:pPr>
            <w:r>
              <w:rPr>
                <w:noProof/>
              </w:rPr>
              <w:t>Q2</w:t>
            </w:r>
          </w:p>
        </w:tc>
        <w:tc>
          <w:tcPr>
            <w:tcW w:w="747" w:type="dxa"/>
            <w:shd w:val="clear" w:color="auto" w:fill="C4EFCE"/>
            <w:vAlign w:val="center"/>
          </w:tcPr>
          <w:p w14:paraId="5918EFE8" w14:textId="585FC784" w:rsidR="00F24946" w:rsidRDefault="00613B06">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6D75FE2C" w14:textId="033B317C" w:rsidR="00F24946" w:rsidRDefault="00613B06">
            <w:pPr>
              <w:pStyle w:val="P68B1DB1-Bodytext1013"/>
              <w:spacing w:after="0" w:line="256" w:lineRule="auto"/>
              <w:rPr>
                <w:rFonts w:cstheme="minorHAnsi"/>
                <w:noProof/>
              </w:rPr>
            </w:pPr>
            <w:r>
              <w:rPr>
                <w:noProof/>
              </w:rPr>
              <w:t>Sklenitev šestih dodatnih pogodb (inovacijski pakti ali mobilizacija projektov) s konzorciji, ki vključujejo:</w:t>
            </w:r>
          </w:p>
          <w:p w14:paraId="62A4DB6A" w14:textId="77777777" w:rsidR="00F24946" w:rsidRDefault="00613B06">
            <w:pPr>
              <w:pStyle w:val="P68B1DB1-Bodytext1013"/>
              <w:spacing w:after="0" w:line="256" w:lineRule="auto"/>
              <w:rPr>
                <w:rFonts w:cstheme="minorHAnsi"/>
                <w:noProof/>
              </w:rPr>
            </w:pPr>
            <w:r>
              <w:rPr>
                <w:noProof/>
              </w:rPr>
              <w:t>• Opredelitev subjektov v sestavi konzorcija;</w:t>
            </w:r>
          </w:p>
          <w:p w14:paraId="69824E0B" w14:textId="77777777" w:rsidR="00F24946" w:rsidRDefault="00613B06">
            <w:pPr>
              <w:pStyle w:val="P68B1DB1-Bodytext1013"/>
              <w:spacing w:after="0" w:line="256" w:lineRule="auto"/>
              <w:rPr>
                <w:rFonts w:cstheme="minorHAnsi"/>
                <w:noProof/>
              </w:rPr>
            </w:pPr>
            <w:r>
              <w:rPr>
                <w:noProof/>
              </w:rPr>
              <w:t>• Poslovni načrt/naložba;</w:t>
            </w:r>
          </w:p>
          <w:p w14:paraId="46F8E259" w14:textId="77777777" w:rsidR="00F24946" w:rsidRDefault="00613B06">
            <w:pPr>
              <w:pStyle w:val="P68B1DB1-Bodytext1013"/>
              <w:spacing w:after="0" w:line="256" w:lineRule="auto"/>
              <w:rPr>
                <w:rFonts w:cstheme="minorHAnsi"/>
                <w:noProof/>
              </w:rPr>
            </w:pPr>
            <w:r>
              <w:rPr>
                <w:noProof/>
              </w:rPr>
              <w:t>• Znesek financiranja;</w:t>
            </w:r>
          </w:p>
          <w:p w14:paraId="55104ED1" w14:textId="77777777" w:rsidR="00F24946" w:rsidRDefault="00613B06">
            <w:pPr>
              <w:pStyle w:val="P68B1DB1-Bodytext1013"/>
              <w:spacing w:after="0" w:line="256" w:lineRule="auto"/>
              <w:rPr>
                <w:rFonts w:cstheme="minorHAnsi"/>
                <w:noProof/>
              </w:rPr>
            </w:pPr>
            <w:r>
              <w:rPr>
                <w:noProof/>
              </w:rPr>
              <w:t>• Cilje, h katerim je upravičenec zavezan;</w:t>
            </w:r>
          </w:p>
          <w:p w14:paraId="6DAC83A3" w14:textId="77777777" w:rsidR="00F24946" w:rsidRDefault="00613B06">
            <w:pPr>
              <w:pStyle w:val="P68B1DB1-Bodytext1013"/>
              <w:spacing w:after="0" w:line="256" w:lineRule="auto"/>
              <w:rPr>
                <w:rFonts w:cstheme="minorHAnsi"/>
                <w:noProof/>
              </w:rPr>
            </w:pPr>
            <w:r>
              <w:rPr>
                <w:noProof/>
              </w:rPr>
              <w:t xml:space="preserve">• Oblika spremljanja. </w:t>
            </w:r>
          </w:p>
          <w:p w14:paraId="5CFD5ACF" w14:textId="7A86A58C" w:rsidR="00F24946" w:rsidRDefault="00F24946">
            <w:pPr>
              <w:pStyle w:val="Bodytext10"/>
              <w:spacing w:after="0" w:line="256" w:lineRule="auto"/>
              <w:rPr>
                <w:rFonts w:asciiTheme="minorHAnsi" w:hAnsiTheme="minorHAnsi" w:cstheme="minorHAnsi"/>
                <w:noProof/>
                <w:sz w:val="16"/>
              </w:rPr>
            </w:pPr>
          </w:p>
          <w:p w14:paraId="0E42EAA5" w14:textId="7A444261" w:rsidR="00F24946" w:rsidRDefault="00613B06">
            <w:pPr>
              <w:pStyle w:val="P68B1DB1-Bodytext1013"/>
              <w:spacing w:after="0" w:line="256" w:lineRule="auto"/>
              <w:rPr>
                <w:rFonts w:cstheme="minorHAnsi"/>
                <w:noProof/>
              </w:rPr>
            </w:pPr>
            <w:r>
              <w:rPr>
                <w:noProof/>
              </w:rPr>
              <w:t>Pogodbe podpirajo skupno vsaj 168 proizvodov, procesov ali storitev. Mandat vključuje merila za upravičenost, ki zagotavljajo, da so izbrani projekti skladni s tehničnimi smernicami, da se ne škoduje bistveno (2021/C58/01), in sicer z uporabo seznama za izključitev in zahtevo po skladnosti z ustrezno okoljsko zakonodajo EU in nacionalno okoljsko zakonodajo.</w:t>
            </w:r>
          </w:p>
          <w:p w14:paraId="2CB8717F" w14:textId="38307B1B" w:rsidR="00F24946" w:rsidRDefault="00613B06">
            <w:pPr>
              <w:pStyle w:val="P68B1DB1-Normal12"/>
              <w:spacing w:after="0" w:line="240" w:lineRule="auto"/>
              <w:jc w:val="both"/>
              <w:rPr>
                <w:rFonts w:cstheme="minorHAnsi"/>
                <w:noProof/>
              </w:rPr>
            </w:pPr>
            <w:r>
              <w:rPr>
                <w:noProof/>
              </w:rPr>
              <w:t>Pogodbe dopolnjujejo pogodbe, ki se izvajajo v RE-C05-i01.01.</w:t>
            </w:r>
          </w:p>
        </w:tc>
      </w:tr>
      <w:tr w:rsidR="00F24946" w14:paraId="79996882" w14:textId="77777777">
        <w:trPr>
          <w:trHeight w:val="67"/>
        </w:trPr>
        <w:tc>
          <w:tcPr>
            <w:tcW w:w="1134" w:type="dxa"/>
            <w:shd w:val="clear" w:color="auto" w:fill="C4EFCE"/>
            <w:vAlign w:val="center"/>
          </w:tcPr>
          <w:p w14:paraId="1F809E62" w14:textId="68C8C255" w:rsidR="00F24946" w:rsidRDefault="00613B06">
            <w:pPr>
              <w:pStyle w:val="P68B1DB1-Normal11"/>
              <w:spacing w:after="0" w:line="240" w:lineRule="auto"/>
              <w:jc w:val="center"/>
              <w:rPr>
                <w:rFonts w:cstheme="minorHAnsi"/>
                <w:noProof/>
              </w:rPr>
            </w:pPr>
            <w:r>
              <w:rPr>
                <w:noProof/>
              </w:rPr>
              <w:t>5.40</w:t>
            </w:r>
          </w:p>
        </w:tc>
        <w:tc>
          <w:tcPr>
            <w:tcW w:w="1165" w:type="dxa"/>
            <w:shd w:val="clear" w:color="auto" w:fill="C4EFCE"/>
            <w:vAlign w:val="center"/>
          </w:tcPr>
          <w:p w14:paraId="2448D13F" w14:textId="7FECC704" w:rsidR="00F24946" w:rsidRDefault="00613B06">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89027D8" w14:textId="2A50F1CB"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6D5547A8" w14:textId="2F88C75C" w:rsidR="00F24946" w:rsidRDefault="00613B06">
            <w:pPr>
              <w:pStyle w:val="P68B1DB1-Normal12"/>
              <w:spacing w:after="0" w:line="240" w:lineRule="auto"/>
              <w:jc w:val="center"/>
              <w:rPr>
                <w:rFonts w:cstheme="minorHAnsi"/>
                <w:noProof/>
              </w:rPr>
            </w:pPr>
            <w:r>
              <w:rPr>
                <w:noProof/>
              </w:rPr>
              <w:t xml:space="preserve">Dokončanje 168 izdelkov, procesov ali storitev.  </w:t>
            </w:r>
          </w:p>
        </w:tc>
        <w:tc>
          <w:tcPr>
            <w:tcW w:w="2029" w:type="dxa"/>
            <w:shd w:val="clear" w:color="auto" w:fill="C4EFCE"/>
            <w:vAlign w:val="center"/>
          </w:tcPr>
          <w:p w14:paraId="7BAAEF17" w14:textId="54FC47FA" w:rsidR="00F24946" w:rsidRDefault="00613B06">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67A33752" w14:textId="6D621BE2"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7B8E2944" w14:textId="7F3E3842" w:rsidR="00F24946" w:rsidRDefault="00613B06">
            <w:pPr>
              <w:pStyle w:val="P68B1DB1-Normal12"/>
              <w:spacing w:after="0" w:line="240" w:lineRule="auto"/>
              <w:jc w:val="center"/>
              <w:rPr>
                <w:rFonts w:cstheme="minorHAnsi"/>
                <w:noProof/>
              </w:rPr>
            </w:pPr>
            <w:r>
              <w:rPr>
                <w:noProof/>
              </w:rPr>
              <w:t>60</w:t>
            </w:r>
          </w:p>
        </w:tc>
        <w:tc>
          <w:tcPr>
            <w:tcW w:w="626" w:type="dxa"/>
            <w:shd w:val="clear" w:color="auto" w:fill="C4EFCE"/>
            <w:vAlign w:val="center"/>
          </w:tcPr>
          <w:p w14:paraId="17D205CC" w14:textId="6F573DC8" w:rsidR="00F24946" w:rsidRDefault="00613B06">
            <w:pPr>
              <w:pStyle w:val="P68B1DB1-Normal12"/>
              <w:spacing w:after="0" w:line="240" w:lineRule="auto"/>
              <w:jc w:val="center"/>
              <w:rPr>
                <w:rFonts w:cstheme="minorHAnsi"/>
                <w:noProof/>
              </w:rPr>
            </w:pPr>
            <w:r>
              <w:rPr>
                <w:noProof/>
              </w:rPr>
              <w:t xml:space="preserve"> 228</w:t>
            </w:r>
          </w:p>
        </w:tc>
        <w:tc>
          <w:tcPr>
            <w:tcW w:w="514" w:type="dxa"/>
            <w:shd w:val="clear" w:color="auto" w:fill="C4EFCE"/>
            <w:vAlign w:val="center"/>
          </w:tcPr>
          <w:p w14:paraId="6F3532C1" w14:textId="289AE2F2" w:rsidR="00F24946" w:rsidRDefault="00613B06">
            <w:pPr>
              <w:pStyle w:val="P68B1DB1-Normal12"/>
              <w:spacing w:after="0" w:line="240" w:lineRule="auto"/>
              <w:jc w:val="center"/>
              <w:rPr>
                <w:rFonts w:cstheme="minorHAnsi"/>
                <w:noProof/>
              </w:rPr>
            </w:pPr>
            <w:r>
              <w:rPr>
                <w:noProof/>
              </w:rPr>
              <w:t>Q4</w:t>
            </w:r>
          </w:p>
        </w:tc>
        <w:tc>
          <w:tcPr>
            <w:tcW w:w="747" w:type="dxa"/>
            <w:shd w:val="clear" w:color="auto" w:fill="C4EFCE"/>
            <w:vAlign w:val="center"/>
          </w:tcPr>
          <w:p w14:paraId="66E91989" w14:textId="59013342" w:rsidR="00F24946" w:rsidRDefault="00613B06">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5634C65C" w14:textId="1CC82B3E" w:rsidR="00F24946" w:rsidRDefault="00613B06">
            <w:pPr>
              <w:pStyle w:val="P68B1DB1-Normal12"/>
              <w:spacing w:after="0" w:line="240" w:lineRule="auto"/>
              <w:jc w:val="both"/>
              <w:rPr>
                <w:rFonts w:cstheme="minorHAnsi"/>
                <w:noProof/>
              </w:rPr>
            </w:pPr>
            <w:r>
              <w:rPr>
                <w:noProof/>
              </w:rPr>
              <w:t xml:space="preserve">Dokončanje 168 izdelkov, postopkov ali storitev na ustreznih strateških področjih, ki izhajajo iz izvajanja pogodb (inovacijski pakti ali projekti mobilizacije), sklenjenih s konzorciji. </w:t>
            </w:r>
          </w:p>
          <w:p w14:paraId="17858DB0" w14:textId="3D72F028" w:rsidR="00F24946" w:rsidRDefault="00613B06">
            <w:pPr>
              <w:pStyle w:val="P68B1DB1-Normal12"/>
              <w:spacing w:after="0" w:line="240" w:lineRule="auto"/>
              <w:jc w:val="both"/>
              <w:rPr>
                <w:rFonts w:cstheme="minorHAnsi"/>
                <w:noProof/>
              </w:rPr>
            </w:pPr>
            <w:r>
              <w:rPr>
                <w:noProof/>
              </w:rPr>
              <w:t>SKM je dodatek k PPS, ki se izvaja v RE-C05-i01.01.</w:t>
            </w:r>
          </w:p>
        </w:tc>
      </w:tr>
      <w:tr w:rsidR="00F24946" w14:paraId="54F09D51" w14:textId="77777777">
        <w:trPr>
          <w:trHeight w:val="67"/>
        </w:trPr>
        <w:tc>
          <w:tcPr>
            <w:tcW w:w="1134" w:type="dxa"/>
            <w:shd w:val="clear" w:color="auto" w:fill="C4EFCE"/>
            <w:vAlign w:val="center"/>
          </w:tcPr>
          <w:p w14:paraId="4437149E" w14:textId="3BA835D1" w:rsidR="00F24946" w:rsidRDefault="00613B06">
            <w:pPr>
              <w:pStyle w:val="P68B1DB1-Normal11"/>
              <w:spacing w:after="0" w:line="240" w:lineRule="auto"/>
              <w:jc w:val="center"/>
              <w:rPr>
                <w:rFonts w:cstheme="minorHAnsi"/>
                <w:noProof/>
              </w:rPr>
            </w:pPr>
            <w:r>
              <w:rPr>
                <w:noProof/>
              </w:rPr>
              <w:t>5.41</w:t>
            </w:r>
          </w:p>
        </w:tc>
        <w:tc>
          <w:tcPr>
            <w:tcW w:w="1165" w:type="dxa"/>
            <w:shd w:val="clear" w:color="auto" w:fill="C4EFCE"/>
            <w:vAlign w:val="center"/>
          </w:tcPr>
          <w:p w14:paraId="101EC2D9" w14:textId="6518B9EE" w:rsidR="00F24946" w:rsidRDefault="00613B06">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0725C352" w14:textId="063CCE63"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EC2D503" w14:textId="59A7F5B4" w:rsidR="00F24946" w:rsidRDefault="00613B06">
            <w:pPr>
              <w:pStyle w:val="P68B1DB1-Normal12"/>
              <w:spacing w:after="0" w:line="240" w:lineRule="auto"/>
              <w:jc w:val="center"/>
              <w:rPr>
                <w:rFonts w:cstheme="minorHAnsi"/>
                <w:noProof/>
              </w:rPr>
            </w:pPr>
            <w:r>
              <w:rPr>
                <w:noProof/>
              </w:rPr>
              <w:t>Sklepanje pogodb za razvoj novih proizvodov, procesov ali storitev na strateških področjih, pomembnih za nizkoogljično gospodarstvo, odpornost in prilagajanje podnebnim spremembam.</w:t>
            </w:r>
          </w:p>
        </w:tc>
        <w:tc>
          <w:tcPr>
            <w:tcW w:w="2029" w:type="dxa"/>
            <w:shd w:val="clear" w:color="auto" w:fill="C4EFCE"/>
            <w:vAlign w:val="center"/>
          </w:tcPr>
          <w:p w14:paraId="2372C515" w14:textId="07E910F9" w:rsidR="00F24946" w:rsidRDefault="00613B06">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04FF8D2D" w14:textId="133CE3BF"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5AD7A2F4" w14:textId="21F9CE36" w:rsidR="00F24946" w:rsidRDefault="00613B06">
            <w:pPr>
              <w:pStyle w:val="P68B1DB1-Normal12"/>
              <w:spacing w:after="0" w:line="240" w:lineRule="auto"/>
              <w:jc w:val="center"/>
              <w:rPr>
                <w:rFonts w:cstheme="minorHAnsi"/>
                <w:noProof/>
              </w:rPr>
            </w:pPr>
            <w:r>
              <w:rPr>
                <w:noProof/>
              </w:rPr>
              <w:t>4</w:t>
            </w:r>
          </w:p>
        </w:tc>
        <w:tc>
          <w:tcPr>
            <w:tcW w:w="626" w:type="dxa"/>
            <w:shd w:val="clear" w:color="auto" w:fill="C4EFCE"/>
            <w:vAlign w:val="center"/>
          </w:tcPr>
          <w:p w14:paraId="1D935FE8" w14:textId="05F0796F" w:rsidR="00F24946" w:rsidRDefault="00613B06">
            <w:pPr>
              <w:pStyle w:val="P68B1DB1-Normal12"/>
              <w:spacing w:after="0" w:line="240" w:lineRule="auto"/>
              <w:jc w:val="center"/>
              <w:rPr>
                <w:rFonts w:cstheme="minorHAnsi"/>
                <w:noProof/>
              </w:rPr>
            </w:pPr>
            <w:r>
              <w:rPr>
                <w:noProof/>
              </w:rPr>
              <w:t>10</w:t>
            </w:r>
          </w:p>
        </w:tc>
        <w:tc>
          <w:tcPr>
            <w:tcW w:w="514" w:type="dxa"/>
            <w:shd w:val="clear" w:color="auto" w:fill="C4EFCE"/>
            <w:vAlign w:val="center"/>
          </w:tcPr>
          <w:p w14:paraId="39D30506" w14:textId="0975D809" w:rsidR="00F24946" w:rsidRDefault="00613B06">
            <w:pPr>
              <w:pStyle w:val="P68B1DB1-Normal12"/>
              <w:spacing w:after="0" w:line="240" w:lineRule="auto"/>
              <w:jc w:val="center"/>
              <w:rPr>
                <w:noProof/>
              </w:rPr>
            </w:pPr>
            <w:r>
              <w:rPr>
                <w:noProof/>
              </w:rPr>
              <w:t>Q2</w:t>
            </w:r>
          </w:p>
        </w:tc>
        <w:tc>
          <w:tcPr>
            <w:tcW w:w="747" w:type="dxa"/>
            <w:shd w:val="clear" w:color="auto" w:fill="C4EFCE"/>
            <w:vAlign w:val="center"/>
          </w:tcPr>
          <w:p w14:paraId="6F74846E" w14:textId="4FBFD7C9" w:rsidR="00F24946" w:rsidRDefault="00613B06">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0DC61D27" w14:textId="2F8F2DAB" w:rsidR="00F24946" w:rsidRDefault="00613B06">
            <w:pPr>
              <w:pStyle w:val="P68B1DB1-Bodytext1013"/>
              <w:spacing w:after="0" w:line="256" w:lineRule="auto"/>
              <w:rPr>
                <w:rFonts w:eastAsiaTheme="minorEastAsia" w:cstheme="minorBidi"/>
                <w:noProof/>
              </w:rPr>
            </w:pPr>
            <w:r>
              <w:rPr>
                <w:noProof/>
              </w:rPr>
              <w:t xml:space="preserve"> Sklenitev šestih dodatnih pogodb (inovacijski pakti ali mobilizacija projektov) s konzorciji, ki vključujejo:</w:t>
            </w:r>
          </w:p>
          <w:p w14:paraId="04592090" w14:textId="77777777" w:rsidR="00F24946" w:rsidRDefault="00613B06">
            <w:pPr>
              <w:pStyle w:val="P68B1DB1-Bodytext1013"/>
              <w:spacing w:after="0" w:line="256" w:lineRule="auto"/>
              <w:rPr>
                <w:rFonts w:cstheme="minorHAnsi"/>
                <w:noProof/>
              </w:rPr>
            </w:pPr>
            <w:r>
              <w:rPr>
                <w:noProof/>
              </w:rPr>
              <w:t>• Opredelitev subjektov v sestavi konzorcija;</w:t>
            </w:r>
          </w:p>
          <w:p w14:paraId="6A42DB0C" w14:textId="77777777" w:rsidR="00F24946" w:rsidRDefault="00613B06">
            <w:pPr>
              <w:pStyle w:val="P68B1DB1-Bodytext1013"/>
              <w:spacing w:after="0" w:line="256" w:lineRule="auto"/>
              <w:rPr>
                <w:rFonts w:cstheme="minorHAnsi"/>
                <w:noProof/>
              </w:rPr>
            </w:pPr>
            <w:r>
              <w:rPr>
                <w:noProof/>
              </w:rPr>
              <w:t>• Poslovni načrt/naložba;</w:t>
            </w:r>
          </w:p>
          <w:p w14:paraId="21DA580B" w14:textId="77777777" w:rsidR="00F24946" w:rsidRDefault="00613B06">
            <w:pPr>
              <w:pStyle w:val="P68B1DB1-Bodytext1013"/>
              <w:spacing w:after="0" w:line="256" w:lineRule="auto"/>
              <w:rPr>
                <w:rFonts w:cstheme="minorHAnsi"/>
                <w:noProof/>
              </w:rPr>
            </w:pPr>
            <w:r>
              <w:rPr>
                <w:noProof/>
              </w:rPr>
              <w:t>• Znesek financiranja;</w:t>
            </w:r>
          </w:p>
          <w:p w14:paraId="50705B10" w14:textId="77777777" w:rsidR="00F24946" w:rsidRDefault="00613B06">
            <w:pPr>
              <w:pStyle w:val="P68B1DB1-Bodytext1013"/>
              <w:spacing w:after="0" w:line="256" w:lineRule="auto"/>
              <w:rPr>
                <w:rFonts w:cstheme="minorHAnsi"/>
                <w:noProof/>
              </w:rPr>
            </w:pPr>
            <w:r>
              <w:rPr>
                <w:noProof/>
              </w:rPr>
              <w:t>• Cilje, h katerim je upravičenec zavezan;</w:t>
            </w:r>
          </w:p>
          <w:p w14:paraId="01625014" w14:textId="77777777" w:rsidR="00F24946" w:rsidRDefault="00613B06">
            <w:pPr>
              <w:pStyle w:val="P68B1DB1-Bodytext1013"/>
              <w:spacing w:after="0" w:line="256" w:lineRule="auto"/>
              <w:rPr>
                <w:rFonts w:cstheme="minorHAnsi"/>
                <w:noProof/>
              </w:rPr>
            </w:pPr>
            <w:r>
              <w:rPr>
                <w:noProof/>
              </w:rPr>
              <w:t xml:space="preserve">• Oblika spremljanja. </w:t>
            </w:r>
          </w:p>
          <w:p w14:paraId="4B9F41BD" w14:textId="09DF7CAF" w:rsidR="00F24946" w:rsidRDefault="00F24946">
            <w:pPr>
              <w:pStyle w:val="Bodytext10"/>
              <w:spacing w:after="0" w:line="256" w:lineRule="auto"/>
              <w:rPr>
                <w:rFonts w:asciiTheme="minorHAnsi" w:hAnsiTheme="minorHAnsi" w:cstheme="minorBidi"/>
                <w:noProof/>
                <w:sz w:val="16"/>
              </w:rPr>
            </w:pPr>
          </w:p>
          <w:p w14:paraId="20E874EC" w14:textId="6019E06D" w:rsidR="00F24946" w:rsidRDefault="00613B06">
            <w:pPr>
              <w:pStyle w:val="P68B1DB1-Bodytext1013"/>
              <w:spacing w:after="0" w:line="256" w:lineRule="auto"/>
              <w:rPr>
                <w:rFonts w:cstheme="minorHAnsi"/>
                <w:noProof/>
              </w:rPr>
            </w:pPr>
            <w:r>
              <w:rPr>
                <w:noProof/>
              </w:rPr>
              <w:t>Pogodbe podpirajo skupno najmanj 98 proizvodov, postopkov ali storitev in so usklajene s področjem posredovanja 022 (procesi raziskav in inovacij, prenos tehnologije in sodelovanje med podjetji s poudarkom na nizkoogljičnem gospodarstvu ter odpornosti in prilagajanju podnebnim spremembam). Mandat vključuje merila za upravičenost, ki zagotavljajo, da so izbrani projekti skladni s tehničnimi smernicami za uporabo načela, da se ne škoduje bistveno (2021/C58/01), in sicer z uporabo seznama za izključitev in zahtevo po skladnosti z ustrezno okoljsko zakonodajo EU in nacionalno okoljsko zakonodajo.</w:t>
            </w:r>
          </w:p>
          <w:p w14:paraId="64095437" w14:textId="10DA3C38" w:rsidR="00F24946" w:rsidRDefault="00613B06">
            <w:pPr>
              <w:pStyle w:val="P68B1DB1-Normal12"/>
              <w:spacing w:after="0" w:line="240" w:lineRule="auto"/>
              <w:jc w:val="both"/>
              <w:rPr>
                <w:rFonts w:cstheme="minorHAnsi"/>
                <w:noProof/>
              </w:rPr>
            </w:pPr>
            <w:r>
              <w:rPr>
                <w:noProof/>
              </w:rPr>
              <w:t>Pogodbe dopolnjujejo pogodbe, ki se izvajajo v RE-C05-i01.02.</w:t>
            </w:r>
          </w:p>
        </w:tc>
      </w:tr>
      <w:tr w:rsidR="00F24946" w14:paraId="2CFB1DE4" w14:textId="77777777">
        <w:trPr>
          <w:trHeight w:val="67"/>
        </w:trPr>
        <w:tc>
          <w:tcPr>
            <w:tcW w:w="1134" w:type="dxa"/>
            <w:shd w:val="clear" w:color="auto" w:fill="C4EFCE"/>
            <w:vAlign w:val="center"/>
          </w:tcPr>
          <w:p w14:paraId="0F626A07" w14:textId="1AAA4C66" w:rsidR="00F24946" w:rsidRDefault="00613B06">
            <w:pPr>
              <w:pStyle w:val="P68B1DB1-Normal11"/>
              <w:spacing w:after="0" w:line="240" w:lineRule="auto"/>
              <w:jc w:val="center"/>
              <w:rPr>
                <w:rFonts w:cstheme="minorHAnsi"/>
                <w:noProof/>
              </w:rPr>
            </w:pPr>
            <w:r>
              <w:rPr>
                <w:noProof/>
              </w:rPr>
              <w:t>5.42</w:t>
            </w:r>
          </w:p>
        </w:tc>
        <w:tc>
          <w:tcPr>
            <w:tcW w:w="1165" w:type="dxa"/>
            <w:shd w:val="clear" w:color="auto" w:fill="C4EFCE"/>
            <w:vAlign w:val="center"/>
          </w:tcPr>
          <w:p w14:paraId="4D8A4205" w14:textId="197B1A16" w:rsidR="00F24946" w:rsidRDefault="00613B06">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4C138B7D" w14:textId="446CCEF5" w:rsidR="00F24946" w:rsidRDefault="00613B06">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24DB13CD" w14:textId="5E486B06" w:rsidR="00F24946" w:rsidRDefault="00613B06">
            <w:pPr>
              <w:pStyle w:val="P68B1DB1-Normal12"/>
              <w:spacing w:after="0" w:line="240" w:lineRule="auto"/>
              <w:jc w:val="center"/>
              <w:rPr>
                <w:rFonts w:cstheme="minorHAnsi"/>
                <w:noProof/>
              </w:rPr>
            </w:pPr>
            <w:r>
              <w:rPr>
                <w:noProof/>
              </w:rPr>
              <w:t>Dokončanje proizvodov, procesov ali storitev, pomembnih za nizkoogljično gospodarstvo, odpornost in prilagajanje podnebnim spremembam.</w:t>
            </w:r>
          </w:p>
        </w:tc>
        <w:tc>
          <w:tcPr>
            <w:tcW w:w="2029" w:type="dxa"/>
            <w:shd w:val="clear" w:color="auto" w:fill="C4EFCE"/>
            <w:vAlign w:val="center"/>
          </w:tcPr>
          <w:p w14:paraId="03936DB4" w14:textId="5D309DC9" w:rsidR="00F24946" w:rsidRDefault="00613B06">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49E437C8" w14:textId="2D221C76" w:rsidR="00F24946" w:rsidRDefault="00613B06">
            <w:pPr>
              <w:pStyle w:val="P68B1DB1-Normal12"/>
              <w:spacing w:after="0" w:line="240" w:lineRule="auto"/>
              <w:jc w:val="center"/>
              <w:rPr>
                <w:rFonts w:cstheme="minorHAnsi"/>
                <w:noProof/>
              </w:rPr>
            </w:pPr>
            <w:r>
              <w:rPr>
                <w:noProof/>
              </w:rPr>
              <w:t>Število</w:t>
            </w:r>
          </w:p>
        </w:tc>
        <w:tc>
          <w:tcPr>
            <w:tcW w:w="982" w:type="dxa"/>
            <w:shd w:val="clear" w:color="auto" w:fill="C4EFCE"/>
            <w:vAlign w:val="center"/>
          </w:tcPr>
          <w:p w14:paraId="533CBFA2" w14:textId="10AA98B0" w:rsidR="00F24946" w:rsidRDefault="00613B06">
            <w:pPr>
              <w:pStyle w:val="P68B1DB1-Normal12"/>
              <w:spacing w:after="0" w:line="240" w:lineRule="auto"/>
              <w:jc w:val="center"/>
              <w:rPr>
                <w:rFonts w:cstheme="minorHAnsi"/>
                <w:noProof/>
              </w:rPr>
            </w:pPr>
            <w:r>
              <w:rPr>
                <w:noProof/>
              </w:rPr>
              <w:t>40</w:t>
            </w:r>
          </w:p>
        </w:tc>
        <w:tc>
          <w:tcPr>
            <w:tcW w:w="626" w:type="dxa"/>
            <w:shd w:val="clear" w:color="auto" w:fill="C4EFCE"/>
            <w:vAlign w:val="center"/>
          </w:tcPr>
          <w:p w14:paraId="5C908ABC" w14:textId="0CD01BA3" w:rsidR="00F24946" w:rsidRDefault="00613B06">
            <w:pPr>
              <w:pStyle w:val="P68B1DB1-Normal12"/>
              <w:spacing w:after="0" w:line="240" w:lineRule="auto"/>
              <w:jc w:val="center"/>
              <w:rPr>
                <w:rFonts w:cstheme="minorHAnsi"/>
                <w:noProof/>
              </w:rPr>
            </w:pPr>
            <w:r>
              <w:rPr>
                <w:noProof/>
              </w:rPr>
              <w:t>138</w:t>
            </w:r>
          </w:p>
        </w:tc>
        <w:tc>
          <w:tcPr>
            <w:tcW w:w="514" w:type="dxa"/>
            <w:shd w:val="clear" w:color="auto" w:fill="C4EFCE"/>
            <w:vAlign w:val="center"/>
          </w:tcPr>
          <w:p w14:paraId="302722D1" w14:textId="34725CE1" w:rsidR="00F24946" w:rsidRDefault="00613B06">
            <w:pPr>
              <w:pStyle w:val="P68B1DB1-Normal12"/>
              <w:spacing w:after="0" w:line="240" w:lineRule="auto"/>
              <w:jc w:val="center"/>
              <w:rPr>
                <w:rFonts w:cstheme="minorHAnsi"/>
                <w:noProof/>
              </w:rPr>
            </w:pPr>
            <w:r>
              <w:rPr>
                <w:noProof/>
              </w:rPr>
              <w:t>Q4</w:t>
            </w:r>
          </w:p>
        </w:tc>
        <w:tc>
          <w:tcPr>
            <w:tcW w:w="747" w:type="dxa"/>
            <w:shd w:val="clear" w:color="auto" w:fill="C4EFCE"/>
            <w:vAlign w:val="center"/>
          </w:tcPr>
          <w:p w14:paraId="686F8191" w14:textId="1900D775" w:rsidR="00F24946" w:rsidRDefault="00613B06">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3637E13E" w14:textId="77777777" w:rsidR="00F24946" w:rsidRDefault="00613B06">
            <w:pPr>
              <w:pStyle w:val="P68B1DB1-Normal12"/>
              <w:spacing w:after="0" w:line="240" w:lineRule="auto"/>
              <w:jc w:val="both"/>
              <w:rPr>
                <w:rFonts w:cstheme="minorHAnsi"/>
                <w:noProof/>
              </w:rPr>
            </w:pPr>
            <w:r>
              <w:rPr>
                <w:noProof/>
              </w:rPr>
              <w:t>Dokončanje 98 proizvodov, procesov ali storitev, ki izhajajo iz izvajanja pogodb (inovacijski pakti ali mobilizacija projektov), sklenjenih s konzorciji, ki se uskladijo s področjem posredovanja 022 (procesi raziskav in inovacij, prenos tehnologije in sodelovanje med podjetji s poudarkom na nizkoogljičnem gospodarstvu ter odpornosti in prilagajanju podnebnim spremembam).</w:t>
            </w:r>
          </w:p>
          <w:p w14:paraId="18CA891F" w14:textId="60AEF0E8" w:rsidR="00F24946" w:rsidRDefault="00613B06">
            <w:pPr>
              <w:pStyle w:val="P68B1DB1-Normal12"/>
              <w:spacing w:after="0" w:line="240" w:lineRule="auto"/>
              <w:jc w:val="both"/>
              <w:rPr>
                <w:rFonts w:cstheme="minorHAnsi"/>
                <w:noProof/>
              </w:rPr>
            </w:pPr>
            <w:r>
              <w:rPr>
                <w:noProof/>
              </w:rPr>
              <w:t>SKM je dodatek k PPS, ki se izvaja v RE-C05-i01.02.</w:t>
            </w:r>
          </w:p>
        </w:tc>
      </w:tr>
    </w:tbl>
    <w:p w14:paraId="1934ED30" w14:textId="77777777" w:rsidR="00F24946" w:rsidRDefault="00F24946">
      <w:pPr>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02"/>
          <w:headerReference w:type="default" r:id="rId103"/>
          <w:footerReference w:type="even" r:id="rId104"/>
          <w:footerReference w:type="default" r:id="rId105"/>
          <w:headerReference w:type="first" r:id="rId106"/>
          <w:footerReference w:type="first" r:id="rId107"/>
          <w:pgSz w:w="16839" w:h="11907" w:orient="landscape"/>
          <w:pgMar w:top="1134" w:right="1134" w:bottom="1134" w:left="1134" w:header="567" w:footer="567" w:gutter="0"/>
          <w:cols w:space="720"/>
          <w:docGrid w:linePitch="360"/>
        </w:sectPr>
      </w:pPr>
    </w:p>
    <w:p w14:paraId="1E7C10B9" w14:textId="20E4EE7B"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 xml:space="preserve">E.3. Opis reform in naložb za posojilo </w:t>
      </w:r>
    </w:p>
    <w:p w14:paraId="189A4B39"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Reforma RE-r10: Ustanovitev in razvoj Banco Português de Fomento.</w:t>
      </w:r>
    </w:p>
    <w:p w14:paraId="72447E27" w14:textId="77777777" w:rsidR="00F24946" w:rsidRDefault="00613B06">
      <w:pPr>
        <w:pStyle w:val="P68B1DB1-Normal4"/>
        <w:spacing w:before="40" w:after="0" w:line="259" w:lineRule="auto"/>
        <w:jc w:val="both"/>
        <w:rPr>
          <w:rFonts w:eastAsiaTheme="minorEastAsia" w:cs="Times New Roman"/>
          <w:noProof/>
        </w:rPr>
      </w:pPr>
      <w:r>
        <w:rPr>
          <w:noProof/>
        </w:rPr>
        <w:t xml:space="preserve">Cilj ukrepa je olajšati dostop portugalskih podjetij do financiranja z zmanjšanjem zapletenosti javno podprtih produktov financiranja podjetij in omogočanjem projektov nacionalnega strateškega interesa. V ta namen je bila banka </w:t>
      </w:r>
      <w:r>
        <w:rPr>
          <w:i/>
          <w:noProof/>
        </w:rPr>
        <w:t>Banco Português de Fomento</w:t>
      </w:r>
      <w:r>
        <w:rPr>
          <w:noProof/>
        </w:rPr>
        <w:t xml:space="preserve"> ustanovljena 7. septembra 2020 in je začela delovati novembra 2020 kot nacionalna promocijska banka v državni lasti. Banka je poleg svojega osrednjega in trajnega poslanstva ključni subjekt v procesu ponovne gospodarske dejavnosti po pandemiji COVID-19, zlasti tako, da portugalskim podjetjem omogoča, da izkoristijo nacionalne in evropske strateške ukrepe za okrevanje. </w:t>
      </w:r>
    </w:p>
    <w:p w14:paraId="48A8A411" w14:textId="77777777" w:rsidR="00F24946" w:rsidRDefault="00613B06">
      <w:pPr>
        <w:pStyle w:val="P68B1DB1-Normal4"/>
        <w:spacing w:before="40" w:after="0" w:line="259" w:lineRule="auto"/>
        <w:jc w:val="both"/>
        <w:rPr>
          <w:rFonts w:eastAsiaTheme="minorEastAsia" w:cs="Times New Roman"/>
          <w:noProof/>
        </w:rPr>
      </w:pPr>
      <w:r>
        <w:rPr>
          <w:noProof/>
        </w:rPr>
        <w:t xml:space="preserve">Reforma vključuje pravno ustanovitev </w:t>
      </w:r>
      <w:r>
        <w:rPr>
          <w:i/>
          <w:noProof/>
        </w:rPr>
        <w:t>Banco Português de Fomento</w:t>
      </w:r>
      <w:r>
        <w:rPr>
          <w:noProof/>
        </w:rPr>
        <w:t xml:space="preserve">. </w:t>
      </w:r>
    </w:p>
    <w:p w14:paraId="08AAEA6F" w14:textId="77777777" w:rsidR="00F24946" w:rsidRDefault="00613B06">
      <w:pPr>
        <w:pStyle w:val="P68B1DB1-Normal4"/>
        <w:spacing w:before="40" w:after="0" w:line="259" w:lineRule="auto"/>
        <w:jc w:val="both"/>
        <w:rPr>
          <w:rFonts w:eastAsiaTheme="minorEastAsia" w:cs="Times New Roman"/>
          <w:noProof/>
        </w:rPr>
      </w:pPr>
      <w:r>
        <w:rPr>
          <w:noProof/>
        </w:rPr>
        <w:t>Reforma se je začela izvajati do 31. decembra 2020.</w:t>
      </w:r>
    </w:p>
    <w:p w14:paraId="1FF05807"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 xml:space="preserve">Reforma RE-r13: Razvoj kapitalskega trga in spodbujanje kapitalizacije nefinančnih družb </w:t>
      </w:r>
    </w:p>
    <w:p w14:paraId="626DC4C1" w14:textId="77777777" w:rsidR="00F24946" w:rsidRDefault="00613B06">
      <w:pPr>
        <w:pStyle w:val="P68B1DB1-Normal4"/>
        <w:spacing w:before="40" w:after="0" w:line="259" w:lineRule="auto"/>
        <w:jc w:val="both"/>
        <w:rPr>
          <w:rFonts w:eastAsiaTheme="minorEastAsia" w:cs="Times New Roman"/>
          <w:noProof/>
        </w:rPr>
      </w:pPr>
      <w:r>
        <w:rPr>
          <w:noProof/>
        </w:rPr>
        <w:t xml:space="preserve">Cilja ukrepa sta okrepitev portugalskega kapitalskega trga in spodbujanje kapitalizacije podjetij, s posebnim poudarkom na družbah za naložbe v vrednostne papirje za razvoj gospodarstva (SIMFE), kolektivnih naložbenih podjemih in reviziji zakonika o vrednostnih papirjih. </w:t>
      </w:r>
    </w:p>
    <w:p w14:paraId="28221381" w14:textId="77777777" w:rsidR="00F24946" w:rsidRDefault="00613B06">
      <w:pPr>
        <w:pStyle w:val="P68B1DB1-Normal4"/>
        <w:spacing w:before="40" w:after="0" w:line="259" w:lineRule="auto"/>
        <w:jc w:val="both"/>
        <w:rPr>
          <w:rFonts w:eastAsiaTheme="minorEastAsia" w:cs="Times New Roman"/>
          <w:noProof/>
        </w:rPr>
      </w:pPr>
      <w:r>
        <w:rPr>
          <w:noProof/>
        </w:rPr>
        <w:t xml:space="preserve">Ta reforma vključuje revizijo obstoječega pravnega okvira in sprejetje novih zakonov, ki bodo del vladnega pristopa, da bi ustvarili ugodnejše poslovno okolje in zagotovili resnične spodbude za naložbe, poslovno kapitalizacijo in sektorsko konsolidacijo. Izvajanje te reforme sestavljajo naslednji ukrepi: </w:t>
      </w:r>
    </w:p>
    <w:p w14:paraId="3E530B36" w14:textId="77777777" w:rsidR="00F24946" w:rsidRDefault="00613B06">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razvoj kapitalskih trgov; </w:t>
      </w:r>
    </w:p>
    <w:p w14:paraId="12E1FE2C" w14:textId="77777777" w:rsidR="00F24946" w:rsidRDefault="00613B06">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spodbujanje družb za naložbe v vrednostne papirje za razvoj gospodarstva (SIMFE); </w:t>
      </w:r>
    </w:p>
    <w:p w14:paraId="02E09283" w14:textId="77777777" w:rsidR="00F24946" w:rsidRDefault="00613B06">
      <w:pPr>
        <w:pStyle w:val="P68B1DB1-Normal4"/>
        <w:keepNext/>
        <w:numPr>
          <w:ilvl w:val="0"/>
          <w:numId w:val="41"/>
        </w:numPr>
        <w:spacing w:before="40" w:after="160" w:line="259" w:lineRule="auto"/>
        <w:contextualSpacing/>
        <w:jc w:val="both"/>
        <w:rPr>
          <w:rFonts w:eastAsiaTheme="minorEastAsia" w:cs="Times New Roman"/>
          <w:noProof/>
        </w:rPr>
      </w:pPr>
      <w:r>
        <w:rPr>
          <w:noProof/>
        </w:rPr>
        <w:t>poenostavitev predpisov in upravnih postopkov;</w:t>
      </w:r>
    </w:p>
    <w:p w14:paraId="7C616BBA" w14:textId="77777777" w:rsidR="00F24946" w:rsidRDefault="00613B06">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pregled pravnega okvira za kolektivne naložbene podjeme; in </w:t>
      </w:r>
    </w:p>
    <w:p w14:paraId="406EAAFF" w14:textId="77777777" w:rsidR="00F24946" w:rsidRDefault="00613B06">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spodbude za kapitalizacijo (odbitek za zadržane in reinvestirane dobičke). </w:t>
      </w:r>
    </w:p>
    <w:p w14:paraId="70A2BCBE" w14:textId="77777777" w:rsidR="00F24946" w:rsidRDefault="00613B06">
      <w:pPr>
        <w:pStyle w:val="P68B1DB1-Normal4"/>
        <w:spacing w:before="40" w:after="0" w:line="259" w:lineRule="auto"/>
        <w:jc w:val="both"/>
        <w:rPr>
          <w:rFonts w:eastAsiaTheme="minorEastAsia"/>
          <w:noProof/>
        </w:rPr>
      </w:pPr>
      <w:r>
        <w:rPr>
          <w:noProof/>
        </w:rPr>
        <w:t xml:space="preserve">Reforma se zaključi do 31. decembra 2023. </w:t>
      </w:r>
    </w:p>
    <w:p w14:paraId="2E2FC980"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 xml:space="preserve">Naložba RE-C05-i06: Kapitalizacija podjetij in finančna odpornost/Banco Português de Fomento </w:t>
      </w:r>
    </w:p>
    <w:p w14:paraId="7A51EC5E" w14:textId="23C16BB1" w:rsidR="00F24946" w:rsidRDefault="00613B06">
      <w:pPr>
        <w:pStyle w:val="P68B1DB1-Normal4"/>
        <w:spacing w:before="40" w:after="0" w:line="259" w:lineRule="auto"/>
        <w:jc w:val="both"/>
        <w:rPr>
          <w:rFonts w:eastAsiaTheme="minorEastAsia" w:cs="Times New Roman"/>
          <w:noProof/>
        </w:rPr>
      </w:pPr>
      <w:r>
        <w:rPr>
          <w:noProof/>
        </w:rPr>
        <w:t xml:space="preserve">Cilj ukrepa je obravnavati strukturni problem podkapitalizacije podjetij. Z naložbo se banki </w:t>
      </w:r>
      <w:r>
        <w:rPr>
          <w:i/>
          <w:noProof/>
        </w:rPr>
        <w:t>Banco Português de Fomento</w:t>
      </w:r>
      <w:r>
        <w:rPr>
          <w:noProof/>
        </w:rPr>
        <w:t xml:space="preserve">, katere cilj je postati izvajalski partner InvestEU, zagotovi kapitalski blažilnik v višini 250 000 000 EUR. Poleg tega se ustanovi subjekt s posebnim namenom, ki nato vloži 1 300 000 000 EUR v portugalska podjetja, ki so sposobna preživeti, v obliki lastniškega kapitala in navideznega lastniškega kapitala. </w:t>
      </w:r>
    </w:p>
    <w:p w14:paraId="33E5CD2F" w14:textId="77777777" w:rsidR="00F24946" w:rsidRDefault="00613B06">
      <w:pPr>
        <w:pStyle w:val="P68B1DB1-Normal4"/>
        <w:spacing w:before="40" w:after="0" w:line="259" w:lineRule="auto"/>
        <w:jc w:val="both"/>
        <w:rPr>
          <w:rFonts w:eastAsiaTheme="minorEastAsia" w:cs="Times New Roman"/>
          <w:noProof/>
        </w:rPr>
      </w:pPr>
      <w:r>
        <w:rPr>
          <w:noProof/>
        </w:rPr>
        <w:t xml:space="preserve">Portugalska se je zavezala, da bodo v dokumentu o naložbeni politiki v zvezi z instrumentom v višini 1 300 000 000 EUR, ki ga sprejme Banco Português de </w:t>
      </w:r>
      <w:r>
        <w:rPr>
          <w:i/>
          <w:noProof/>
        </w:rPr>
        <w:t>Fomento kot upravni</w:t>
      </w:r>
      <w:r>
        <w:rPr>
          <w:noProof/>
        </w:rPr>
        <w:t xml:space="preserve"> organ namenske družbe, podrobno opredeljena merila za izbor/upravičenost podprtih podjetij, pri čemer se zagotovi spoštovanje podnebnih in okoljskih zahtev mehanizma za okrevanje in odpornost, vključno s skladnostjo s tehničnimi smernicami za nebistveno škodovanje (2021/C58/01) o podprtih sredstvih/dejavnostih in/ali podjetjih ter opredelitvijo naložbenih ciljev in ciljnih donosov. Za skladnost podprtih podjetij s tehničnimi smernicami za načelo, da se ne škoduje bistveno (2021/C58/01), se v naložbeni politiki zahteva: </w:t>
      </w:r>
    </w:p>
    <w:p w14:paraId="11FD4172" w14:textId="77777777" w:rsidR="00F24946" w:rsidRDefault="00613B06">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uporabo preverjanja trajnostnosti, </w:t>
      </w:r>
    </w:p>
    <w:p w14:paraId="3BC45CD3" w14:textId="77777777" w:rsidR="00F24946" w:rsidRDefault="00613B06">
      <w:pPr>
        <w:pStyle w:val="P68B1DB1-Normal4"/>
        <w:keepNext/>
        <w:numPr>
          <w:ilvl w:val="0"/>
          <w:numId w:val="58"/>
        </w:numPr>
        <w:spacing w:before="40" w:after="160" w:line="259" w:lineRule="auto"/>
        <w:contextualSpacing/>
        <w:jc w:val="both"/>
        <w:rPr>
          <w:rFonts w:eastAsiaTheme="minorEastAsia" w:cs="Times New Roman"/>
          <w:noProof/>
        </w:rPr>
      </w:pPr>
      <w:r>
        <w:rPr>
          <w:noProof/>
        </w:rPr>
        <w:t>seznam izključitev, ki vsebuje naslednje elemente:</w:t>
      </w:r>
    </w:p>
    <w:p w14:paraId="7729DD25" w14:textId="77777777" w:rsidR="00F24946" w:rsidRDefault="00613B06">
      <w:pPr>
        <w:pStyle w:val="P68B1DB1-Normal4"/>
        <w:keepNext/>
        <w:numPr>
          <w:ilvl w:val="0"/>
          <w:numId w:val="65"/>
        </w:numPr>
        <w:spacing w:before="40" w:after="160" w:line="259" w:lineRule="auto"/>
        <w:contextualSpacing/>
        <w:jc w:val="both"/>
        <w:rPr>
          <w:rFonts w:eastAsiaTheme="minorEastAsia" w:cs="Times New Roman"/>
          <w:noProof/>
        </w:rPr>
      </w:pPr>
      <w:r>
        <w:rPr>
          <w:noProof/>
        </w:rPr>
        <w:t>Dejavnosti, povezane s fosilnimi gorivi, vključno z nadaljnjo uporabo</w:t>
      </w:r>
      <w:r>
        <w:rPr>
          <w:noProof/>
        </w:rPr>
        <w:footnoteReference w:id="35"/>
      </w:r>
      <w:r>
        <w:rPr>
          <w:noProof/>
        </w:rPr>
        <w:t xml:space="preserve">; </w:t>
      </w:r>
    </w:p>
    <w:p w14:paraId="0C777086" w14:textId="77777777" w:rsidR="00F24946" w:rsidRDefault="00613B06">
      <w:pPr>
        <w:pStyle w:val="P68B1DB1-Normal4"/>
        <w:keepNext/>
        <w:numPr>
          <w:ilvl w:val="0"/>
          <w:numId w:val="65"/>
        </w:numPr>
        <w:spacing w:before="40" w:after="160" w:line="259" w:lineRule="auto"/>
        <w:contextualSpacing/>
        <w:jc w:val="both"/>
        <w:rPr>
          <w:rFonts w:eastAsiaTheme="minorEastAsia" w:cs="Times New Roman"/>
          <w:noProof/>
        </w:rPr>
      </w:pPr>
      <w:r>
        <w:rPr>
          <w:noProof/>
        </w:rPr>
        <w:t>Dejavnosti v okviru sistema EU za trgovanje z emisijami (ETS), s katerimi se dosegajo predvidene emisije toplogrednih plinov, ki niso nižje od ustreznih referenčnih vrednosti</w:t>
      </w:r>
      <w:r>
        <w:rPr>
          <w:noProof/>
        </w:rPr>
        <w:footnoteReference w:id="36"/>
      </w:r>
      <w:r>
        <w:rPr>
          <w:noProof/>
        </w:rPr>
        <w:t xml:space="preserve">; </w:t>
      </w:r>
    </w:p>
    <w:p w14:paraId="59A41967" w14:textId="77777777" w:rsidR="00F24946" w:rsidRDefault="00613B06">
      <w:pPr>
        <w:pStyle w:val="P68B1DB1-Normal4"/>
        <w:keepNext/>
        <w:numPr>
          <w:ilvl w:val="0"/>
          <w:numId w:val="65"/>
        </w:numPr>
        <w:spacing w:before="40" w:after="160" w:line="259" w:lineRule="auto"/>
        <w:contextualSpacing/>
        <w:jc w:val="both"/>
        <w:rPr>
          <w:rFonts w:eastAsiaTheme="minorEastAsia" w:cs="Times New Roman"/>
          <w:noProof/>
        </w:rPr>
      </w:pPr>
      <w:r>
        <w:rPr>
          <w:noProof/>
        </w:rPr>
        <w:t>Dejavnosti, povezane z odlagališči odpadkov, sežigalnicami</w:t>
      </w:r>
      <w:r>
        <w:rPr>
          <w:noProof/>
        </w:rPr>
        <w:footnoteReference w:id="37"/>
      </w:r>
      <w:r>
        <w:rPr>
          <w:noProof/>
        </w:rPr>
        <w:t xml:space="preserve"> in napravami za mehansko-biološko obdelavo</w:t>
      </w:r>
      <w:r>
        <w:rPr>
          <w:noProof/>
        </w:rPr>
        <w:footnoteReference w:id="38"/>
      </w:r>
      <w:r>
        <w:rPr>
          <w:noProof/>
        </w:rPr>
        <w:t xml:space="preserve">; </w:t>
      </w:r>
    </w:p>
    <w:p w14:paraId="3EE29B47" w14:textId="77777777" w:rsidR="00F24946" w:rsidRDefault="00613B06">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Dejavnosti, pri katerih lahko dolgoročno odlaganje odpadkov povzroči dolgoročno škodo okolju, kot so jedrski odpadki; in </w:t>
      </w:r>
    </w:p>
    <w:p w14:paraId="166BCF7B" w14:textId="77777777" w:rsidR="00F24946" w:rsidRDefault="00613B06">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Raziskave, razvoj in inovacije, namenjene zgoraj navedenim sredstvom in dejavnostim. </w:t>
      </w:r>
    </w:p>
    <w:p w14:paraId="41036F9C" w14:textId="77777777" w:rsidR="00F24946" w:rsidRDefault="00613B06">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obvezno preverjanje skladnosti z zakonodajo prek </w:t>
      </w:r>
      <w:r>
        <w:rPr>
          <w:i/>
          <w:noProof/>
        </w:rPr>
        <w:t>banke Banco Português de Fomento</w:t>
      </w:r>
      <w:r>
        <w:rPr>
          <w:noProof/>
        </w:rPr>
        <w:t xml:space="preserve"> in/ali njenih izbranih finančnih posrednikov za transakcije, izvzete iz preverjanja trajnostnosti; in </w:t>
      </w:r>
    </w:p>
    <w:p w14:paraId="3BDD89EA" w14:textId="77777777" w:rsidR="00F24946" w:rsidRDefault="00613B06">
      <w:pPr>
        <w:pStyle w:val="P68B1DB1-Normal4"/>
        <w:keepNext/>
        <w:numPr>
          <w:ilvl w:val="0"/>
          <w:numId w:val="58"/>
        </w:numPr>
        <w:spacing w:before="40" w:after="160" w:line="259" w:lineRule="auto"/>
        <w:contextualSpacing/>
        <w:jc w:val="both"/>
        <w:rPr>
          <w:rFonts w:eastAsiaTheme="minorEastAsia" w:cs="Times New Roman"/>
          <w:noProof/>
        </w:rPr>
      </w:pPr>
      <w:r>
        <w:rPr>
          <w:noProof/>
        </w:rPr>
        <w:t>upravičenci do podpore za lastniški kapital, ki vsaj 50 % svojih prihodkov pridobijo iz dejavnosti s seznama izključitev za sprejetje in objavo načrtov za zeleni prehod.</w:t>
      </w:r>
    </w:p>
    <w:p w14:paraId="3D00B278" w14:textId="77777777" w:rsidR="00F24946" w:rsidRDefault="00613B06">
      <w:pPr>
        <w:pStyle w:val="P68B1DB1-Normal4"/>
        <w:spacing w:before="40" w:after="0" w:line="259" w:lineRule="auto"/>
        <w:jc w:val="both"/>
        <w:rPr>
          <w:rFonts w:eastAsiaTheme="minorEastAsia" w:cs="Times New Roman"/>
          <w:noProof/>
        </w:rPr>
      </w:pPr>
      <w:r>
        <w:rPr>
          <w:noProof/>
        </w:rPr>
        <w:t xml:space="preserve">Naložba se izvede do 31. decembra 2025. </w:t>
      </w:r>
    </w:p>
    <w:p w14:paraId="29F83CA1" w14:textId="5D9194AF" w:rsidR="00F24946" w:rsidRDefault="00613B06">
      <w:pPr>
        <w:pStyle w:val="P68B1DB1-Normal5"/>
        <w:spacing w:before="240" w:after="0" w:line="259" w:lineRule="auto"/>
        <w:ind w:left="851"/>
        <w:jc w:val="both"/>
        <w:outlineLvl w:val="3"/>
        <w:rPr>
          <w:rFonts w:eastAsiaTheme="minorEastAsia" w:cs="Times New Roman"/>
          <w:noProof/>
        </w:rPr>
      </w:pPr>
      <w:bookmarkStart w:id="14" w:name="_Toc137472450"/>
      <w:r>
        <w:rPr>
          <w:noProof/>
        </w:rPr>
        <w:t>Naložba RE-C05-i11 – razširitev: Mobilizacija programov in zavezništev za poslovne inovacije</w:t>
      </w:r>
      <w:bookmarkEnd w:id="14"/>
      <w:r>
        <w:rPr>
          <w:noProof/>
        </w:rPr>
        <w:t xml:space="preserve"> (posojila)</w:t>
      </w:r>
    </w:p>
    <w:p w14:paraId="1A18BEC2" w14:textId="77777777" w:rsidR="00F24946" w:rsidRDefault="00613B06">
      <w:pPr>
        <w:pStyle w:val="P68B1DB1-Normal4"/>
        <w:spacing w:after="0"/>
        <w:jc w:val="both"/>
        <w:rPr>
          <w:rFonts w:cs="Times New Roman"/>
          <w:noProof/>
        </w:rPr>
      </w:pPr>
      <w:r>
        <w:rPr>
          <w:noProof/>
        </w:rPr>
        <w:t xml:space="preserve">Cilj te naložbe je povečati naložbe RE-C05-i01.01 v okviru komponente 5. Z razširjenim delom ukrepa se poveča število proizvodov, procesov ali storitev iz programov/zvezij za poslovne inovacije. </w:t>
      </w:r>
    </w:p>
    <w:p w14:paraId="6E30F4B5" w14:textId="68C2F408" w:rsidR="00F24946" w:rsidRDefault="00613B06">
      <w:pPr>
        <w:pStyle w:val="P68B1DB1-Normal4"/>
        <w:spacing w:after="0"/>
        <w:jc w:val="both"/>
        <w:rPr>
          <w:rFonts w:cs="Times New Roman"/>
          <w:noProof/>
        </w:rPr>
      </w:pPr>
      <w:r>
        <w:rPr>
          <w:noProof/>
        </w:rPr>
        <w:t>Vsaj 366 proizvodov, postopkov ali storitev, ki se izvajajo v okviru te naložbe, se uskladi s področjem intervencije 021 iz priloge k uredbi o mehanizmu za okrevanje in odpornost.</w:t>
      </w:r>
    </w:p>
    <w:p w14:paraId="6728AAA1" w14:textId="77777777" w:rsidR="00F24946" w:rsidRDefault="00613B06">
      <w:pPr>
        <w:pStyle w:val="P68B1DB1-Normal4"/>
        <w:spacing w:after="0"/>
        <w:jc w:val="both"/>
        <w:rPr>
          <w:rFonts w:eastAsiaTheme="minorEastAsia" w:cs="Times New Roman"/>
          <w:noProof/>
        </w:rPr>
      </w:pPr>
      <w:r>
        <w:rPr>
          <w:noProof/>
        </w:rPr>
        <w:t>Naložba se izvede do 31. decembra 2025.</w:t>
      </w:r>
    </w:p>
    <w:p w14:paraId="6840A33A" w14:textId="77777777" w:rsidR="00F24946" w:rsidRDefault="00F24946">
      <w:pPr>
        <w:spacing w:after="0"/>
        <w:jc w:val="both"/>
        <w:rPr>
          <w:rFonts w:ascii="Times New Roman" w:eastAsiaTheme="minorEastAsia" w:hAnsi="Times New Roman" w:cs="Times New Roman"/>
          <w:noProof/>
          <w:sz w:val="24"/>
        </w:rPr>
      </w:pPr>
    </w:p>
    <w:p w14:paraId="1E26CB77" w14:textId="3501F04A" w:rsidR="00F24946" w:rsidRDefault="00613B06">
      <w:pPr>
        <w:pStyle w:val="P68B1DB1-Heading214"/>
        <w:rPr>
          <w:noProof/>
        </w:rPr>
      </w:pPr>
      <w:bookmarkStart w:id="15" w:name="_Toc137472486"/>
      <w:r>
        <w:rPr>
          <w:noProof/>
        </w:rPr>
        <w:t>Naložba RP-C05-i12– – razširitev: Zelene agende/zveze za poslovne inovacije (posojila</w:t>
      </w:r>
      <w:bookmarkEnd w:id="15"/>
      <w:r>
        <w:rPr>
          <w:noProof/>
        </w:rPr>
        <w:t>)</w:t>
      </w:r>
    </w:p>
    <w:p w14:paraId="51585A10" w14:textId="788869BD" w:rsidR="00F24946" w:rsidRDefault="00613B06">
      <w:pPr>
        <w:pStyle w:val="P68B1DB1-Normal4"/>
        <w:spacing w:after="0"/>
        <w:jc w:val="both"/>
        <w:rPr>
          <w:rFonts w:cs="Times New Roman"/>
          <w:noProof/>
        </w:rPr>
      </w:pPr>
      <w:r>
        <w:rPr>
          <w:noProof/>
        </w:rPr>
        <w:t>Cilj te naložbe je povečati naložbe RE-C05-i01.02 v okviru komponente 5. Z razširitvijo ukrepa se poveča število proizvodov, postopkov ali storitev iz zelenih agend.</w:t>
      </w:r>
    </w:p>
    <w:p w14:paraId="5ECB84FA" w14:textId="2CE97D40" w:rsidR="00F24946" w:rsidRDefault="00613B06">
      <w:pPr>
        <w:pStyle w:val="P68B1DB1-Normal4"/>
        <w:spacing w:after="0"/>
        <w:jc w:val="both"/>
        <w:rPr>
          <w:rFonts w:eastAsiaTheme="minorEastAsia" w:cs="Times New Roman"/>
          <w:noProof/>
        </w:rPr>
      </w:pPr>
      <w:r>
        <w:rPr>
          <w:noProof/>
        </w:rPr>
        <w:t xml:space="preserve">Naložba se izvede do 31. decembra 2025. </w:t>
      </w:r>
    </w:p>
    <w:p w14:paraId="4B8C6875"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08"/>
          <w:headerReference w:type="default" r:id="rId109"/>
          <w:footerReference w:type="even" r:id="rId110"/>
          <w:footerReference w:type="default" r:id="rId111"/>
          <w:headerReference w:type="first" r:id="rId112"/>
          <w:footerReference w:type="first" r:id="rId113"/>
          <w:pgSz w:w="11907" w:h="16839"/>
          <w:pgMar w:top="1134" w:right="1134" w:bottom="1134" w:left="1134" w:header="567" w:footer="567" w:gutter="0"/>
          <w:cols w:space="720"/>
          <w:docGrid w:linePitch="360"/>
        </w:sectPr>
      </w:pPr>
    </w:p>
    <w:p w14:paraId="6490240C" w14:textId="77777777" w:rsidR="00F24946" w:rsidRDefault="00613B06">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E.4. </w:t>
      </w:r>
      <w:r>
        <w:rPr>
          <w:noProof/>
        </w:rPr>
        <w:tab/>
      </w:r>
      <w:r>
        <w:rPr>
          <w:rFonts w:ascii="Times New Roman" w:hAnsi="Times New Roman"/>
          <w:b/>
          <w:noProof/>
          <w:sz w:val="24"/>
          <w:u w:val="single"/>
        </w:rPr>
        <w:t>Mejniki, cilji, kazalniki in časovni razpored za spremljanje in izvajanje posojila</w:t>
      </w:r>
    </w:p>
    <w:p w14:paraId="08C3CE82" w14:textId="77777777" w:rsidR="00F24946" w:rsidRDefault="00F24946">
      <w:pPr>
        <w:keepNext/>
        <w:spacing w:before="40" w:after="0" w:line="259" w:lineRule="auto"/>
        <w:jc w:val="both"/>
        <w:rPr>
          <w:rFonts w:ascii="Times New Roman" w:hAnsi="Times New Roman" w:cs="Times New Roman"/>
          <w:noProof/>
          <w:sz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246"/>
        <w:gridCol w:w="1108"/>
        <w:gridCol w:w="1659"/>
        <w:gridCol w:w="1245"/>
        <w:gridCol w:w="972"/>
        <w:gridCol w:w="971"/>
        <w:gridCol w:w="695"/>
        <w:gridCol w:w="557"/>
        <w:gridCol w:w="694"/>
        <w:gridCol w:w="4908"/>
      </w:tblGrid>
      <w:tr w:rsidR="00F24946" w14:paraId="235CFC6B" w14:textId="77777777">
        <w:trPr>
          <w:trHeight w:val="300"/>
          <w:tblHeader/>
        </w:trPr>
        <w:tc>
          <w:tcPr>
            <w:tcW w:w="1113" w:type="dxa"/>
            <w:vMerge w:val="restart"/>
            <w:shd w:val="clear" w:color="auto" w:fill="BDD6EE"/>
            <w:vAlign w:val="center"/>
            <w:hideMark/>
          </w:tcPr>
          <w:p w14:paraId="5AD60527"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46" w:type="dxa"/>
            <w:vMerge w:val="restart"/>
            <w:shd w:val="clear" w:color="auto" w:fill="BDD6EE"/>
            <w:noWrap/>
            <w:vAlign w:val="center"/>
            <w:hideMark/>
          </w:tcPr>
          <w:p w14:paraId="5F907E49"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08" w:type="dxa"/>
            <w:vMerge w:val="restart"/>
            <w:shd w:val="clear" w:color="auto" w:fill="BDD6EE"/>
            <w:noWrap/>
            <w:vAlign w:val="center"/>
            <w:hideMark/>
          </w:tcPr>
          <w:p w14:paraId="0F0CD791" w14:textId="77777777" w:rsidR="00F24946" w:rsidRDefault="00613B06">
            <w:pPr>
              <w:pStyle w:val="P68B1DB1-Normal6"/>
              <w:spacing w:after="0" w:line="240" w:lineRule="auto"/>
              <w:jc w:val="center"/>
              <w:rPr>
                <w:rFonts w:eastAsia="Times New Roman" w:cs="Times New Roman"/>
                <w:noProof/>
              </w:rPr>
            </w:pPr>
            <w:r>
              <w:rPr>
                <w:noProof/>
              </w:rPr>
              <w:t>Mejnik/cilj</w:t>
            </w:r>
          </w:p>
          <w:p w14:paraId="45499D8C" w14:textId="7AB69549" w:rsidR="00F24946" w:rsidRDefault="00613B06">
            <w:pPr>
              <w:pStyle w:val="P68B1DB1-Normal9"/>
              <w:spacing w:after="0" w:line="240" w:lineRule="auto"/>
              <w:rPr>
                <w:rFonts w:ascii="Times New Roman" w:eastAsia="Times New Roman" w:hAnsi="Times New Roman" w:cs="Times New Roman"/>
                <w:b/>
                <w:noProof/>
                <w:sz w:val="18"/>
              </w:rPr>
            </w:pPr>
            <w:r>
              <w:rPr>
                <w:noProof/>
              </w:rPr>
              <w:t> </w:t>
            </w:r>
          </w:p>
        </w:tc>
        <w:tc>
          <w:tcPr>
            <w:tcW w:w="1659" w:type="dxa"/>
            <w:vMerge w:val="restart"/>
            <w:shd w:val="clear" w:color="auto" w:fill="BDD6EE"/>
            <w:noWrap/>
            <w:vAlign w:val="center"/>
            <w:hideMark/>
          </w:tcPr>
          <w:p w14:paraId="342DD455" w14:textId="77777777" w:rsidR="00F24946" w:rsidRDefault="00613B06">
            <w:pPr>
              <w:pStyle w:val="P68B1DB1-Normal6"/>
              <w:spacing w:after="0" w:line="240" w:lineRule="auto"/>
              <w:jc w:val="center"/>
              <w:rPr>
                <w:rFonts w:eastAsia="Times New Roman" w:cs="Times New Roman"/>
                <w:noProof/>
              </w:rPr>
            </w:pPr>
            <w:r>
              <w:rPr>
                <w:noProof/>
              </w:rPr>
              <w:t>Ime</w:t>
            </w:r>
          </w:p>
        </w:tc>
        <w:tc>
          <w:tcPr>
            <w:tcW w:w="1245" w:type="dxa"/>
            <w:vMerge w:val="restart"/>
            <w:shd w:val="clear" w:color="auto" w:fill="BDD6EE"/>
            <w:noWrap/>
            <w:vAlign w:val="center"/>
            <w:hideMark/>
          </w:tcPr>
          <w:p w14:paraId="5D379DDD"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38" w:type="dxa"/>
            <w:gridSpan w:val="3"/>
            <w:shd w:val="clear" w:color="auto" w:fill="BDD6EE"/>
            <w:noWrap/>
            <w:vAlign w:val="center"/>
            <w:hideMark/>
          </w:tcPr>
          <w:p w14:paraId="39B01116"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51" w:type="dxa"/>
            <w:gridSpan w:val="2"/>
            <w:shd w:val="clear" w:color="auto" w:fill="BDD6EE"/>
            <w:noWrap/>
            <w:vAlign w:val="center"/>
            <w:hideMark/>
          </w:tcPr>
          <w:p w14:paraId="328C3EC0"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908" w:type="dxa"/>
            <w:vMerge w:val="restart"/>
            <w:shd w:val="clear" w:color="auto" w:fill="BDD6EE"/>
            <w:noWrap/>
            <w:vAlign w:val="center"/>
            <w:hideMark/>
          </w:tcPr>
          <w:p w14:paraId="495029B6"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77B89938" w14:textId="77777777">
        <w:trPr>
          <w:trHeight w:val="600"/>
          <w:tblHeader/>
        </w:trPr>
        <w:tc>
          <w:tcPr>
            <w:tcW w:w="1113" w:type="dxa"/>
            <w:vMerge/>
            <w:vAlign w:val="center"/>
            <w:hideMark/>
          </w:tcPr>
          <w:p w14:paraId="414C4B6B" w14:textId="77777777" w:rsidR="00F24946" w:rsidRDefault="00F24946">
            <w:pPr>
              <w:spacing w:after="0" w:line="240" w:lineRule="auto"/>
              <w:rPr>
                <w:rFonts w:ascii="Times New Roman" w:eastAsia="Times New Roman" w:hAnsi="Times New Roman" w:cs="Times New Roman"/>
                <w:b/>
                <w:noProof/>
                <w:sz w:val="18"/>
              </w:rPr>
            </w:pPr>
          </w:p>
        </w:tc>
        <w:tc>
          <w:tcPr>
            <w:tcW w:w="1246" w:type="dxa"/>
            <w:vMerge/>
            <w:vAlign w:val="center"/>
            <w:hideMark/>
          </w:tcPr>
          <w:p w14:paraId="26F62AB4" w14:textId="77777777" w:rsidR="00F24946" w:rsidRDefault="00F24946">
            <w:pPr>
              <w:spacing w:after="0" w:line="240" w:lineRule="auto"/>
              <w:rPr>
                <w:rFonts w:ascii="Times New Roman" w:eastAsia="Times New Roman" w:hAnsi="Times New Roman" w:cs="Times New Roman"/>
                <w:b/>
                <w:noProof/>
                <w:sz w:val="18"/>
              </w:rPr>
            </w:pPr>
          </w:p>
        </w:tc>
        <w:tc>
          <w:tcPr>
            <w:tcW w:w="1108" w:type="dxa"/>
            <w:vMerge/>
            <w:noWrap/>
            <w:vAlign w:val="center"/>
            <w:hideMark/>
          </w:tcPr>
          <w:p w14:paraId="4CD10545" w14:textId="36059408" w:rsidR="00F24946" w:rsidRDefault="00F24946">
            <w:pPr>
              <w:spacing w:after="0" w:line="240" w:lineRule="auto"/>
              <w:rPr>
                <w:rFonts w:ascii="Times New Roman" w:eastAsia="Times New Roman" w:hAnsi="Times New Roman" w:cs="Times New Roman"/>
                <w:b/>
                <w:noProof/>
                <w:sz w:val="18"/>
              </w:rPr>
            </w:pPr>
          </w:p>
        </w:tc>
        <w:tc>
          <w:tcPr>
            <w:tcW w:w="1659" w:type="dxa"/>
            <w:vMerge/>
            <w:vAlign w:val="center"/>
            <w:hideMark/>
          </w:tcPr>
          <w:p w14:paraId="09C405A8" w14:textId="77777777" w:rsidR="00F24946" w:rsidRDefault="00F24946">
            <w:pPr>
              <w:spacing w:after="0" w:line="240" w:lineRule="auto"/>
              <w:rPr>
                <w:rFonts w:ascii="Times New Roman" w:eastAsia="Times New Roman" w:hAnsi="Times New Roman" w:cs="Times New Roman"/>
                <w:b/>
                <w:noProof/>
                <w:sz w:val="18"/>
              </w:rPr>
            </w:pPr>
          </w:p>
        </w:tc>
        <w:tc>
          <w:tcPr>
            <w:tcW w:w="1245" w:type="dxa"/>
            <w:vMerge/>
            <w:vAlign w:val="center"/>
            <w:hideMark/>
          </w:tcPr>
          <w:p w14:paraId="4019AC7D" w14:textId="77777777" w:rsidR="00F24946" w:rsidRDefault="00F24946">
            <w:pPr>
              <w:spacing w:after="0" w:line="240" w:lineRule="auto"/>
              <w:rPr>
                <w:rFonts w:ascii="Times New Roman" w:eastAsia="Times New Roman" w:hAnsi="Times New Roman" w:cs="Times New Roman"/>
                <w:b/>
                <w:noProof/>
                <w:sz w:val="18"/>
              </w:rPr>
            </w:pPr>
          </w:p>
        </w:tc>
        <w:tc>
          <w:tcPr>
            <w:tcW w:w="972" w:type="dxa"/>
            <w:tcBorders>
              <w:bottom w:val="single" w:sz="4" w:space="0" w:color="auto"/>
            </w:tcBorders>
            <w:shd w:val="clear" w:color="auto" w:fill="BDD6EE"/>
            <w:noWrap/>
            <w:vAlign w:val="center"/>
            <w:hideMark/>
          </w:tcPr>
          <w:p w14:paraId="33FB0290"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71" w:type="dxa"/>
            <w:tcBorders>
              <w:bottom w:val="single" w:sz="4" w:space="0" w:color="auto"/>
            </w:tcBorders>
            <w:shd w:val="clear" w:color="auto" w:fill="BDD6EE"/>
            <w:noWrap/>
            <w:vAlign w:val="center"/>
            <w:hideMark/>
          </w:tcPr>
          <w:p w14:paraId="3F9E2F45"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695" w:type="dxa"/>
            <w:tcBorders>
              <w:bottom w:val="single" w:sz="4" w:space="0" w:color="auto"/>
            </w:tcBorders>
            <w:shd w:val="clear" w:color="auto" w:fill="BDD6EE"/>
            <w:noWrap/>
            <w:vAlign w:val="center"/>
            <w:hideMark/>
          </w:tcPr>
          <w:p w14:paraId="3288458E" w14:textId="77777777" w:rsidR="00F24946" w:rsidRDefault="00613B06">
            <w:pPr>
              <w:pStyle w:val="P68B1DB1-Normal6"/>
              <w:spacing w:after="0" w:line="240" w:lineRule="auto"/>
              <w:jc w:val="center"/>
              <w:rPr>
                <w:rFonts w:eastAsia="Times New Roman" w:cs="Times New Roman"/>
                <w:noProof/>
              </w:rPr>
            </w:pPr>
            <w:r>
              <w:rPr>
                <w:noProof/>
              </w:rPr>
              <w:t>Cilj</w:t>
            </w:r>
          </w:p>
        </w:tc>
        <w:tc>
          <w:tcPr>
            <w:tcW w:w="557" w:type="dxa"/>
            <w:tcBorders>
              <w:bottom w:val="single" w:sz="4" w:space="0" w:color="auto"/>
            </w:tcBorders>
            <w:shd w:val="clear" w:color="auto" w:fill="BDD6EE"/>
            <w:noWrap/>
            <w:vAlign w:val="center"/>
            <w:hideMark/>
          </w:tcPr>
          <w:p w14:paraId="30E12A1C" w14:textId="77777777" w:rsidR="00F24946" w:rsidRDefault="00613B06">
            <w:pPr>
              <w:pStyle w:val="P68B1DB1-Normal6"/>
              <w:spacing w:after="0" w:line="240" w:lineRule="auto"/>
              <w:jc w:val="center"/>
              <w:rPr>
                <w:rFonts w:eastAsia="Times New Roman" w:cs="Times New Roman"/>
                <w:noProof/>
              </w:rPr>
            </w:pPr>
            <w:r>
              <w:rPr>
                <w:noProof/>
              </w:rPr>
              <w:t>Q</w:t>
            </w:r>
          </w:p>
        </w:tc>
        <w:tc>
          <w:tcPr>
            <w:tcW w:w="694" w:type="dxa"/>
            <w:tcBorders>
              <w:bottom w:val="single" w:sz="4" w:space="0" w:color="auto"/>
            </w:tcBorders>
            <w:shd w:val="clear" w:color="auto" w:fill="BDD6EE"/>
            <w:noWrap/>
            <w:vAlign w:val="center"/>
            <w:hideMark/>
          </w:tcPr>
          <w:p w14:paraId="49193FA0" w14:textId="77777777" w:rsidR="00F24946" w:rsidRDefault="00613B06">
            <w:pPr>
              <w:pStyle w:val="P68B1DB1-Normal6"/>
              <w:spacing w:after="0" w:line="240" w:lineRule="auto"/>
              <w:jc w:val="center"/>
              <w:rPr>
                <w:rFonts w:eastAsia="Times New Roman" w:cs="Times New Roman"/>
                <w:noProof/>
              </w:rPr>
            </w:pPr>
            <w:r>
              <w:rPr>
                <w:noProof/>
              </w:rPr>
              <w:t>Leto</w:t>
            </w:r>
          </w:p>
        </w:tc>
        <w:tc>
          <w:tcPr>
            <w:tcW w:w="4908" w:type="dxa"/>
            <w:vMerge/>
            <w:vAlign w:val="center"/>
            <w:hideMark/>
          </w:tcPr>
          <w:p w14:paraId="68AAB397" w14:textId="77777777" w:rsidR="00F24946" w:rsidRDefault="00F24946">
            <w:pPr>
              <w:spacing w:after="0" w:line="240" w:lineRule="auto"/>
              <w:rPr>
                <w:rFonts w:ascii="Times New Roman" w:eastAsia="Times New Roman" w:hAnsi="Times New Roman" w:cs="Times New Roman"/>
                <w:b/>
                <w:noProof/>
                <w:sz w:val="18"/>
              </w:rPr>
            </w:pPr>
          </w:p>
        </w:tc>
      </w:tr>
      <w:tr w:rsidR="00F24946" w14:paraId="62E78A68" w14:textId="77777777">
        <w:trPr>
          <w:trHeight w:val="509"/>
        </w:trPr>
        <w:tc>
          <w:tcPr>
            <w:tcW w:w="1113" w:type="dxa"/>
            <w:shd w:val="clear" w:color="auto" w:fill="C4EFCE"/>
            <w:vAlign w:val="center"/>
            <w:hideMark/>
          </w:tcPr>
          <w:p w14:paraId="1CD6A056" w14:textId="77777777" w:rsidR="00F24946" w:rsidRDefault="00613B06">
            <w:pPr>
              <w:pStyle w:val="P68B1DB1-Normal7"/>
              <w:spacing w:after="0" w:line="240" w:lineRule="auto"/>
              <w:jc w:val="center"/>
              <w:rPr>
                <w:rFonts w:eastAsia="Times New Roman" w:cs="Calibri"/>
                <w:noProof/>
              </w:rPr>
            </w:pPr>
            <w:r>
              <w:rPr>
                <w:noProof/>
              </w:rPr>
              <w:t>5.23</w:t>
            </w:r>
          </w:p>
        </w:tc>
        <w:tc>
          <w:tcPr>
            <w:tcW w:w="1246" w:type="dxa"/>
            <w:shd w:val="clear" w:color="auto" w:fill="C4EFCE"/>
            <w:vAlign w:val="center"/>
            <w:hideMark/>
          </w:tcPr>
          <w:p w14:paraId="70D1D549" w14:textId="77777777" w:rsidR="00F24946" w:rsidRDefault="00613B06">
            <w:pPr>
              <w:pStyle w:val="P68B1DB1-Normal8"/>
              <w:spacing w:after="0" w:line="240" w:lineRule="auto"/>
              <w:jc w:val="center"/>
              <w:rPr>
                <w:rFonts w:eastAsia="Times New Roman" w:cs="Calibri"/>
                <w:noProof/>
              </w:rPr>
            </w:pPr>
            <w:r>
              <w:rPr>
                <w:noProof/>
              </w:rPr>
              <w:t>Re-C05-r10</w:t>
            </w:r>
          </w:p>
        </w:tc>
        <w:tc>
          <w:tcPr>
            <w:tcW w:w="1108" w:type="dxa"/>
            <w:shd w:val="clear" w:color="auto" w:fill="C4EFCE"/>
            <w:vAlign w:val="center"/>
            <w:hideMark/>
          </w:tcPr>
          <w:p w14:paraId="3CF04DC0"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69E39EE1" w14:textId="77777777" w:rsidR="00F24946" w:rsidRDefault="00613B06">
            <w:pPr>
              <w:pStyle w:val="P68B1DB1-Normal8"/>
              <w:spacing w:after="0" w:line="240" w:lineRule="auto"/>
              <w:jc w:val="center"/>
              <w:rPr>
                <w:rFonts w:eastAsia="Times New Roman" w:cs="Calibri"/>
                <w:noProof/>
              </w:rPr>
            </w:pPr>
            <w:r>
              <w:rPr>
                <w:noProof/>
              </w:rPr>
              <w:t xml:space="preserve">Začetek veljavnosti uredbe o določitvi dejavnosti in statuta </w:t>
            </w:r>
            <w:r>
              <w:rPr>
                <w:i/>
                <w:noProof/>
              </w:rPr>
              <w:t>Banco Português de Fomento</w:t>
            </w:r>
            <w:r>
              <w:rPr>
                <w:noProof/>
              </w:rPr>
              <w:t xml:space="preserve"> (BPF)</w:t>
            </w:r>
          </w:p>
        </w:tc>
        <w:tc>
          <w:tcPr>
            <w:tcW w:w="1245" w:type="dxa"/>
            <w:shd w:val="clear" w:color="auto" w:fill="C4EFCE"/>
            <w:vAlign w:val="center"/>
            <w:hideMark/>
          </w:tcPr>
          <w:p w14:paraId="5C531FAA" w14:textId="77777777" w:rsidR="00F24946" w:rsidRDefault="00613B06">
            <w:pPr>
              <w:pStyle w:val="P68B1DB1-Normal8"/>
              <w:spacing w:after="0" w:line="240" w:lineRule="auto"/>
              <w:jc w:val="center"/>
              <w:rPr>
                <w:rFonts w:eastAsia="Times New Roman" w:cs="Calibri"/>
                <w:noProof/>
              </w:rPr>
            </w:pPr>
            <w:r>
              <w:rPr>
                <w:noProof/>
              </w:rPr>
              <w:t>Začetek veljavnosti zakonskega odloka št. 63/2020 o določitvi dejavnosti in statutov BPF</w:t>
            </w:r>
          </w:p>
        </w:tc>
        <w:tc>
          <w:tcPr>
            <w:tcW w:w="972" w:type="dxa"/>
            <w:shd w:val="clear" w:color="auto" w:fill="C4EFCE"/>
            <w:vAlign w:val="center"/>
            <w:hideMark/>
          </w:tcPr>
          <w:p w14:paraId="7BF2953F"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547F95"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58AF4DF8"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584F10F0"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vAlign w:val="center"/>
            <w:hideMark/>
          </w:tcPr>
          <w:p w14:paraId="6C49ABF7" w14:textId="77777777" w:rsidR="00F24946" w:rsidRDefault="00613B06">
            <w:pPr>
              <w:pStyle w:val="P68B1DB1-Normal8"/>
              <w:spacing w:after="0" w:line="240" w:lineRule="auto"/>
              <w:jc w:val="center"/>
              <w:rPr>
                <w:rFonts w:eastAsia="Times New Roman" w:cs="Calibri"/>
                <w:noProof/>
              </w:rPr>
            </w:pPr>
            <w:r>
              <w:rPr>
                <w:noProof/>
              </w:rPr>
              <w:t>2020</w:t>
            </w:r>
          </w:p>
        </w:tc>
        <w:tc>
          <w:tcPr>
            <w:tcW w:w="4908" w:type="dxa"/>
            <w:shd w:val="clear" w:color="auto" w:fill="C4EFCE"/>
            <w:vAlign w:val="center"/>
            <w:hideMark/>
          </w:tcPr>
          <w:p w14:paraId="61570855" w14:textId="77777777" w:rsidR="00F24946" w:rsidRDefault="00613B06">
            <w:pPr>
              <w:pStyle w:val="P68B1DB1-Normal8"/>
              <w:spacing w:after="0" w:line="240" w:lineRule="auto"/>
              <w:jc w:val="both"/>
              <w:rPr>
                <w:rFonts w:eastAsia="Times New Roman" w:cs="Calibri"/>
                <w:noProof/>
              </w:rPr>
            </w:pPr>
            <w:r>
              <w:rPr>
                <w:noProof/>
              </w:rPr>
              <w:t>Objava s strani vlade Portugalske republike in začetek veljavnosti uredbe-zakona št. 63/2020, ki ureja dejavnost in delovanje BPF ter potrjuje njen statut.</w:t>
            </w:r>
          </w:p>
        </w:tc>
      </w:tr>
      <w:tr w:rsidR="00F24946" w14:paraId="661774E0" w14:textId="77777777">
        <w:trPr>
          <w:trHeight w:val="1220"/>
        </w:trPr>
        <w:tc>
          <w:tcPr>
            <w:tcW w:w="1113" w:type="dxa"/>
            <w:shd w:val="clear" w:color="auto" w:fill="C4EFCE"/>
            <w:vAlign w:val="center"/>
            <w:hideMark/>
          </w:tcPr>
          <w:p w14:paraId="66190338" w14:textId="77777777" w:rsidR="00F24946" w:rsidRDefault="00613B06">
            <w:pPr>
              <w:pStyle w:val="P68B1DB1-Normal7"/>
              <w:spacing w:after="0" w:line="240" w:lineRule="auto"/>
              <w:jc w:val="center"/>
              <w:rPr>
                <w:rFonts w:eastAsia="Times New Roman" w:cs="Calibri"/>
                <w:noProof/>
              </w:rPr>
            </w:pPr>
            <w:r>
              <w:rPr>
                <w:noProof/>
              </w:rPr>
              <w:t>5.24</w:t>
            </w:r>
          </w:p>
        </w:tc>
        <w:tc>
          <w:tcPr>
            <w:tcW w:w="1246" w:type="dxa"/>
            <w:shd w:val="clear" w:color="auto" w:fill="C4EFCE"/>
            <w:vAlign w:val="center"/>
            <w:hideMark/>
          </w:tcPr>
          <w:p w14:paraId="689D69C9" w14:textId="77777777" w:rsidR="00F24946" w:rsidRDefault="00613B06">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9F03A2E"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FF4E1B6" w14:textId="77777777" w:rsidR="00F24946" w:rsidRDefault="00613B06">
            <w:pPr>
              <w:pStyle w:val="P68B1DB1-Normal8"/>
              <w:spacing w:after="0" w:line="240" w:lineRule="auto"/>
              <w:jc w:val="center"/>
              <w:rPr>
                <w:rFonts w:eastAsia="Times New Roman" w:cs="Calibri"/>
                <w:noProof/>
              </w:rPr>
            </w:pPr>
            <w:r>
              <w:rPr>
                <w:noProof/>
              </w:rPr>
              <w:t xml:space="preserve"> Začetek veljavnosti revizije pravnega okvira za kolektivne naložbene podjeme </w:t>
            </w:r>
          </w:p>
        </w:tc>
        <w:tc>
          <w:tcPr>
            <w:tcW w:w="1245" w:type="dxa"/>
            <w:shd w:val="clear" w:color="auto" w:fill="C4EFCE"/>
            <w:vAlign w:val="center"/>
            <w:hideMark/>
          </w:tcPr>
          <w:p w14:paraId="4083C547" w14:textId="77777777" w:rsidR="00F24946" w:rsidRDefault="00613B06">
            <w:pPr>
              <w:pStyle w:val="P68B1DB1-Normal8"/>
              <w:spacing w:after="0" w:line="240" w:lineRule="auto"/>
              <w:jc w:val="center"/>
              <w:rPr>
                <w:rFonts w:eastAsia="Times New Roman" w:cs="Calibri"/>
                <w:noProof/>
              </w:rPr>
            </w:pPr>
            <w:r>
              <w:rPr>
                <w:noProof/>
              </w:rPr>
              <w:t xml:space="preserve">Začetek veljavnosti revizije pravnega okvira za kolektivne naložbene podjeme </w:t>
            </w:r>
          </w:p>
        </w:tc>
        <w:tc>
          <w:tcPr>
            <w:tcW w:w="972" w:type="dxa"/>
            <w:shd w:val="clear" w:color="auto" w:fill="C4EFCE"/>
            <w:vAlign w:val="center"/>
            <w:hideMark/>
          </w:tcPr>
          <w:p w14:paraId="1A341D8C"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5C5E34C9"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51BF450"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3C786D1E"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vAlign w:val="center"/>
            <w:hideMark/>
          </w:tcPr>
          <w:p w14:paraId="72FED962" w14:textId="77777777" w:rsidR="00F24946" w:rsidRDefault="00613B06">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5E67B5D" w14:textId="77777777" w:rsidR="00F24946" w:rsidRDefault="00613B06">
            <w:pPr>
              <w:pStyle w:val="P68B1DB1-Normal8"/>
              <w:spacing w:after="0" w:line="240" w:lineRule="auto"/>
              <w:jc w:val="both"/>
              <w:rPr>
                <w:rFonts w:eastAsia="Times New Roman" w:cs="Calibri"/>
                <w:noProof/>
              </w:rPr>
            </w:pPr>
            <w:r>
              <w:rPr>
                <w:noProof/>
              </w:rPr>
              <w:t>Začetek veljavnosti zakona po tem, ko je skupščina republike sprejela zakon. Pregleda pravni okvir za kolektivne naložbene podjeme z namenom regulativne in upravne poenostavitve.</w:t>
            </w:r>
          </w:p>
        </w:tc>
      </w:tr>
      <w:tr w:rsidR="00F24946" w14:paraId="7FAB8FF7" w14:textId="77777777">
        <w:trPr>
          <w:trHeight w:val="1060"/>
        </w:trPr>
        <w:tc>
          <w:tcPr>
            <w:tcW w:w="1113" w:type="dxa"/>
            <w:shd w:val="clear" w:color="auto" w:fill="C4EFCE"/>
            <w:vAlign w:val="center"/>
            <w:hideMark/>
          </w:tcPr>
          <w:p w14:paraId="2CEBAA44" w14:textId="77777777" w:rsidR="00F24946" w:rsidRDefault="00613B06">
            <w:pPr>
              <w:pStyle w:val="P68B1DB1-Normal7"/>
              <w:spacing w:after="0" w:line="240" w:lineRule="auto"/>
              <w:jc w:val="center"/>
              <w:rPr>
                <w:rFonts w:eastAsia="Times New Roman" w:cs="Calibri"/>
                <w:noProof/>
              </w:rPr>
            </w:pPr>
            <w:r>
              <w:rPr>
                <w:noProof/>
              </w:rPr>
              <w:t>5.25</w:t>
            </w:r>
          </w:p>
        </w:tc>
        <w:tc>
          <w:tcPr>
            <w:tcW w:w="1246" w:type="dxa"/>
            <w:shd w:val="clear" w:color="auto" w:fill="C4EFCE"/>
            <w:vAlign w:val="center"/>
            <w:hideMark/>
          </w:tcPr>
          <w:p w14:paraId="67EFB3F7" w14:textId="77777777" w:rsidR="00F24946" w:rsidRDefault="00613B06">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1D7EC96"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39C18E1" w14:textId="77777777" w:rsidR="00F24946" w:rsidRDefault="00613B06">
            <w:pPr>
              <w:pStyle w:val="P68B1DB1-Normal8"/>
              <w:spacing w:after="0" w:line="240" w:lineRule="auto"/>
              <w:jc w:val="center"/>
              <w:rPr>
                <w:rFonts w:eastAsia="Times New Roman" w:cs="Calibri"/>
                <w:noProof/>
              </w:rPr>
            </w:pPr>
            <w:r>
              <w:rPr>
                <w:noProof/>
              </w:rPr>
              <w:t>Začetek veljavnosti revizije Zakona o vrednostnih papirjih</w:t>
            </w:r>
          </w:p>
        </w:tc>
        <w:tc>
          <w:tcPr>
            <w:tcW w:w="1245" w:type="dxa"/>
            <w:shd w:val="clear" w:color="auto" w:fill="C4EFCE"/>
            <w:vAlign w:val="center"/>
            <w:hideMark/>
          </w:tcPr>
          <w:p w14:paraId="16730FE3" w14:textId="77777777" w:rsidR="00F24946" w:rsidRDefault="00613B06">
            <w:pPr>
              <w:pStyle w:val="P68B1DB1-Normal8"/>
              <w:spacing w:after="0" w:line="240" w:lineRule="auto"/>
              <w:jc w:val="center"/>
              <w:rPr>
                <w:rFonts w:eastAsia="Times New Roman" w:cs="Calibri"/>
                <w:noProof/>
              </w:rPr>
            </w:pPr>
            <w:r>
              <w:rPr>
                <w:noProof/>
              </w:rPr>
              <w:t xml:space="preserve">Začetek veljavnosti revizije Zakona o vrednostnih papirjih </w:t>
            </w:r>
          </w:p>
        </w:tc>
        <w:tc>
          <w:tcPr>
            <w:tcW w:w="972" w:type="dxa"/>
            <w:shd w:val="clear" w:color="auto" w:fill="C4EFCE"/>
            <w:vAlign w:val="center"/>
            <w:hideMark/>
          </w:tcPr>
          <w:p w14:paraId="57352804"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D4D1645"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15C0F5D"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3C62266"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vAlign w:val="center"/>
            <w:hideMark/>
          </w:tcPr>
          <w:p w14:paraId="23228510" w14:textId="77777777" w:rsidR="00F24946" w:rsidRDefault="00613B06">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7E578C3A" w14:textId="77777777" w:rsidR="00F24946" w:rsidRDefault="00613B06">
            <w:pPr>
              <w:pStyle w:val="P68B1DB1-Normal8"/>
              <w:spacing w:after="0" w:line="240" w:lineRule="auto"/>
              <w:jc w:val="both"/>
              <w:rPr>
                <w:rFonts w:eastAsia="Times New Roman" w:cs="Calibri"/>
                <w:noProof/>
              </w:rPr>
            </w:pPr>
            <w:r>
              <w:rPr>
                <w:noProof/>
              </w:rPr>
              <w:t>Zakon začne veljati po tem, ko skupščina republike sprejme zakon. Cilj revizije zakonika o vrednostnih papirjih je regulativna in upravna poenostavitev, da se nacionalni okvir uskladi s pravom Unije, kar zadeva cilj povečanja konkurenčnosti portugalskega kapitalskega trga.</w:t>
            </w:r>
          </w:p>
        </w:tc>
      </w:tr>
      <w:tr w:rsidR="00F24946" w14:paraId="71EC5849" w14:textId="77777777">
        <w:trPr>
          <w:trHeight w:val="67"/>
        </w:trPr>
        <w:tc>
          <w:tcPr>
            <w:tcW w:w="1113" w:type="dxa"/>
            <w:shd w:val="clear" w:color="auto" w:fill="C4EFCE"/>
            <w:vAlign w:val="center"/>
            <w:hideMark/>
          </w:tcPr>
          <w:p w14:paraId="73BF0385" w14:textId="77777777" w:rsidR="00F24946" w:rsidRDefault="00613B06">
            <w:pPr>
              <w:pStyle w:val="P68B1DB1-Normal7"/>
              <w:spacing w:after="0" w:line="240" w:lineRule="auto"/>
              <w:jc w:val="center"/>
              <w:rPr>
                <w:rFonts w:eastAsia="Times New Roman" w:cs="Calibri"/>
                <w:noProof/>
              </w:rPr>
            </w:pPr>
            <w:r>
              <w:rPr>
                <w:noProof/>
              </w:rPr>
              <w:t>5.26</w:t>
            </w:r>
          </w:p>
        </w:tc>
        <w:tc>
          <w:tcPr>
            <w:tcW w:w="1246" w:type="dxa"/>
            <w:shd w:val="clear" w:color="auto" w:fill="C4EFCE"/>
            <w:vAlign w:val="center"/>
            <w:hideMark/>
          </w:tcPr>
          <w:p w14:paraId="01F6EAD9" w14:textId="77777777" w:rsidR="00F24946" w:rsidRDefault="00613B06">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89C3F1A"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1D2DB219" w14:textId="77777777" w:rsidR="00F24946" w:rsidRDefault="00613B06">
            <w:pPr>
              <w:pStyle w:val="P68B1DB1-Normal8"/>
              <w:spacing w:after="0" w:line="240" w:lineRule="auto"/>
              <w:jc w:val="center"/>
              <w:rPr>
                <w:rFonts w:eastAsia="Times New Roman" w:cs="Calibri"/>
                <w:noProof/>
              </w:rPr>
            </w:pPr>
            <w:r>
              <w:rPr>
                <w:noProof/>
              </w:rPr>
              <w:t xml:space="preserve">Razvoj kapitalskih trgov – začetek veljavnosti zakonodaje </w:t>
            </w:r>
          </w:p>
        </w:tc>
        <w:tc>
          <w:tcPr>
            <w:tcW w:w="1245" w:type="dxa"/>
            <w:shd w:val="clear" w:color="auto" w:fill="C4EFCE"/>
            <w:vAlign w:val="center"/>
            <w:hideMark/>
          </w:tcPr>
          <w:p w14:paraId="7D1637FA" w14:textId="77777777" w:rsidR="00F24946" w:rsidRDefault="00613B06">
            <w:pPr>
              <w:pStyle w:val="P68B1DB1-Normal8"/>
              <w:spacing w:after="0" w:line="240" w:lineRule="auto"/>
              <w:jc w:val="center"/>
              <w:rPr>
                <w:rFonts w:eastAsia="Times New Roman" w:cs="Calibri"/>
                <w:noProof/>
              </w:rPr>
            </w:pPr>
            <w:r>
              <w:rPr>
                <w:noProof/>
              </w:rPr>
              <w:t>Začetek veljavnosti zakonodaje za razvoj kapitalskih trgov</w:t>
            </w:r>
          </w:p>
        </w:tc>
        <w:tc>
          <w:tcPr>
            <w:tcW w:w="972" w:type="dxa"/>
            <w:shd w:val="clear" w:color="auto" w:fill="C4EFCE"/>
            <w:vAlign w:val="center"/>
            <w:hideMark/>
          </w:tcPr>
          <w:p w14:paraId="586E7C49"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1A2F023"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2E32C9C"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6033117F"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vAlign w:val="center"/>
            <w:hideMark/>
          </w:tcPr>
          <w:p w14:paraId="22331127" w14:textId="77777777" w:rsidR="00F24946" w:rsidRDefault="00613B06">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hideMark/>
          </w:tcPr>
          <w:p w14:paraId="1C25D1BF" w14:textId="77777777" w:rsidR="00F24946" w:rsidRDefault="00613B06">
            <w:pPr>
              <w:pStyle w:val="P68B1DB1-Normal8"/>
              <w:spacing w:after="0" w:line="240" w:lineRule="auto"/>
              <w:jc w:val="both"/>
              <w:rPr>
                <w:rFonts w:eastAsia="Times New Roman" w:cs="Calibri"/>
                <w:noProof/>
              </w:rPr>
            </w:pPr>
            <w:r>
              <w:rPr>
                <w:noProof/>
              </w:rPr>
              <w:t>Po prispevkih udeležencev na trgu je začela veljati zakonodaja za razvoj kapitalskega trga. Ob ohranjanju svobode dela projektne skupine za krepitev kapitalskih trgov (ki sta jo ustanovila ministrstvo za gospodarstvo in digitalni prehod ter državni sekretar za finance), je predvideno, da se bo zakonodaja osredotočila na ustvarjanje spodbud, med drugim za i) dostop do lastniškega kapitala prek kapitalskega trga, ii) ustvarjanje okolja, ki spodbuja rast podjetij, iii) dolžniško financiranje na trgu, iv) udeležbo vlagateljev.</w:t>
            </w:r>
          </w:p>
        </w:tc>
      </w:tr>
      <w:tr w:rsidR="00F24946" w14:paraId="2E453268" w14:textId="77777777">
        <w:trPr>
          <w:trHeight w:val="1984"/>
        </w:trPr>
        <w:tc>
          <w:tcPr>
            <w:tcW w:w="1113" w:type="dxa"/>
            <w:shd w:val="clear" w:color="auto" w:fill="C4EFCE"/>
            <w:vAlign w:val="center"/>
            <w:hideMark/>
          </w:tcPr>
          <w:p w14:paraId="1303E8CD" w14:textId="77777777" w:rsidR="00F24946" w:rsidRDefault="00613B06">
            <w:pPr>
              <w:pStyle w:val="P68B1DB1-Normal7"/>
              <w:spacing w:after="0" w:line="240" w:lineRule="auto"/>
              <w:jc w:val="center"/>
              <w:rPr>
                <w:rFonts w:eastAsia="Times New Roman" w:cs="Calibri"/>
                <w:noProof/>
              </w:rPr>
            </w:pPr>
            <w:r>
              <w:rPr>
                <w:noProof/>
              </w:rPr>
              <w:t>5.27</w:t>
            </w:r>
          </w:p>
        </w:tc>
        <w:tc>
          <w:tcPr>
            <w:tcW w:w="1246" w:type="dxa"/>
            <w:shd w:val="clear" w:color="auto" w:fill="C4EFCE"/>
            <w:vAlign w:val="center"/>
            <w:hideMark/>
          </w:tcPr>
          <w:p w14:paraId="1806B2C1"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4044504"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42D89F6B" w14:textId="77777777" w:rsidR="00F24946" w:rsidRDefault="00613B06">
            <w:pPr>
              <w:pStyle w:val="P68B1DB1-Normal8"/>
              <w:spacing w:after="0" w:line="240" w:lineRule="auto"/>
              <w:jc w:val="center"/>
              <w:rPr>
                <w:rFonts w:eastAsia="Times New Roman" w:cs="Calibri"/>
                <w:noProof/>
              </w:rPr>
            </w:pPr>
            <w:r>
              <w:rPr>
                <w:noProof/>
              </w:rPr>
              <w:t xml:space="preserve">Začetek veljavnosti zakonske uredbe, ki ureja ukrep kapitalizacije BPF </w:t>
            </w:r>
          </w:p>
        </w:tc>
        <w:tc>
          <w:tcPr>
            <w:tcW w:w="1245" w:type="dxa"/>
            <w:shd w:val="clear" w:color="auto" w:fill="C4EFCE"/>
            <w:vAlign w:val="center"/>
            <w:hideMark/>
          </w:tcPr>
          <w:p w14:paraId="0B68941B" w14:textId="77777777" w:rsidR="00F24946" w:rsidRDefault="00613B06">
            <w:pPr>
              <w:pStyle w:val="P68B1DB1-Normal8"/>
              <w:spacing w:after="0" w:line="240" w:lineRule="auto"/>
              <w:jc w:val="center"/>
              <w:rPr>
                <w:rFonts w:eastAsia="Times New Roman" w:cs="Calibri"/>
                <w:noProof/>
              </w:rPr>
            </w:pPr>
            <w:r>
              <w:rPr>
                <w:noProof/>
              </w:rPr>
              <w:t>Začetek veljavnosti zakonske uredbe, ki ureja ukrep kapitalizacije BPF</w:t>
            </w:r>
          </w:p>
        </w:tc>
        <w:tc>
          <w:tcPr>
            <w:tcW w:w="972" w:type="dxa"/>
            <w:shd w:val="clear" w:color="auto" w:fill="C4EFCE"/>
            <w:vAlign w:val="center"/>
            <w:hideMark/>
          </w:tcPr>
          <w:p w14:paraId="4606872E"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1F8011" w14:textId="77777777" w:rsidR="00F24946" w:rsidRDefault="00613B06">
            <w:pPr>
              <w:pStyle w:val="P68B1DB1-Normal8"/>
              <w:spacing w:after="0" w:line="240" w:lineRule="auto"/>
              <w:jc w:val="center"/>
              <w:rPr>
                <w:rFonts w:eastAsia="Times New Roman" w:cs="Calibri"/>
                <w:noProof/>
              </w:rPr>
            </w:pPr>
            <w:r>
              <w:rPr>
                <w:noProof/>
              </w:rPr>
              <w:t> </w:t>
            </w:r>
          </w:p>
          <w:p w14:paraId="568C3E8E" w14:textId="77777777" w:rsidR="00F24946" w:rsidRDefault="00F24946">
            <w:pPr>
              <w:rPr>
                <w:rFonts w:ascii="Calibri" w:eastAsia="Times New Roman" w:hAnsi="Calibri" w:cs="Calibri"/>
                <w:noProof/>
                <w:sz w:val="16"/>
              </w:rPr>
            </w:pPr>
          </w:p>
          <w:p w14:paraId="4A2BB129" w14:textId="77777777" w:rsidR="00F24946" w:rsidRDefault="00F24946">
            <w:pPr>
              <w:rPr>
                <w:rFonts w:ascii="Calibri" w:eastAsia="Times New Roman" w:hAnsi="Calibri" w:cs="Calibri"/>
                <w:noProof/>
                <w:sz w:val="16"/>
              </w:rPr>
            </w:pPr>
          </w:p>
          <w:p w14:paraId="528CDCA3" w14:textId="77777777" w:rsidR="00F24946" w:rsidRDefault="00F24946">
            <w:pPr>
              <w:rPr>
                <w:rFonts w:ascii="Calibri" w:eastAsia="Times New Roman" w:hAnsi="Calibri" w:cs="Calibri"/>
                <w:noProof/>
                <w:sz w:val="16"/>
              </w:rPr>
            </w:pPr>
          </w:p>
          <w:p w14:paraId="73EBE8F6" w14:textId="77777777" w:rsidR="00F24946" w:rsidRDefault="00F24946">
            <w:pPr>
              <w:rPr>
                <w:rFonts w:ascii="Calibri" w:eastAsia="Times New Roman" w:hAnsi="Calibri" w:cs="Calibri"/>
                <w:noProof/>
                <w:sz w:val="16"/>
              </w:rPr>
            </w:pPr>
          </w:p>
          <w:p w14:paraId="037CD278" w14:textId="00F93827" w:rsidR="00F24946" w:rsidRDefault="00F24946">
            <w:pPr>
              <w:rPr>
                <w:rFonts w:ascii="Calibri" w:eastAsia="Times New Roman" w:hAnsi="Calibri" w:cs="Calibri"/>
                <w:noProof/>
                <w:sz w:val="16"/>
              </w:rPr>
            </w:pPr>
          </w:p>
        </w:tc>
        <w:tc>
          <w:tcPr>
            <w:tcW w:w="695" w:type="dxa"/>
            <w:shd w:val="clear" w:color="auto" w:fill="C4EFCE"/>
            <w:vAlign w:val="center"/>
            <w:hideMark/>
          </w:tcPr>
          <w:p w14:paraId="66A30881"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78A1E93"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vAlign w:val="center"/>
            <w:hideMark/>
          </w:tcPr>
          <w:p w14:paraId="28C39B7C" w14:textId="77777777" w:rsidR="00F24946" w:rsidRDefault="00613B06">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7330B2B8" w14:textId="77777777" w:rsidR="00F24946" w:rsidRDefault="00613B06">
            <w:pPr>
              <w:pStyle w:val="P68B1DB1-Normal8"/>
              <w:spacing w:after="0" w:line="240" w:lineRule="auto"/>
              <w:jc w:val="both"/>
              <w:rPr>
                <w:rFonts w:eastAsia="Times New Roman" w:cs="Calibri"/>
                <w:noProof/>
              </w:rPr>
            </w:pPr>
            <w:r>
              <w:rPr>
                <w:noProof/>
              </w:rPr>
              <w:t xml:space="preserve">Začetek veljavnosti zakonske uredbe, ki ureja ukrep kapitalizacije in določa potrebo po oblikovanju naložbene politike, ki med drugim določa merila za upravičenost in izbiro upravičenih podjetij  </w:t>
            </w:r>
          </w:p>
        </w:tc>
      </w:tr>
      <w:tr w:rsidR="00F24946" w14:paraId="13FEB03E" w14:textId="77777777">
        <w:trPr>
          <w:trHeight w:val="1470"/>
        </w:trPr>
        <w:tc>
          <w:tcPr>
            <w:tcW w:w="1113" w:type="dxa"/>
            <w:shd w:val="clear" w:color="auto" w:fill="C4EFCE"/>
            <w:vAlign w:val="center"/>
            <w:hideMark/>
          </w:tcPr>
          <w:p w14:paraId="2FAB9979" w14:textId="77777777" w:rsidR="00F24946" w:rsidRDefault="00613B06">
            <w:pPr>
              <w:pStyle w:val="P68B1DB1-Normal7"/>
              <w:spacing w:after="0" w:line="240" w:lineRule="auto"/>
              <w:jc w:val="center"/>
              <w:rPr>
                <w:rFonts w:eastAsia="Times New Roman" w:cs="Calibri"/>
                <w:noProof/>
              </w:rPr>
            </w:pPr>
            <w:r>
              <w:rPr>
                <w:noProof/>
              </w:rPr>
              <w:t>5.28</w:t>
            </w:r>
          </w:p>
        </w:tc>
        <w:tc>
          <w:tcPr>
            <w:tcW w:w="1246" w:type="dxa"/>
            <w:shd w:val="clear" w:color="auto" w:fill="C4EFCE"/>
            <w:vAlign w:val="center"/>
            <w:hideMark/>
          </w:tcPr>
          <w:p w14:paraId="652B7AB1"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00EB9EF"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FFFD34C" w14:textId="77777777" w:rsidR="00F24946" w:rsidRDefault="00613B06">
            <w:pPr>
              <w:pStyle w:val="P68B1DB1-Normal8"/>
              <w:spacing w:after="0" w:line="240" w:lineRule="auto"/>
              <w:jc w:val="center"/>
              <w:rPr>
                <w:rFonts w:eastAsia="Times New Roman" w:cs="Calibri"/>
                <w:noProof/>
              </w:rPr>
            </w:pPr>
            <w:r>
              <w:rPr>
                <w:noProof/>
              </w:rPr>
              <w:t> </w:t>
            </w:r>
          </w:p>
          <w:p w14:paraId="745A03C4" w14:textId="77777777" w:rsidR="00F24946" w:rsidRDefault="00613B06">
            <w:pPr>
              <w:pStyle w:val="P68B1DB1-Normal8"/>
              <w:spacing w:after="0" w:line="240" w:lineRule="auto"/>
              <w:jc w:val="center"/>
              <w:rPr>
                <w:rFonts w:eastAsia="Times New Roman" w:cs="Calibri"/>
                <w:noProof/>
              </w:rPr>
            </w:pPr>
            <w:r>
              <w:rPr>
                <w:noProof/>
              </w:rPr>
              <w:t>Razvoj naložbene politike (kapitalizacija) in sprejetje s strani upravljavca vozila</w:t>
            </w:r>
          </w:p>
        </w:tc>
        <w:tc>
          <w:tcPr>
            <w:tcW w:w="1245" w:type="dxa"/>
            <w:shd w:val="clear" w:color="auto" w:fill="C4EFCE"/>
            <w:vAlign w:val="center"/>
            <w:hideMark/>
          </w:tcPr>
          <w:p w14:paraId="3C4F6B64" w14:textId="77777777" w:rsidR="00F24946" w:rsidRDefault="00613B06">
            <w:pPr>
              <w:pStyle w:val="P68B1DB1-Normal8"/>
              <w:spacing w:after="0" w:line="240" w:lineRule="auto"/>
              <w:jc w:val="center"/>
              <w:rPr>
                <w:rFonts w:eastAsia="Times New Roman" w:cs="Calibri"/>
                <w:noProof/>
              </w:rPr>
            </w:pPr>
            <w:r>
              <w:rPr>
                <w:noProof/>
              </w:rPr>
              <w:t>Naložbena politika (kapitalizacija), ki jo je razvila BPF in jo je sprejel nosilec, ustanovljen za upravljanje deležev, ki izhajajo iz izvedenih finančnih instrumentov</w:t>
            </w:r>
          </w:p>
        </w:tc>
        <w:tc>
          <w:tcPr>
            <w:tcW w:w="972" w:type="dxa"/>
            <w:shd w:val="clear" w:color="auto" w:fill="C4EFCE"/>
            <w:vAlign w:val="center"/>
            <w:hideMark/>
          </w:tcPr>
          <w:p w14:paraId="4DD7B877"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67CC7E9A"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B21BDD4"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87C265D"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vAlign w:val="center"/>
            <w:hideMark/>
          </w:tcPr>
          <w:p w14:paraId="5DD8880A" w14:textId="77777777" w:rsidR="00F24946" w:rsidRDefault="00613B06">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41B0778D" w14:textId="77777777" w:rsidR="00F24946" w:rsidRDefault="00613B06">
            <w:pPr>
              <w:pStyle w:val="P68B1DB1-Normal8"/>
              <w:spacing w:after="0" w:line="240" w:lineRule="auto"/>
              <w:jc w:val="both"/>
              <w:rPr>
                <w:rFonts w:eastAsia="Times New Roman" w:cs="Calibri"/>
                <w:noProof/>
              </w:rPr>
            </w:pPr>
            <w:r>
              <w:rPr>
                <w:noProof/>
              </w:rPr>
              <w:t xml:space="preserve">Razvoj naložbene politike (kapitalizacija) in sprejetje s strani upravljavca vozila. BPF razvije in sprejme naložbeno politiko kot organ upravljanja nosilca, ustanovljenega za upravljanje deležev, ki izhajajo iz finančnih instrumentov, ki se izvajajo za podporo podjetjem, izbranim za upravičence, ter podrobno opredeli merila za izbor/upravičenost za podjetja, ki prejemajo podporo, pri čemer se zagotovi spoštovanje podnebnih in okoljskih zahtev mehanizma za okrevanje in odpornost, vključno s skladnostjo podprtih sredstev/dejavnosti in/ali podjetij s tehničnimi smernicami za načelo, da se ne škoduje bistveno (2021/C58/01), ter opredeli naložbene cilje in ciljno usmerjene donose. </w:t>
            </w:r>
          </w:p>
          <w:p w14:paraId="361DDA87" w14:textId="77777777" w:rsidR="00F24946" w:rsidRDefault="00613B06">
            <w:pPr>
              <w:pStyle w:val="P68B1DB1-Normal8"/>
              <w:spacing w:after="0" w:line="240" w:lineRule="auto"/>
              <w:jc w:val="both"/>
              <w:rPr>
                <w:rFonts w:eastAsia="Times New Roman" w:cs="Calibri"/>
                <w:noProof/>
              </w:rPr>
            </w:pPr>
            <w:r>
              <w:rPr>
                <w:noProof/>
              </w:rPr>
              <w:t xml:space="preserve">Za skladnost podprtih podjetij s tehničnimi smernicami za načelo, da se ne škoduje bistveno (2021/C58/01), se v naložbeni politiki zahteva: </w:t>
            </w:r>
          </w:p>
          <w:p w14:paraId="576E7270" w14:textId="77777777" w:rsidR="00F24946" w:rsidRDefault="00613B06">
            <w:pPr>
              <w:pStyle w:val="P68B1DB1-Normal8"/>
              <w:spacing w:after="0" w:line="240" w:lineRule="auto"/>
              <w:jc w:val="both"/>
              <w:rPr>
                <w:rFonts w:eastAsia="Times New Roman" w:cs="Calibri"/>
                <w:noProof/>
              </w:rPr>
            </w:pPr>
            <w:r>
              <w:rPr>
                <w:noProof/>
              </w:rPr>
              <w:t>— uporaba preverjanja trajnostnosti</w:t>
            </w:r>
          </w:p>
          <w:p w14:paraId="35D2078D" w14:textId="77777777" w:rsidR="00F24946" w:rsidRDefault="00613B06">
            <w:pPr>
              <w:pStyle w:val="P68B1DB1-Normal8"/>
              <w:spacing w:after="0" w:line="240" w:lineRule="auto"/>
              <w:jc w:val="both"/>
              <w:rPr>
                <w:rFonts w:eastAsia="Times New Roman" w:cs="Calibri"/>
                <w:noProof/>
              </w:rPr>
            </w:pPr>
            <w:r>
              <w:rPr>
                <w:noProof/>
              </w:rPr>
              <w:t xml:space="preserve">seznam izključitev, ki vsebuje naslednje elemente: </w:t>
            </w:r>
          </w:p>
          <w:p w14:paraId="4A97B8D7" w14:textId="77777777" w:rsidR="00F24946" w:rsidRDefault="00613B06">
            <w:pPr>
              <w:pStyle w:val="P68B1DB1-Normal8"/>
              <w:spacing w:after="0" w:line="240" w:lineRule="auto"/>
              <w:jc w:val="both"/>
              <w:rPr>
                <w:rFonts w:eastAsia="Times New Roman" w:cs="Calibri"/>
                <w:noProof/>
              </w:rPr>
            </w:pPr>
            <w:r>
              <w:rPr>
                <w:noProof/>
              </w:rPr>
              <w:t>Naložbe, povezane s fosilnimi gorivi (vključno z nadaljnjo uporabo), razen za toploto/energijo na osnovi zemeljskega plina v skladu s pogoji iz Priloge III k smernicam za nebistveno škodovanje</w:t>
            </w:r>
          </w:p>
          <w:p w14:paraId="10F5B1AB" w14:textId="77777777" w:rsidR="00F24946" w:rsidRDefault="00613B06">
            <w:pPr>
              <w:pStyle w:val="P68B1DB1-Normal8"/>
              <w:spacing w:after="0" w:line="240" w:lineRule="auto"/>
              <w:jc w:val="both"/>
              <w:rPr>
                <w:rFonts w:eastAsia="Times New Roman" w:cs="Calibri"/>
                <w:noProof/>
              </w:rPr>
            </w:pPr>
            <w:r>
              <w:rPr>
                <w:noProof/>
              </w:rPr>
              <w:t>Dejavnosti v okviru ETS s predvidenimi emisijami ekvivalenta CO2, ki niso nižje od ustreznih referenčnih vrednosti, določenih za brezplačno dodelitev.</w:t>
            </w:r>
          </w:p>
          <w:p w14:paraId="540A7716" w14:textId="3DF3C20F" w:rsidR="00F24946" w:rsidRDefault="00613B06">
            <w:pPr>
              <w:pStyle w:val="P68B1DB1-Normal8"/>
              <w:spacing w:after="0" w:line="240" w:lineRule="auto"/>
              <w:jc w:val="both"/>
              <w:rPr>
                <w:rFonts w:eastAsia="Times New Roman" w:cs="Calibri"/>
                <w:noProof/>
              </w:rPr>
            </w:pPr>
            <w:r>
              <w:rPr>
                <w:noProof/>
              </w:rPr>
              <w:t>Naložbe v objekte za odstranjevanje odpadkov na odlagališčih, v obratih za mehansko-biološko obdelavo (MBT) in sežigalnice za obdelavo odpadkov. Seznam izključitev se ne uporablja za obrate, ki so namenjeni izključno obdelavi nevarnih odpadkov, ki jih ni mogoče reciklirati; za obstoječe obrate, kjer je naložba namenjena povečanju energetske učinkovitosti, zajemanju izpušnih plinov za shranjevanje ali uporabo ali pridobivanju materialov iz pepela za sežiganje, pod pogojem, da take naložbe ne povzročijo povečanja zmogljivosti obrata za predelavo odpadkov ali podaljšanja življenjske dobe obrata.</w:t>
            </w:r>
          </w:p>
          <w:p w14:paraId="2D69FDF2" w14:textId="77777777" w:rsidR="00F24946" w:rsidRDefault="00613B06">
            <w:pPr>
              <w:pStyle w:val="P68B1DB1-Normal8"/>
              <w:spacing w:after="0" w:line="240" w:lineRule="auto"/>
              <w:jc w:val="both"/>
              <w:rPr>
                <w:rFonts w:eastAsia="Times New Roman" w:cs="Calibri"/>
                <w:noProof/>
              </w:rPr>
            </w:pPr>
            <w:r>
              <w:rPr>
                <w:noProof/>
              </w:rPr>
              <w:t>Dejavnosti, pri katerih lahko dolgoročno odlaganje odpadkov povzroči dolgoročno škodo okolju (npr. jedrski odpadki).</w:t>
            </w:r>
          </w:p>
          <w:p w14:paraId="23225360" w14:textId="77777777" w:rsidR="00F24946" w:rsidRDefault="00613B06">
            <w:pPr>
              <w:pStyle w:val="P68B1DB1-Normal8"/>
              <w:spacing w:after="0" w:line="240" w:lineRule="auto"/>
              <w:jc w:val="both"/>
              <w:rPr>
                <w:rFonts w:eastAsia="Times New Roman" w:cs="Calibri"/>
                <w:noProof/>
              </w:rPr>
            </w:pPr>
            <w:r>
              <w:rPr>
                <w:noProof/>
              </w:rPr>
              <w:t>Raziskave, razvoj in inovacije, namenjene zgoraj navedenim sredstvom in dejavnostim.</w:t>
            </w:r>
          </w:p>
          <w:p w14:paraId="7D9E0256" w14:textId="77777777" w:rsidR="00F24946" w:rsidRDefault="00613B06">
            <w:pPr>
              <w:pStyle w:val="P68B1DB1-Normal8"/>
              <w:spacing w:after="0" w:line="240" w:lineRule="auto"/>
              <w:jc w:val="both"/>
              <w:rPr>
                <w:rFonts w:eastAsia="Times New Roman" w:cs="Calibri"/>
                <w:noProof/>
              </w:rPr>
            </w:pPr>
            <w:r>
              <w:rPr>
                <w:noProof/>
              </w:rPr>
              <w:t>obvezna preverjanja skladnosti z zakonodajo prek BPF in/ali njenih izbranih finančnih posrednikov za transakcije, izvzete iz preverjanja trajnostnosti</w:t>
            </w:r>
          </w:p>
          <w:p w14:paraId="56E7C1B2" w14:textId="3ECBA876" w:rsidR="00F24946" w:rsidRDefault="00613B06">
            <w:pPr>
              <w:pStyle w:val="P68B1DB1-Normal8"/>
              <w:spacing w:after="0" w:line="240" w:lineRule="auto"/>
              <w:jc w:val="both"/>
              <w:rPr>
                <w:rFonts w:eastAsia="Times New Roman" w:cs="Calibri"/>
                <w:noProof/>
              </w:rPr>
            </w:pPr>
            <w:r>
              <w:rPr>
                <w:noProof/>
              </w:rPr>
              <w:t>upravičenci do podpore lastniškega kapitala, ki vsaj 50 % svojih prihodkov pridobijo iz dejavnosti, navedenih na seznamu izključitev, za sprejetje in objavo načrtov za zeleni prehod</w:t>
            </w:r>
          </w:p>
        </w:tc>
      </w:tr>
      <w:tr w:rsidR="00F24946" w14:paraId="58DAC7D8" w14:textId="77777777">
        <w:trPr>
          <w:trHeight w:val="1470"/>
        </w:trPr>
        <w:tc>
          <w:tcPr>
            <w:tcW w:w="1113" w:type="dxa"/>
            <w:shd w:val="clear" w:color="auto" w:fill="C4EFCE"/>
            <w:vAlign w:val="center"/>
          </w:tcPr>
          <w:p w14:paraId="7AAF1C31" w14:textId="2324AB83" w:rsidR="00F24946" w:rsidRDefault="00613B06">
            <w:pPr>
              <w:pStyle w:val="P68B1DB1-Normal7"/>
              <w:spacing w:after="0" w:line="240" w:lineRule="auto"/>
              <w:jc w:val="center"/>
              <w:rPr>
                <w:rFonts w:eastAsia="Times New Roman" w:cs="Calibri"/>
                <w:noProof/>
              </w:rPr>
            </w:pPr>
            <w:r>
              <w:rPr>
                <w:noProof/>
              </w:rPr>
              <w:t>5.43</w:t>
            </w:r>
          </w:p>
        </w:tc>
        <w:tc>
          <w:tcPr>
            <w:tcW w:w="1246" w:type="dxa"/>
            <w:shd w:val="clear" w:color="auto" w:fill="C4EFCE"/>
            <w:vAlign w:val="center"/>
          </w:tcPr>
          <w:p w14:paraId="2AD97864" w14:textId="565E1FAF"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tcPr>
          <w:p w14:paraId="73EC6014" w14:textId="73F26BD7" w:rsidR="00F24946" w:rsidRDefault="00613B06">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tcPr>
          <w:p w14:paraId="4E2ED19B" w14:textId="06E68B56" w:rsidR="00F24946" w:rsidRDefault="00613B06">
            <w:pPr>
              <w:pStyle w:val="P68B1DB1-Normal9"/>
              <w:spacing w:after="0" w:line="240" w:lineRule="auto"/>
              <w:jc w:val="center"/>
              <w:rPr>
                <w:rFonts w:eastAsia="Times New Roman" w:cs="Calibri"/>
                <w:noProof/>
                <w:sz w:val="16"/>
              </w:rPr>
            </w:pPr>
            <w:r>
              <w:rPr>
                <w:noProof/>
                <w:sz w:val="18"/>
              </w:rPr>
              <w:t>S pomočjo instrumenta kapitalizacije v skupnem znesku 650 000 000 EUR portugalskim nefinančnim družbam v obliki lastniškega kapitala in navideznega lastniškega kapitala v skladu s svojo naložbeno politiko</w:t>
            </w:r>
          </w:p>
        </w:tc>
        <w:tc>
          <w:tcPr>
            <w:tcW w:w="1245" w:type="dxa"/>
            <w:shd w:val="clear" w:color="auto" w:fill="C4EFCE"/>
            <w:vAlign w:val="center"/>
          </w:tcPr>
          <w:p w14:paraId="752C0856" w14:textId="06A6F4D5" w:rsidR="00F24946" w:rsidRDefault="00613B06">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tcPr>
          <w:p w14:paraId="3548D410" w14:textId="4E0B55A9" w:rsidR="00F24946" w:rsidRDefault="00613B06">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tcPr>
          <w:p w14:paraId="45FC375D" w14:textId="23E21CC6" w:rsidR="00F24946" w:rsidRDefault="00613B06">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tcPr>
          <w:p w14:paraId="77E4C48C" w14:textId="34768C61" w:rsidR="00F24946" w:rsidRDefault="00613B06">
            <w:pPr>
              <w:pStyle w:val="P68B1DB1-Normal8"/>
              <w:spacing w:after="0" w:line="240" w:lineRule="auto"/>
              <w:jc w:val="center"/>
              <w:rPr>
                <w:rFonts w:eastAsia="Times New Roman" w:cs="Calibri"/>
                <w:noProof/>
              </w:rPr>
            </w:pPr>
            <w:r>
              <w:rPr>
                <w:noProof/>
              </w:rPr>
              <w:t>650 000 000</w:t>
            </w:r>
          </w:p>
        </w:tc>
        <w:tc>
          <w:tcPr>
            <w:tcW w:w="557" w:type="dxa"/>
            <w:shd w:val="clear" w:color="auto" w:fill="C4EFCE"/>
            <w:vAlign w:val="center"/>
          </w:tcPr>
          <w:p w14:paraId="1E551FEE" w14:textId="42F444C6"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vAlign w:val="center"/>
          </w:tcPr>
          <w:p w14:paraId="42B6A4AF" w14:textId="2FFF2A1C" w:rsidR="00F24946" w:rsidRDefault="00613B06">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tcPr>
          <w:p w14:paraId="73D8A264" w14:textId="5E5DE666" w:rsidR="00F24946" w:rsidRDefault="00613B06">
            <w:pPr>
              <w:pStyle w:val="P68B1DB1-Normal8"/>
              <w:spacing w:after="0" w:line="240" w:lineRule="auto"/>
              <w:jc w:val="both"/>
              <w:rPr>
                <w:rFonts w:eastAsia="Times New Roman" w:cs="Calibri"/>
                <w:noProof/>
              </w:rPr>
            </w:pPr>
            <w:r>
              <w:rPr>
                <w:noProof/>
              </w:rPr>
              <w:t xml:space="preserve">Zagotovitev podpore v skupnem znesku 650 000 000 EUR portugalskim nefinančnim družbam v obliki lastniškega kapitala in navideznega lastniškega kapitala v skladu s prej opredeljeno naložbeno politiko, ki jo je razvila BPF, vključno z zneski, izplačanimi nefinančnim družbam kot neposredne naložbe, in zneski, dodeljenimi finančnim posrednikom kot posredne naložbe. </w:t>
            </w:r>
          </w:p>
        </w:tc>
      </w:tr>
      <w:tr w:rsidR="00F24946" w14:paraId="5D9E6171" w14:textId="77777777">
        <w:trPr>
          <w:trHeight w:val="1960"/>
        </w:trPr>
        <w:tc>
          <w:tcPr>
            <w:tcW w:w="1113" w:type="dxa"/>
            <w:shd w:val="clear" w:color="auto" w:fill="C4EFCE"/>
            <w:vAlign w:val="center"/>
            <w:hideMark/>
          </w:tcPr>
          <w:p w14:paraId="4495AE84" w14:textId="77777777" w:rsidR="00F24946" w:rsidRDefault="00613B06">
            <w:pPr>
              <w:pStyle w:val="P68B1DB1-Normal7"/>
              <w:spacing w:after="0" w:line="240" w:lineRule="auto"/>
              <w:jc w:val="center"/>
              <w:rPr>
                <w:rFonts w:eastAsia="Times New Roman" w:cs="Calibri"/>
                <w:noProof/>
              </w:rPr>
            </w:pPr>
            <w:r>
              <w:rPr>
                <w:noProof/>
              </w:rPr>
              <w:t>5.29</w:t>
            </w:r>
          </w:p>
        </w:tc>
        <w:tc>
          <w:tcPr>
            <w:tcW w:w="1246" w:type="dxa"/>
            <w:shd w:val="clear" w:color="auto" w:fill="C4EFCE"/>
            <w:vAlign w:val="center"/>
            <w:hideMark/>
          </w:tcPr>
          <w:p w14:paraId="3D54CD9A"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79606A01" w14:textId="77777777" w:rsidR="00F24946" w:rsidRDefault="00613B06">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02CF9922" w14:textId="4B68928A" w:rsidR="00F24946" w:rsidRDefault="00613B06">
            <w:pPr>
              <w:pStyle w:val="P68B1DB1-Normal9"/>
              <w:spacing w:after="0" w:line="240" w:lineRule="auto"/>
              <w:jc w:val="center"/>
              <w:rPr>
                <w:rFonts w:eastAsia="Times New Roman" w:cs="Calibri"/>
                <w:noProof/>
                <w:sz w:val="18"/>
              </w:rPr>
            </w:pPr>
            <w:r>
              <w:rPr>
                <w:noProof/>
                <w:sz w:val="18"/>
              </w:rPr>
              <w:t>S pomočjo instrumenta kapitalizacije v skupnem znesku 1 300 000 000 EUR portugalskim nefinančnim družbam v obliki lastniškega kapitala in navideznega lastniškega kapitala v skladu s svojo naložbeno politiko</w:t>
            </w:r>
          </w:p>
        </w:tc>
        <w:tc>
          <w:tcPr>
            <w:tcW w:w="1245" w:type="dxa"/>
            <w:shd w:val="clear" w:color="auto" w:fill="C4EFCE"/>
            <w:vAlign w:val="center"/>
            <w:hideMark/>
          </w:tcPr>
          <w:p w14:paraId="71326F10" w14:textId="77777777" w:rsidR="00F24946" w:rsidRDefault="00613B06">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36DB9E1E" w14:textId="77777777" w:rsidR="00F24946" w:rsidRDefault="00613B06">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hideMark/>
          </w:tcPr>
          <w:p w14:paraId="224DC5A2" w14:textId="05CA90DA" w:rsidR="00F24946" w:rsidRDefault="00613B06">
            <w:pPr>
              <w:pStyle w:val="P68B1DB1-Normal8"/>
              <w:spacing w:after="0" w:line="240" w:lineRule="auto"/>
              <w:jc w:val="center"/>
              <w:rPr>
                <w:rFonts w:eastAsia="Times New Roman" w:cs="Calibri"/>
                <w:noProof/>
              </w:rPr>
            </w:pPr>
            <w:r>
              <w:rPr>
                <w:noProof/>
              </w:rPr>
              <w:t>650 000 000</w:t>
            </w:r>
          </w:p>
        </w:tc>
        <w:tc>
          <w:tcPr>
            <w:tcW w:w="695" w:type="dxa"/>
            <w:shd w:val="clear" w:color="auto" w:fill="C4EFCE"/>
            <w:vAlign w:val="center"/>
            <w:hideMark/>
          </w:tcPr>
          <w:p w14:paraId="1CA39E70" w14:textId="25FFDE82" w:rsidR="00F24946" w:rsidRDefault="00613B06">
            <w:pPr>
              <w:pStyle w:val="P68B1DB1-Normal8"/>
              <w:spacing w:after="0" w:line="240" w:lineRule="auto"/>
              <w:jc w:val="center"/>
              <w:rPr>
                <w:rFonts w:eastAsia="Times New Roman" w:cs="Calibri"/>
                <w:noProof/>
              </w:rPr>
            </w:pPr>
            <w:r>
              <w:rPr>
                <w:noProof/>
              </w:rPr>
              <w:t>1 300 000 000</w:t>
            </w:r>
          </w:p>
        </w:tc>
        <w:tc>
          <w:tcPr>
            <w:tcW w:w="557" w:type="dxa"/>
            <w:shd w:val="clear" w:color="auto" w:fill="C4EFCE"/>
            <w:vAlign w:val="center"/>
            <w:hideMark/>
          </w:tcPr>
          <w:p w14:paraId="4C01E635"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vAlign w:val="center"/>
            <w:hideMark/>
          </w:tcPr>
          <w:p w14:paraId="7FE96FF1" w14:textId="4723B112" w:rsidR="00F24946" w:rsidRDefault="00613B06">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397877F2" w14:textId="3F4CCA05" w:rsidR="00F24946" w:rsidRDefault="00613B06">
            <w:pPr>
              <w:pStyle w:val="P68B1DB1-Normal8"/>
              <w:spacing w:after="0" w:line="240" w:lineRule="auto"/>
              <w:jc w:val="both"/>
              <w:rPr>
                <w:rFonts w:eastAsia="Times New Roman" w:cs="Calibri"/>
                <w:noProof/>
              </w:rPr>
            </w:pPr>
            <w:r>
              <w:rPr>
                <w:noProof/>
              </w:rPr>
              <w:t>Zagotovitev skupne podpore v višini 1 300 000 000 EUR (vključno s 650 000 000 EUR ciljnega zneska 5.43) portugalskim nefinančnim družbam v obliki lastniškega kapitala in navideznega lastniškega kapitala v skladu s predhodno opredeljeno naložbeno politiko, ki jo je razvila BPF in jo je sprejel nosilec, ustanovljen za upravljanje deležev, ki izhajajo iz izvedenih finančnih instrumentov. Okvirno se ocenjuje, da naj bi bilo do dokončanja načrta podprtih 1300 podjetij.</w:t>
            </w:r>
          </w:p>
        </w:tc>
      </w:tr>
      <w:tr w:rsidR="00F24946" w14:paraId="549D7570" w14:textId="77777777">
        <w:trPr>
          <w:trHeight w:val="1817"/>
        </w:trPr>
        <w:tc>
          <w:tcPr>
            <w:tcW w:w="1113" w:type="dxa"/>
            <w:shd w:val="clear" w:color="auto" w:fill="C4EFCE"/>
            <w:vAlign w:val="center"/>
            <w:hideMark/>
          </w:tcPr>
          <w:p w14:paraId="200D26C9" w14:textId="77777777" w:rsidR="00F24946" w:rsidRDefault="00613B06">
            <w:pPr>
              <w:pStyle w:val="P68B1DB1-Normal7"/>
              <w:spacing w:after="0" w:line="240" w:lineRule="auto"/>
              <w:jc w:val="center"/>
              <w:rPr>
                <w:rFonts w:eastAsia="Times New Roman" w:cs="Calibri"/>
                <w:noProof/>
              </w:rPr>
            </w:pPr>
            <w:r>
              <w:rPr>
                <w:noProof/>
              </w:rPr>
              <w:t>5.30</w:t>
            </w:r>
          </w:p>
        </w:tc>
        <w:tc>
          <w:tcPr>
            <w:tcW w:w="1246" w:type="dxa"/>
            <w:shd w:val="clear" w:color="auto" w:fill="C4EFCE"/>
            <w:vAlign w:val="center"/>
            <w:hideMark/>
          </w:tcPr>
          <w:p w14:paraId="3395B4BA"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114316E5"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74A62CD3" w14:textId="77777777" w:rsidR="00F24946" w:rsidRDefault="00613B06">
            <w:pPr>
              <w:pStyle w:val="P68B1DB1-Normal8"/>
              <w:spacing w:after="0" w:line="240" w:lineRule="auto"/>
              <w:jc w:val="center"/>
              <w:rPr>
                <w:rFonts w:eastAsia="Times New Roman" w:cs="Calibri"/>
                <w:noProof/>
              </w:rPr>
            </w:pPr>
            <w:r>
              <w:rPr>
                <w:noProof/>
              </w:rPr>
              <w:t>Obvestilo Evropski komisiji o uspešnem sprejetju stebrne ocene za BPF</w:t>
            </w:r>
          </w:p>
        </w:tc>
        <w:tc>
          <w:tcPr>
            <w:tcW w:w="1245" w:type="dxa"/>
            <w:shd w:val="clear" w:color="auto" w:fill="C4EFCE"/>
            <w:vAlign w:val="center"/>
            <w:hideMark/>
          </w:tcPr>
          <w:p w14:paraId="31EB5F65" w14:textId="77777777" w:rsidR="00F24946" w:rsidRDefault="00613B06">
            <w:pPr>
              <w:pStyle w:val="P68B1DB1-Normal8"/>
              <w:spacing w:after="0" w:line="240" w:lineRule="auto"/>
              <w:jc w:val="center"/>
              <w:rPr>
                <w:rFonts w:eastAsia="Times New Roman" w:cs="Calibri"/>
                <w:noProof/>
              </w:rPr>
            </w:pPr>
            <w:r>
              <w:rPr>
                <w:noProof/>
              </w:rPr>
              <w:t>Obvestilo Evropski komisiji o uspešnem sprejetju stebrne ocene za BPF</w:t>
            </w:r>
          </w:p>
        </w:tc>
        <w:tc>
          <w:tcPr>
            <w:tcW w:w="972" w:type="dxa"/>
            <w:shd w:val="clear" w:color="auto" w:fill="C4EFCE"/>
            <w:vAlign w:val="center"/>
            <w:hideMark/>
          </w:tcPr>
          <w:p w14:paraId="2DB76E39"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710C53F3"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0FD89EB"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9A09A9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vAlign w:val="center"/>
            <w:hideMark/>
          </w:tcPr>
          <w:p w14:paraId="41568E3C" w14:textId="77777777" w:rsidR="00F24946" w:rsidRDefault="00613B06">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09B65CF" w14:textId="1D35D77D" w:rsidR="00F24946" w:rsidRDefault="00613B06">
            <w:pPr>
              <w:pStyle w:val="P68B1DB1-Normal8"/>
              <w:spacing w:after="0" w:line="240" w:lineRule="auto"/>
              <w:jc w:val="both"/>
              <w:rPr>
                <w:rFonts w:eastAsia="Times New Roman" w:cs="Calibri"/>
                <w:noProof/>
              </w:rPr>
            </w:pPr>
            <w:r>
              <w:rPr>
                <w:noProof/>
              </w:rPr>
              <w:t>Obvestilo Evropski komisiji o uspešnem sprejetju stebrne ocene za BPF</w:t>
            </w:r>
          </w:p>
        </w:tc>
      </w:tr>
      <w:tr w:rsidR="00F24946" w14:paraId="56A32DB7" w14:textId="77777777">
        <w:trPr>
          <w:trHeight w:val="290"/>
        </w:trPr>
        <w:tc>
          <w:tcPr>
            <w:tcW w:w="1113" w:type="dxa"/>
            <w:shd w:val="clear" w:color="auto" w:fill="C4EFCE"/>
            <w:vAlign w:val="center"/>
            <w:hideMark/>
          </w:tcPr>
          <w:p w14:paraId="70D94B9B" w14:textId="77777777" w:rsidR="00F24946" w:rsidRDefault="00613B06">
            <w:pPr>
              <w:pStyle w:val="P68B1DB1-Normal7"/>
              <w:spacing w:after="0" w:line="240" w:lineRule="auto"/>
              <w:jc w:val="center"/>
              <w:rPr>
                <w:rFonts w:eastAsia="Times New Roman" w:cs="Calibri"/>
                <w:noProof/>
              </w:rPr>
            </w:pPr>
            <w:r>
              <w:rPr>
                <w:noProof/>
              </w:rPr>
              <w:t>5.31</w:t>
            </w:r>
          </w:p>
        </w:tc>
        <w:tc>
          <w:tcPr>
            <w:tcW w:w="1246" w:type="dxa"/>
            <w:shd w:val="clear" w:color="auto" w:fill="C4EFCE"/>
            <w:vAlign w:val="center"/>
            <w:hideMark/>
          </w:tcPr>
          <w:p w14:paraId="5B366953"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1738445" w14:textId="77777777" w:rsidR="00F24946" w:rsidRDefault="00613B06">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7A63337" w14:textId="4B6CFB1F" w:rsidR="00F24946" w:rsidRDefault="00613B06">
            <w:pPr>
              <w:pStyle w:val="P68B1DB1-Normal8"/>
              <w:spacing w:after="0" w:line="240" w:lineRule="auto"/>
              <w:jc w:val="center"/>
              <w:rPr>
                <w:rFonts w:eastAsia="Times New Roman" w:cs="Calibri"/>
                <w:noProof/>
              </w:rPr>
            </w:pPr>
            <w:r>
              <w:rPr>
                <w:noProof/>
              </w:rPr>
              <w:t> Kapitalski transfer v višini 250 000 000 EUR s portugalske vlade na BPF in sprejetje naložbene politike za BPF</w:t>
            </w:r>
          </w:p>
        </w:tc>
        <w:tc>
          <w:tcPr>
            <w:tcW w:w="1245" w:type="dxa"/>
            <w:shd w:val="clear" w:color="auto" w:fill="C4EFCE"/>
            <w:vAlign w:val="center"/>
            <w:hideMark/>
          </w:tcPr>
          <w:p w14:paraId="1E07B141" w14:textId="77777777" w:rsidR="00F24946" w:rsidRDefault="00613B06">
            <w:pPr>
              <w:pStyle w:val="P68B1DB1-Normal8"/>
              <w:spacing w:after="0" w:line="240" w:lineRule="auto"/>
              <w:jc w:val="center"/>
              <w:rPr>
                <w:rFonts w:eastAsia="Times New Roman" w:cs="Calibri"/>
                <w:noProof/>
              </w:rPr>
            </w:pPr>
            <w:r>
              <w:rPr>
                <w:noProof/>
              </w:rPr>
              <w:t>Povečanje kapitala in razvoj naložbene politike za BPF za izvajanje programa InvestEU ter določitev sklopa meril za upravičenost za zagotovitev izpolnjevanja ciljev mehanizma za okrevanje in odpornost</w:t>
            </w:r>
          </w:p>
        </w:tc>
        <w:tc>
          <w:tcPr>
            <w:tcW w:w="972" w:type="dxa"/>
            <w:shd w:val="clear" w:color="auto" w:fill="C4EFCE"/>
            <w:vAlign w:val="center"/>
            <w:hideMark/>
          </w:tcPr>
          <w:p w14:paraId="2827D026"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1A690ADD" w14:textId="77777777" w:rsidR="00F24946" w:rsidRDefault="00613B06">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4AD27795" w14:textId="77777777" w:rsidR="00F24946" w:rsidRDefault="00613B06">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07426AEB"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vAlign w:val="center"/>
            <w:hideMark/>
          </w:tcPr>
          <w:p w14:paraId="1A0C8068" w14:textId="77777777" w:rsidR="00F24946" w:rsidRDefault="00613B06">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6CA6D0BF" w14:textId="7FA936EF" w:rsidR="00F24946" w:rsidRDefault="00613B06">
            <w:pPr>
              <w:pStyle w:val="P68B1DB1-Normal8"/>
              <w:spacing w:after="0" w:line="240" w:lineRule="auto"/>
              <w:jc w:val="both"/>
              <w:rPr>
                <w:rFonts w:eastAsia="Times New Roman" w:cs="Calibri"/>
                <w:noProof/>
              </w:rPr>
            </w:pPr>
            <w:r>
              <w:rPr>
                <w:noProof/>
              </w:rPr>
              <w:t>Kapitalski transfer v višini 250 000 000 EUR s portugalske vlade na BPF in sprejetje naložbene politike za izvajanje programa InvestEU, ki določa sklop meril za upravičenost v skladu s cilji mehanizma za okrevanje in odpornost, vključno z načelom, da se ne škoduje bistveno, v okviru podpisa „sporazuma o jamstvu InvestEU“.</w:t>
            </w:r>
          </w:p>
        </w:tc>
      </w:tr>
      <w:tr w:rsidR="00F24946" w14:paraId="79CBF608" w14:textId="77777777">
        <w:trPr>
          <w:trHeight w:val="687"/>
        </w:trPr>
        <w:tc>
          <w:tcPr>
            <w:tcW w:w="1113" w:type="dxa"/>
            <w:shd w:val="clear" w:color="auto" w:fill="C4EFCE"/>
            <w:vAlign w:val="center"/>
            <w:hideMark/>
          </w:tcPr>
          <w:p w14:paraId="62505207" w14:textId="4798763F" w:rsidR="00F24946" w:rsidRDefault="00613B06">
            <w:pPr>
              <w:pStyle w:val="P68B1DB1-Normal7"/>
              <w:spacing w:after="0" w:line="240" w:lineRule="auto"/>
              <w:jc w:val="center"/>
              <w:rPr>
                <w:rFonts w:eastAsia="Times New Roman" w:cs="Calibri"/>
                <w:noProof/>
              </w:rPr>
            </w:pPr>
            <w:r>
              <w:rPr>
                <w:noProof/>
              </w:rPr>
              <w:t>5.32</w:t>
            </w:r>
          </w:p>
        </w:tc>
        <w:tc>
          <w:tcPr>
            <w:tcW w:w="1246" w:type="dxa"/>
            <w:shd w:val="clear" w:color="auto" w:fill="C4EFCE"/>
            <w:vAlign w:val="center"/>
            <w:hideMark/>
          </w:tcPr>
          <w:p w14:paraId="3E67B2B5" w14:textId="77777777" w:rsidR="00F24946" w:rsidRDefault="00613B06">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2B3F8D44" w14:textId="77777777" w:rsidR="00F24946" w:rsidRDefault="00613B06">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401B366E" w14:textId="77777777" w:rsidR="00F24946" w:rsidRDefault="00613B06">
            <w:pPr>
              <w:pStyle w:val="P68B1DB1-Normal8"/>
              <w:spacing w:after="0" w:line="240" w:lineRule="auto"/>
              <w:jc w:val="center"/>
              <w:rPr>
                <w:rFonts w:eastAsia="Times New Roman" w:cs="Calibri"/>
                <w:noProof/>
              </w:rPr>
            </w:pPr>
            <w:r>
              <w:rPr>
                <w:noProof/>
              </w:rPr>
              <w:t>Podpisanih je bilo 100 % jamstev, danih na voljo s povečanjem kapitala. </w:t>
            </w:r>
          </w:p>
        </w:tc>
        <w:tc>
          <w:tcPr>
            <w:tcW w:w="1245" w:type="dxa"/>
            <w:shd w:val="clear" w:color="auto" w:fill="C4EFCE"/>
            <w:vAlign w:val="center"/>
            <w:hideMark/>
          </w:tcPr>
          <w:p w14:paraId="6F03F3CC" w14:textId="77777777" w:rsidR="00F24946" w:rsidRDefault="00613B06">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05ACD126" w14:textId="77777777" w:rsidR="00F24946" w:rsidRDefault="00613B06">
            <w:pPr>
              <w:pStyle w:val="P68B1DB1-Normal8"/>
              <w:spacing w:after="0" w:line="240" w:lineRule="auto"/>
              <w:jc w:val="center"/>
              <w:rPr>
                <w:rFonts w:eastAsia="Times New Roman" w:cs="Calibri"/>
                <w:noProof/>
              </w:rPr>
            </w:pPr>
            <w:r>
              <w:rPr>
                <w:noProof/>
              </w:rPr>
              <w:t>%</w:t>
            </w:r>
          </w:p>
        </w:tc>
        <w:tc>
          <w:tcPr>
            <w:tcW w:w="971" w:type="dxa"/>
            <w:shd w:val="clear" w:color="auto" w:fill="C4EFCE"/>
            <w:vAlign w:val="center"/>
            <w:hideMark/>
          </w:tcPr>
          <w:p w14:paraId="51E051FB" w14:textId="77777777" w:rsidR="00F24946" w:rsidRDefault="00613B06">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hideMark/>
          </w:tcPr>
          <w:p w14:paraId="25B5E659" w14:textId="77777777" w:rsidR="00F24946" w:rsidRDefault="00613B06">
            <w:pPr>
              <w:pStyle w:val="P68B1DB1-Normal8"/>
              <w:spacing w:after="0" w:line="240" w:lineRule="auto"/>
              <w:jc w:val="center"/>
              <w:rPr>
                <w:rFonts w:eastAsia="Times New Roman" w:cs="Calibri"/>
                <w:noProof/>
              </w:rPr>
            </w:pPr>
            <w:r>
              <w:rPr>
                <w:noProof/>
              </w:rPr>
              <w:t>100</w:t>
            </w:r>
          </w:p>
        </w:tc>
        <w:tc>
          <w:tcPr>
            <w:tcW w:w="557" w:type="dxa"/>
            <w:shd w:val="clear" w:color="auto" w:fill="C4EFCE"/>
            <w:vAlign w:val="center"/>
            <w:hideMark/>
          </w:tcPr>
          <w:p w14:paraId="4E52A7D8"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vAlign w:val="center"/>
            <w:hideMark/>
          </w:tcPr>
          <w:p w14:paraId="53FDD632" w14:textId="77777777" w:rsidR="00F24946" w:rsidRDefault="00613B06">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4C0F1601" w14:textId="21F43E55" w:rsidR="00F24946" w:rsidRDefault="00613B06">
            <w:pPr>
              <w:pStyle w:val="P68B1DB1-Normal8"/>
              <w:spacing w:after="0" w:line="240" w:lineRule="auto"/>
              <w:jc w:val="both"/>
              <w:rPr>
                <w:rFonts w:eastAsia="Times New Roman" w:cs="Calibri"/>
                <w:noProof/>
              </w:rPr>
            </w:pPr>
            <w:r>
              <w:rPr>
                <w:noProof/>
              </w:rPr>
              <w:t>Podpisanih je bilo 100 % jamstev, danih na voljo s povečanjem kapitala.</w:t>
            </w:r>
          </w:p>
        </w:tc>
      </w:tr>
      <w:tr w:rsidR="00F24946" w14:paraId="05356182" w14:textId="77777777">
        <w:trPr>
          <w:trHeight w:val="687"/>
        </w:trPr>
        <w:tc>
          <w:tcPr>
            <w:tcW w:w="1113" w:type="dxa"/>
            <w:shd w:val="clear" w:color="auto" w:fill="C4EFCE"/>
            <w:vAlign w:val="center"/>
          </w:tcPr>
          <w:p w14:paraId="3090E32F" w14:textId="6FE74260" w:rsidR="00F24946" w:rsidRDefault="00613B06">
            <w:pPr>
              <w:pStyle w:val="P68B1DB1-Normal11"/>
              <w:spacing w:after="0" w:line="240" w:lineRule="auto"/>
              <w:jc w:val="center"/>
              <w:rPr>
                <w:rFonts w:eastAsia="Times New Roman" w:cstheme="minorHAnsi"/>
                <w:noProof/>
              </w:rPr>
            </w:pPr>
            <w:r>
              <w:rPr>
                <w:noProof/>
              </w:rPr>
              <w:t>5.44</w:t>
            </w:r>
          </w:p>
        </w:tc>
        <w:tc>
          <w:tcPr>
            <w:tcW w:w="1246" w:type="dxa"/>
            <w:shd w:val="clear" w:color="auto" w:fill="C4EFCE"/>
            <w:vAlign w:val="center"/>
          </w:tcPr>
          <w:p w14:paraId="41683FBE" w14:textId="030829FE" w:rsidR="00F24946" w:rsidRDefault="00613B06">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5762224E" w14:textId="108F9BEC" w:rsidR="00F24946" w:rsidRDefault="00613B06">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6ACAF2B5" w14:textId="51C13B47" w:rsidR="00F24946" w:rsidRDefault="00613B06">
            <w:pPr>
              <w:pStyle w:val="P68B1DB1-Normal12"/>
              <w:spacing w:after="0" w:line="240" w:lineRule="auto"/>
              <w:jc w:val="center"/>
              <w:rPr>
                <w:rFonts w:eastAsia="Times New Roman" w:cstheme="minorHAnsi"/>
                <w:noProof/>
              </w:rPr>
            </w:pPr>
            <w:r>
              <w:rPr>
                <w:noProof/>
              </w:rPr>
              <w:t xml:space="preserve"> Sklepanje pogodb za razvoj novih proizvodov, procesov ali storitev na ustreznih strateških področjih (programi inovacij).</w:t>
            </w:r>
          </w:p>
        </w:tc>
        <w:tc>
          <w:tcPr>
            <w:tcW w:w="1245" w:type="dxa"/>
            <w:shd w:val="clear" w:color="auto" w:fill="C4EFCE"/>
            <w:vAlign w:val="center"/>
          </w:tcPr>
          <w:p w14:paraId="06CE0AEF" w14:textId="1878EFC3" w:rsidR="00F24946" w:rsidRDefault="00F24946">
            <w:pPr>
              <w:spacing w:after="0" w:line="240" w:lineRule="auto"/>
              <w:jc w:val="center"/>
              <w:rPr>
                <w:rFonts w:eastAsia="Times New Roman" w:cstheme="minorHAnsi"/>
                <w:noProof/>
                <w:sz w:val="16"/>
              </w:rPr>
            </w:pPr>
          </w:p>
        </w:tc>
        <w:tc>
          <w:tcPr>
            <w:tcW w:w="972" w:type="dxa"/>
            <w:shd w:val="clear" w:color="auto" w:fill="C4EFCE"/>
            <w:vAlign w:val="center"/>
          </w:tcPr>
          <w:p w14:paraId="29862BFF" w14:textId="4B1AB547" w:rsidR="00F24946" w:rsidRDefault="00613B06">
            <w:pPr>
              <w:pStyle w:val="P68B1DB1-Normal12"/>
              <w:spacing w:after="0" w:line="240" w:lineRule="auto"/>
              <w:jc w:val="center"/>
              <w:rPr>
                <w:rFonts w:eastAsia="Times New Roman" w:cstheme="minorHAnsi"/>
                <w:noProof/>
              </w:rPr>
            </w:pPr>
            <w:r>
              <w:rPr>
                <w:noProof/>
              </w:rPr>
              <w:t>Število</w:t>
            </w:r>
          </w:p>
        </w:tc>
        <w:tc>
          <w:tcPr>
            <w:tcW w:w="971" w:type="dxa"/>
            <w:shd w:val="clear" w:color="auto" w:fill="C4EFCE"/>
            <w:vAlign w:val="center"/>
          </w:tcPr>
          <w:p w14:paraId="1B529FD1" w14:textId="362CE58C" w:rsidR="00F24946" w:rsidRDefault="00613B06">
            <w:pPr>
              <w:pStyle w:val="P68B1DB1-Normal12"/>
              <w:spacing w:after="0" w:line="240" w:lineRule="auto"/>
              <w:jc w:val="center"/>
              <w:rPr>
                <w:rFonts w:eastAsia="Times New Roman" w:cstheme="minorHAnsi"/>
                <w:noProof/>
              </w:rPr>
            </w:pPr>
            <w:r>
              <w:rPr>
                <w:noProof/>
              </w:rPr>
              <w:t>12</w:t>
            </w:r>
          </w:p>
        </w:tc>
        <w:tc>
          <w:tcPr>
            <w:tcW w:w="695" w:type="dxa"/>
            <w:shd w:val="clear" w:color="auto" w:fill="C4EFCE"/>
            <w:vAlign w:val="center"/>
          </w:tcPr>
          <w:p w14:paraId="4BC9E805" w14:textId="18636895" w:rsidR="00F24946" w:rsidRDefault="00613B06">
            <w:pPr>
              <w:pStyle w:val="P68B1DB1-Normal12"/>
              <w:spacing w:after="0" w:line="240" w:lineRule="auto"/>
              <w:jc w:val="center"/>
              <w:rPr>
                <w:rFonts w:eastAsia="Times New Roman" w:cstheme="minorHAnsi"/>
                <w:noProof/>
              </w:rPr>
            </w:pPr>
            <w:r>
              <w:rPr>
                <w:noProof/>
              </w:rPr>
              <w:t>28</w:t>
            </w:r>
          </w:p>
        </w:tc>
        <w:tc>
          <w:tcPr>
            <w:tcW w:w="557" w:type="dxa"/>
            <w:shd w:val="clear" w:color="auto" w:fill="C4EFCE"/>
            <w:vAlign w:val="center"/>
          </w:tcPr>
          <w:p w14:paraId="1BD6F284" w14:textId="712C7DF4" w:rsidR="00F24946" w:rsidRDefault="00613B06">
            <w:pPr>
              <w:pStyle w:val="P68B1DB1-Normal12"/>
              <w:spacing w:after="0" w:line="240" w:lineRule="auto"/>
              <w:jc w:val="center"/>
              <w:rPr>
                <w:rFonts w:eastAsia="Times New Roman"/>
                <w:noProof/>
              </w:rPr>
            </w:pPr>
            <w:r>
              <w:rPr>
                <w:noProof/>
              </w:rPr>
              <w:t>Q2</w:t>
            </w:r>
          </w:p>
        </w:tc>
        <w:tc>
          <w:tcPr>
            <w:tcW w:w="694" w:type="dxa"/>
            <w:shd w:val="clear" w:color="auto" w:fill="C4EFCE"/>
            <w:vAlign w:val="center"/>
          </w:tcPr>
          <w:p w14:paraId="20227E9B" w14:textId="71A93C0E" w:rsidR="00F24946" w:rsidRDefault="00613B06">
            <w:pPr>
              <w:pStyle w:val="P68B1DB1-Normal12"/>
              <w:spacing w:after="0" w:line="240" w:lineRule="auto"/>
              <w:jc w:val="center"/>
              <w:rPr>
                <w:rFonts w:eastAsia="Times New Roman" w:cstheme="minorHAnsi"/>
                <w:noProof/>
              </w:rPr>
            </w:pPr>
            <w:r>
              <w:rPr>
                <w:noProof/>
              </w:rPr>
              <w:t>2023</w:t>
            </w:r>
          </w:p>
        </w:tc>
        <w:tc>
          <w:tcPr>
            <w:tcW w:w="4908" w:type="dxa"/>
            <w:shd w:val="clear" w:color="auto" w:fill="C4EFCE"/>
            <w:vAlign w:val="center"/>
          </w:tcPr>
          <w:p w14:paraId="0471D376" w14:textId="7728B231" w:rsidR="00F24946" w:rsidRDefault="00613B06">
            <w:pPr>
              <w:pStyle w:val="P68B1DB1-Bodytext1013"/>
              <w:spacing w:after="0"/>
              <w:jc w:val="both"/>
              <w:rPr>
                <w:rFonts w:cstheme="minorHAnsi"/>
                <w:noProof/>
              </w:rPr>
            </w:pPr>
            <w:r>
              <w:rPr>
                <w:noProof/>
              </w:rPr>
              <w:t>Sklenitev 16 dodatnih pogodb (inovacijski pakti ali projekti mobilizacije) s konzorciji, ki vključujejo:</w:t>
            </w:r>
          </w:p>
          <w:p w14:paraId="1DC9F869" w14:textId="77777777" w:rsidR="00F24946" w:rsidRDefault="00613B06">
            <w:pPr>
              <w:pStyle w:val="P68B1DB1-Bodytext1013"/>
              <w:spacing w:after="0"/>
              <w:jc w:val="both"/>
              <w:rPr>
                <w:rFonts w:cstheme="minorHAnsi"/>
                <w:noProof/>
              </w:rPr>
            </w:pPr>
            <w:r>
              <w:rPr>
                <w:noProof/>
              </w:rPr>
              <w:t>• Opredelitev subjektov v sestavi konzorcija;</w:t>
            </w:r>
          </w:p>
          <w:p w14:paraId="684BA3DE" w14:textId="77777777" w:rsidR="00F24946" w:rsidRDefault="00613B06">
            <w:pPr>
              <w:pStyle w:val="P68B1DB1-Bodytext1013"/>
              <w:spacing w:after="0"/>
              <w:jc w:val="both"/>
              <w:rPr>
                <w:rFonts w:cstheme="minorHAnsi"/>
                <w:noProof/>
              </w:rPr>
            </w:pPr>
            <w:r>
              <w:rPr>
                <w:noProof/>
              </w:rPr>
              <w:t>• Poslovni načrt/naložba;</w:t>
            </w:r>
          </w:p>
          <w:p w14:paraId="38DA5FAE" w14:textId="77777777" w:rsidR="00F24946" w:rsidRDefault="00613B06">
            <w:pPr>
              <w:pStyle w:val="P68B1DB1-Bodytext1013"/>
              <w:spacing w:after="0"/>
              <w:jc w:val="both"/>
              <w:rPr>
                <w:rFonts w:cstheme="minorHAnsi"/>
                <w:noProof/>
              </w:rPr>
            </w:pPr>
            <w:r>
              <w:rPr>
                <w:noProof/>
              </w:rPr>
              <w:t>• znesek financiranja;</w:t>
            </w:r>
          </w:p>
          <w:p w14:paraId="2C955C7F" w14:textId="77777777" w:rsidR="00F24946" w:rsidRDefault="00613B06">
            <w:pPr>
              <w:pStyle w:val="P68B1DB1-Bodytext1013"/>
              <w:spacing w:after="0"/>
              <w:jc w:val="both"/>
              <w:rPr>
                <w:rFonts w:cstheme="minorHAnsi"/>
                <w:noProof/>
              </w:rPr>
            </w:pPr>
            <w:r>
              <w:rPr>
                <w:noProof/>
              </w:rPr>
              <w:t>• Cilje, h katerim je upravičenec zavezan;</w:t>
            </w:r>
          </w:p>
          <w:p w14:paraId="790A3625" w14:textId="77777777" w:rsidR="00F24946" w:rsidRDefault="00613B06">
            <w:pPr>
              <w:pStyle w:val="P68B1DB1-Bodytext1013"/>
              <w:spacing w:after="0"/>
              <w:jc w:val="both"/>
              <w:rPr>
                <w:rFonts w:cstheme="minorHAnsi"/>
                <w:noProof/>
              </w:rPr>
            </w:pPr>
            <w:r>
              <w:rPr>
                <w:noProof/>
              </w:rPr>
              <w:t xml:space="preserve">• Oblika spremljanja. </w:t>
            </w:r>
          </w:p>
          <w:p w14:paraId="17CC2A9F" w14:textId="76A7D5F0" w:rsidR="00F24946" w:rsidRDefault="00613B06">
            <w:pPr>
              <w:pStyle w:val="P68B1DB1-Bodytext1013"/>
              <w:spacing w:after="0"/>
              <w:jc w:val="both"/>
              <w:rPr>
                <w:rFonts w:cstheme="minorHAnsi"/>
                <w:noProof/>
              </w:rPr>
            </w:pPr>
            <w:r>
              <w:rPr>
                <w:noProof/>
              </w:rPr>
              <w:t>Pogodbe podpirajo skupno najmanj 446 proizvodov, postopkov ali storitev (SKM). Mandat vključuje merila za upravičenost, ki zagotavljajo, da so izbrani projekti skladni s tehničnimi smernicami za uporabo načela, da se ne škoduje bistveno (2021/C58/01), in sicer z uporabo seznama za izključitev in zahtevo po skladnosti z ustrezno okoljsko zakonodajo EU in nacionalno okoljsko zakonodajo.</w:t>
            </w:r>
          </w:p>
          <w:p w14:paraId="0E8BCEEF" w14:textId="6D75360C" w:rsidR="00F24946" w:rsidRDefault="00613B06">
            <w:pPr>
              <w:pStyle w:val="P68B1DB1-Bodytext1013"/>
              <w:spacing w:after="0"/>
              <w:jc w:val="both"/>
              <w:rPr>
                <w:rFonts w:cstheme="minorHAnsi"/>
                <w:noProof/>
              </w:rPr>
            </w:pPr>
            <w:r>
              <w:rPr>
                <w:noProof/>
              </w:rPr>
              <w:t>Pogodbe dopolnjujejo pogodbe, ki se izvajajo v RE-C05-i01.01 in RE-C05-i09.</w:t>
            </w:r>
          </w:p>
          <w:p w14:paraId="665FD32D" w14:textId="15DAACE9" w:rsidR="00F24946" w:rsidRDefault="00613B06">
            <w:pPr>
              <w:pStyle w:val="P68B1DB1-Normal12"/>
              <w:spacing w:after="0" w:line="240" w:lineRule="auto"/>
              <w:jc w:val="both"/>
              <w:rPr>
                <w:rFonts w:eastAsia="Times New Roman" w:cstheme="minorHAnsi"/>
                <w:noProof/>
              </w:rPr>
            </w:pPr>
            <w:r>
              <w:rPr>
                <w:noProof/>
              </w:rPr>
              <w:t>Vsaj 366 SKM se uskladi s področjem posredovanja 021 (prenos tehnologije in sodelovanje med podjetji, raziskovalnimi središči in izobraževalnim sektorjem).</w:t>
            </w:r>
          </w:p>
        </w:tc>
      </w:tr>
      <w:tr w:rsidR="00F24946" w14:paraId="400ED1E3" w14:textId="77777777">
        <w:trPr>
          <w:trHeight w:val="687"/>
        </w:trPr>
        <w:tc>
          <w:tcPr>
            <w:tcW w:w="1113" w:type="dxa"/>
            <w:shd w:val="clear" w:color="auto" w:fill="C4EFCE"/>
            <w:vAlign w:val="center"/>
          </w:tcPr>
          <w:p w14:paraId="44700B14" w14:textId="1C6F6D95" w:rsidR="00F24946" w:rsidRDefault="00613B06">
            <w:pPr>
              <w:pStyle w:val="P68B1DB1-Normal11"/>
              <w:spacing w:after="0" w:line="240" w:lineRule="auto"/>
              <w:jc w:val="center"/>
              <w:rPr>
                <w:rFonts w:eastAsia="Times New Roman" w:cstheme="minorHAnsi"/>
                <w:noProof/>
              </w:rPr>
            </w:pPr>
            <w:r>
              <w:rPr>
                <w:noProof/>
              </w:rPr>
              <w:t>5.45</w:t>
            </w:r>
          </w:p>
        </w:tc>
        <w:tc>
          <w:tcPr>
            <w:tcW w:w="1246" w:type="dxa"/>
            <w:shd w:val="clear" w:color="auto" w:fill="C4EFCE"/>
            <w:vAlign w:val="center"/>
          </w:tcPr>
          <w:p w14:paraId="1965DF86" w14:textId="22F6F593" w:rsidR="00F24946" w:rsidRDefault="00613B06">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743CE8AD" w14:textId="093BC448" w:rsidR="00F24946" w:rsidRDefault="00613B06">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5FB71C3F" w14:textId="67C84415" w:rsidR="00F24946" w:rsidRDefault="00613B06">
            <w:pPr>
              <w:pStyle w:val="P68B1DB1-Normal12"/>
              <w:spacing w:after="0" w:line="240" w:lineRule="auto"/>
              <w:jc w:val="center"/>
              <w:rPr>
                <w:rFonts w:eastAsia="Times New Roman" w:cstheme="minorHAnsi"/>
                <w:noProof/>
              </w:rPr>
            </w:pPr>
            <w:r>
              <w:rPr>
                <w:noProof/>
              </w:rPr>
              <w:t xml:space="preserve">Dokončanje 446 izdelkov, procesov ali storitev.  </w:t>
            </w:r>
          </w:p>
        </w:tc>
        <w:tc>
          <w:tcPr>
            <w:tcW w:w="1245" w:type="dxa"/>
            <w:shd w:val="clear" w:color="auto" w:fill="C4EFCE"/>
            <w:vAlign w:val="center"/>
          </w:tcPr>
          <w:p w14:paraId="0EC39034" w14:textId="02271F16" w:rsidR="00F24946" w:rsidRDefault="00F24946">
            <w:pPr>
              <w:spacing w:after="0" w:line="240" w:lineRule="auto"/>
              <w:jc w:val="center"/>
              <w:rPr>
                <w:rFonts w:eastAsia="Times New Roman" w:cstheme="minorHAnsi"/>
                <w:noProof/>
                <w:sz w:val="16"/>
              </w:rPr>
            </w:pPr>
          </w:p>
        </w:tc>
        <w:tc>
          <w:tcPr>
            <w:tcW w:w="972" w:type="dxa"/>
            <w:shd w:val="clear" w:color="auto" w:fill="C4EFCE"/>
            <w:vAlign w:val="center"/>
          </w:tcPr>
          <w:p w14:paraId="7F7FE345" w14:textId="61337074" w:rsidR="00F24946" w:rsidRDefault="00613B06">
            <w:pPr>
              <w:pStyle w:val="P68B1DB1-Normal12"/>
              <w:spacing w:after="0" w:line="240" w:lineRule="auto"/>
              <w:jc w:val="center"/>
              <w:rPr>
                <w:rFonts w:eastAsia="Times New Roman" w:cstheme="minorHAnsi"/>
                <w:noProof/>
              </w:rPr>
            </w:pPr>
            <w:r>
              <w:rPr>
                <w:noProof/>
              </w:rPr>
              <w:t>Število</w:t>
            </w:r>
          </w:p>
        </w:tc>
        <w:tc>
          <w:tcPr>
            <w:tcW w:w="971" w:type="dxa"/>
            <w:shd w:val="clear" w:color="auto" w:fill="C4EFCE"/>
            <w:vAlign w:val="center"/>
          </w:tcPr>
          <w:p w14:paraId="683EB9BC" w14:textId="43DAD693" w:rsidR="00F24946" w:rsidRDefault="00613B06">
            <w:pPr>
              <w:pStyle w:val="P68B1DB1-Normal12"/>
              <w:spacing w:after="0" w:line="240" w:lineRule="auto"/>
              <w:jc w:val="center"/>
              <w:rPr>
                <w:rFonts w:eastAsia="Times New Roman" w:cstheme="minorHAnsi"/>
                <w:noProof/>
              </w:rPr>
            </w:pPr>
            <w:r>
              <w:rPr>
                <w:noProof/>
              </w:rPr>
              <w:t>228</w:t>
            </w:r>
          </w:p>
        </w:tc>
        <w:tc>
          <w:tcPr>
            <w:tcW w:w="695" w:type="dxa"/>
            <w:shd w:val="clear" w:color="auto" w:fill="C4EFCE"/>
            <w:vAlign w:val="center"/>
          </w:tcPr>
          <w:p w14:paraId="49686240" w14:textId="4EF220DE" w:rsidR="00F24946" w:rsidRDefault="00613B06">
            <w:pPr>
              <w:pStyle w:val="P68B1DB1-Normal12"/>
              <w:spacing w:after="0" w:line="240" w:lineRule="auto"/>
              <w:jc w:val="center"/>
              <w:rPr>
                <w:rFonts w:eastAsia="Times New Roman" w:cstheme="minorHAnsi"/>
                <w:noProof/>
              </w:rPr>
            </w:pPr>
            <w:r>
              <w:rPr>
                <w:noProof/>
              </w:rPr>
              <w:t>674</w:t>
            </w:r>
          </w:p>
        </w:tc>
        <w:tc>
          <w:tcPr>
            <w:tcW w:w="557" w:type="dxa"/>
            <w:shd w:val="clear" w:color="auto" w:fill="C4EFCE"/>
            <w:vAlign w:val="center"/>
          </w:tcPr>
          <w:p w14:paraId="448DFBE1" w14:textId="16712C51" w:rsidR="00F24946" w:rsidRDefault="00613B06">
            <w:pPr>
              <w:pStyle w:val="P68B1DB1-Normal12"/>
              <w:spacing w:after="0" w:line="240" w:lineRule="auto"/>
              <w:jc w:val="center"/>
              <w:rPr>
                <w:rFonts w:eastAsia="Times New Roman" w:cstheme="minorHAnsi"/>
                <w:noProof/>
              </w:rPr>
            </w:pPr>
            <w:r>
              <w:rPr>
                <w:noProof/>
              </w:rPr>
              <w:t>Q4</w:t>
            </w:r>
          </w:p>
        </w:tc>
        <w:tc>
          <w:tcPr>
            <w:tcW w:w="694" w:type="dxa"/>
            <w:shd w:val="clear" w:color="auto" w:fill="C4EFCE"/>
            <w:vAlign w:val="center"/>
          </w:tcPr>
          <w:p w14:paraId="1604BD49" w14:textId="0EBDE02B" w:rsidR="00F24946" w:rsidRDefault="00613B06">
            <w:pPr>
              <w:pStyle w:val="P68B1DB1-Normal12"/>
              <w:spacing w:after="0" w:line="240" w:lineRule="auto"/>
              <w:jc w:val="center"/>
              <w:rPr>
                <w:rFonts w:eastAsia="Times New Roman" w:cstheme="minorHAnsi"/>
                <w:noProof/>
              </w:rPr>
            </w:pPr>
            <w:r>
              <w:rPr>
                <w:noProof/>
              </w:rPr>
              <w:t>2025</w:t>
            </w:r>
          </w:p>
        </w:tc>
        <w:tc>
          <w:tcPr>
            <w:tcW w:w="4908" w:type="dxa"/>
            <w:shd w:val="clear" w:color="auto" w:fill="C4EFCE"/>
            <w:vAlign w:val="center"/>
          </w:tcPr>
          <w:p w14:paraId="5A087616" w14:textId="5F4C7337" w:rsidR="00F24946" w:rsidRDefault="00613B06">
            <w:pPr>
              <w:pStyle w:val="P68B1DB1-Normal12"/>
              <w:spacing w:after="0" w:line="240" w:lineRule="auto"/>
              <w:jc w:val="both"/>
              <w:rPr>
                <w:noProof/>
              </w:rPr>
            </w:pPr>
            <w:r>
              <w:rPr>
                <w:noProof/>
              </w:rPr>
              <w:t xml:space="preserve">Dokončanje 446 proizvodov, postopkov ali storitev (SKM) na ustreznih strateških področjih, ki izhajajo iz izvajanja pogodb (inovacijski pakti ali mobilizacija projektov), sklenjenih s konzorciji. </w:t>
            </w:r>
          </w:p>
          <w:p w14:paraId="5870609D" w14:textId="5F4C7337" w:rsidR="00F24946" w:rsidRDefault="00613B06">
            <w:pPr>
              <w:pStyle w:val="P68B1DB1-Bodytext1013"/>
              <w:spacing w:after="0"/>
              <w:jc w:val="both"/>
              <w:rPr>
                <w:rFonts w:cstheme="minorBidi"/>
                <w:noProof/>
              </w:rPr>
            </w:pPr>
            <w:r>
              <w:rPr>
                <w:noProof/>
              </w:rPr>
              <w:t>SKM je dodatek k PPS, ki se izvaja v RE-C05-i01.01 in RE-C05-i09.</w:t>
            </w:r>
          </w:p>
          <w:p w14:paraId="4EDE4521" w14:textId="4E974DF6" w:rsidR="00F24946" w:rsidRDefault="00613B06">
            <w:pPr>
              <w:pStyle w:val="P68B1DB1-Bodytext1013"/>
              <w:spacing w:after="0"/>
              <w:jc w:val="both"/>
              <w:rPr>
                <w:rFonts w:cstheme="minorBidi"/>
                <w:noProof/>
              </w:rPr>
            </w:pPr>
            <w:r>
              <w:rPr>
                <w:noProof/>
              </w:rPr>
              <w:t>Vsaj 366 SKM se uskladi s področjem intervencije 021.</w:t>
            </w:r>
          </w:p>
        </w:tc>
      </w:tr>
      <w:tr w:rsidR="00F24946" w14:paraId="1381D009" w14:textId="77777777">
        <w:trPr>
          <w:trHeight w:val="687"/>
        </w:trPr>
        <w:tc>
          <w:tcPr>
            <w:tcW w:w="1113" w:type="dxa"/>
            <w:shd w:val="clear" w:color="auto" w:fill="C4EFCE"/>
            <w:vAlign w:val="center"/>
          </w:tcPr>
          <w:p w14:paraId="0CB16054" w14:textId="510C0E6F" w:rsidR="00F24946" w:rsidRDefault="00613B06">
            <w:pPr>
              <w:pStyle w:val="P68B1DB1-Normal11"/>
              <w:spacing w:after="0" w:line="240" w:lineRule="auto"/>
              <w:jc w:val="center"/>
              <w:rPr>
                <w:rFonts w:cstheme="minorHAnsi"/>
                <w:noProof/>
              </w:rPr>
            </w:pPr>
            <w:r>
              <w:rPr>
                <w:noProof/>
              </w:rPr>
              <w:t>5.46</w:t>
            </w:r>
          </w:p>
        </w:tc>
        <w:tc>
          <w:tcPr>
            <w:tcW w:w="1246" w:type="dxa"/>
            <w:shd w:val="clear" w:color="auto" w:fill="C4EFCE"/>
            <w:vAlign w:val="center"/>
          </w:tcPr>
          <w:p w14:paraId="0BC93575" w14:textId="3FBAAA80" w:rsidR="00F24946" w:rsidRDefault="00613B06">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41149329" w14:textId="1C872CA1" w:rsidR="00F24946" w:rsidRDefault="00613B06">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4D5E5493" w14:textId="40D04039" w:rsidR="00F24946" w:rsidRDefault="00613B06">
            <w:pPr>
              <w:pStyle w:val="P68B1DB1-Normal12"/>
              <w:spacing w:after="0" w:line="240" w:lineRule="auto"/>
              <w:jc w:val="center"/>
              <w:rPr>
                <w:rFonts w:cstheme="minorHAnsi"/>
                <w:noProof/>
              </w:rPr>
            </w:pPr>
            <w:r>
              <w:rPr>
                <w:noProof/>
              </w:rPr>
              <w:t>Sklepanje pogodb za razvoj novih proizvodov, procesov ali storitev na strateških področjih, pomembnih za nizkoogljično gospodarstvo, odpornost in prilagajanje podnebnim spremembam.</w:t>
            </w:r>
          </w:p>
        </w:tc>
        <w:tc>
          <w:tcPr>
            <w:tcW w:w="1245" w:type="dxa"/>
            <w:shd w:val="clear" w:color="auto" w:fill="C4EFCE"/>
            <w:vAlign w:val="center"/>
          </w:tcPr>
          <w:p w14:paraId="36DF6C96" w14:textId="790B5427" w:rsidR="00F24946" w:rsidRDefault="00613B06">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34558086" w14:textId="42A84CA3" w:rsidR="00F24946" w:rsidRDefault="00613B06">
            <w:pPr>
              <w:pStyle w:val="P68B1DB1-Normal12"/>
              <w:spacing w:after="0" w:line="240" w:lineRule="auto"/>
              <w:jc w:val="center"/>
              <w:rPr>
                <w:rFonts w:cstheme="minorHAnsi"/>
                <w:noProof/>
              </w:rPr>
            </w:pPr>
            <w:r>
              <w:rPr>
                <w:noProof/>
              </w:rPr>
              <w:t>Število</w:t>
            </w:r>
          </w:p>
        </w:tc>
        <w:tc>
          <w:tcPr>
            <w:tcW w:w="971" w:type="dxa"/>
            <w:shd w:val="clear" w:color="auto" w:fill="C4EFCE"/>
            <w:vAlign w:val="center"/>
          </w:tcPr>
          <w:p w14:paraId="4F3059D7" w14:textId="4D90D56B" w:rsidR="00F24946" w:rsidRDefault="00613B06">
            <w:pPr>
              <w:pStyle w:val="P68B1DB1-Normal12"/>
              <w:spacing w:after="0" w:line="240" w:lineRule="auto"/>
              <w:jc w:val="center"/>
              <w:rPr>
                <w:rFonts w:cstheme="minorHAnsi"/>
                <w:noProof/>
              </w:rPr>
            </w:pPr>
            <w:r>
              <w:rPr>
                <w:noProof/>
              </w:rPr>
              <w:t>10</w:t>
            </w:r>
          </w:p>
        </w:tc>
        <w:tc>
          <w:tcPr>
            <w:tcW w:w="695" w:type="dxa"/>
            <w:shd w:val="clear" w:color="auto" w:fill="C4EFCE"/>
            <w:vAlign w:val="center"/>
          </w:tcPr>
          <w:p w14:paraId="0CF359B0" w14:textId="59145B12" w:rsidR="00F24946" w:rsidRDefault="00613B06">
            <w:pPr>
              <w:pStyle w:val="P68B1DB1-Normal12"/>
              <w:spacing w:after="0" w:line="240" w:lineRule="auto"/>
              <w:jc w:val="center"/>
              <w:rPr>
                <w:rFonts w:cstheme="minorHAnsi"/>
                <w:noProof/>
              </w:rPr>
            </w:pPr>
            <w:r>
              <w:rPr>
                <w:noProof/>
              </w:rPr>
              <w:t>20</w:t>
            </w:r>
          </w:p>
        </w:tc>
        <w:tc>
          <w:tcPr>
            <w:tcW w:w="557" w:type="dxa"/>
            <w:shd w:val="clear" w:color="auto" w:fill="C4EFCE"/>
            <w:vAlign w:val="center"/>
          </w:tcPr>
          <w:p w14:paraId="6EC45A79" w14:textId="7FEEEA6B" w:rsidR="00F24946" w:rsidRDefault="00613B06">
            <w:pPr>
              <w:pStyle w:val="P68B1DB1-Normal12"/>
              <w:spacing w:after="0" w:line="240" w:lineRule="auto"/>
              <w:jc w:val="center"/>
              <w:rPr>
                <w:noProof/>
              </w:rPr>
            </w:pPr>
            <w:r>
              <w:rPr>
                <w:noProof/>
              </w:rPr>
              <w:t>Q3</w:t>
            </w:r>
          </w:p>
        </w:tc>
        <w:tc>
          <w:tcPr>
            <w:tcW w:w="694" w:type="dxa"/>
            <w:shd w:val="clear" w:color="auto" w:fill="C4EFCE"/>
            <w:vAlign w:val="center"/>
          </w:tcPr>
          <w:p w14:paraId="7DCFD43B" w14:textId="7189AC27" w:rsidR="00F24946" w:rsidRDefault="00613B06">
            <w:pPr>
              <w:pStyle w:val="P68B1DB1-Normal12"/>
              <w:spacing w:after="0" w:line="240" w:lineRule="auto"/>
              <w:jc w:val="center"/>
              <w:rPr>
                <w:rFonts w:cstheme="minorHAnsi"/>
                <w:noProof/>
              </w:rPr>
            </w:pPr>
            <w:r>
              <w:rPr>
                <w:noProof/>
              </w:rPr>
              <w:t>2023</w:t>
            </w:r>
          </w:p>
        </w:tc>
        <w:tc>
          <w:tcPr>
            <w:tcW w:w="4908" w:type="dxa"/>
            <w:shd w:val="clear" w:color="auto" w:fill="C4EFCE"/>
            <w:vAlign w:val="center"/>
          </w:tcPr>
          <w:p w14:paraId="499E39FF" w14:textId="08A34CB6" w:rsidR="00F24946" w:rsidRDefault="00613B06">
            <w:pPr>
              <w:pStyle w:val="P68B1DB1-Bodytext1013"/>
              <w:spacing w:after="0"/>
              <w:rPr>
                <w:rFonts w:cstheme="minorHAnsi"/>
                <w:noProof/>
              </w:rPr>
            </w:pPr>
            <w:r>
              <w:rPr>
                <w:noProof/>
              </w:rPr>
              <w:t>Sklenitev desetih dodatnih pogodb (inovacijski pakti ali mobilizacija projektov) s konzorciji, ki vključujejo:</w:t>
            </w:r>
          </w:p>
          <w:p w14:paraId="5623BFC8" w14:textId="77777777" w:rsidR="00F24946" w:rsidRDefault="00613B06">
            <w:pPr>
              <w:pStyle w:val="P68B1DB1-Bodytext1013"/>
              <w:spacing w:after="0"/>
              <w:rPr>
                <w:rFonts w:cstheme="minorHAnsi"/>
                <w:noProof/>
              </w:rPr>
            </w:pPr>
            <w:r>
              <w:rPr>
                <w:noProof/>
              </w:rPr>
              <w:t>• Opredelitev subjektov v sestavi konzorcija;</w:t>
            </w:r>
          </w:p>
          <w:p w14:paraId="348134D2" w14:textId="77777777" w:rsidR="00F24946" w:rsidRDefault="00613B06">
            <w:pPr>
              <w:pStyle w:val="P68B1DB1-Bodytext1013"/>
              <w:spacing w:after="0"/>
              <w:rPr>
                <w:rFonts w:cstheme="minorHAnsi"/>
                <w:noProof/>
              </w:rPr>
            </w:pPr>
            <w:r>
              <w:rPr>
                <w:noProof/>
              </w:rPr>
              <w:t>• Poslovni načrt/naložba;</w:t>
            </w:r>
          </w:p>
          <w:p w14:paraId="5BD43BF9" w14:textId="77777777" w:rsidR="00F24946" w:rsidRDefault="00613B06">
            <w:pPr>
              <w:pStyle w:val="P68B1DB1-Bodytext1013"/>
              <w:spacing w:after="0"/>
              <w:rPr>
                <w:rFonts w:cstheme="minorHAnsi"/>
                <w:noProof/>
              </w:rPr>
            </w:pPr>
            <w:r>
              <w:rPr>
                <w:noProof/>
              </w:rPr>
              <w:t>• Znesek financiranja;</w:t>
            </w:r>
          </w:p>
          <w:p w14:paraId="780D9792" w14:textId="77777777" w:rsidR="00F24946" w:rsidRDefault="00613B06">
            <w:pPr>
              <w:pStyle w:val="P68B1DB1-Bodytext1013"/>
              <w:spacing w:after="0"/>
              <w:rPr>
                <w:rFonts w:cstheme="minorHAnsi"/>
                <w:noProof/>
              </w:rPr>
            </w:pPr>
            <w:r>
              <w:rPr>
                <w:noProof/>
              </w:rPr>
              <w:t>• Cilje, h katerim je upravičenec zavezan;</w:t>
            </w:r>
          </w:p>
          <w:p w14:paraId="3C7CAD42" w14:textId="77777777" w:rsidR="00F24946" w:rsidRDefault="00613B06">
            <w:pPr>
              <w:pStyle w:val="P68B1DB1-Bodytext1013"/>
              <w:spacing w:after="0"/>
              <w:rPr>
                <w:rFonts w:cstheme="minorHAnsi"/>
                <w:noProof/>
              </w:rPr>
            </w:pPr>
            <w:r>
              <w:rPr>
                <w:noProof/>
              </w:rPr>
              <w:t xml:space="preserve">• Oblika spremljanja. </w:t>
            </w:r>
          </w:p>
          <w:p w14:paraId="160F8223" w14:textId="6794DDB5" w:rsidR="00F24946" w:rsidRDefault="00613B06">
            <w:pPr>
              <w:pStyle w:val="P68B1DB1-Bodytext1013"/>
              <w:spacing w:after="0"/>
              <w:rPr>
                <w:rFonts w:cstheme="minorHAnsi"/>
                <w:noProof/>
              </w:rPr>
            </w:pPr>
            <w:r>
              <w:rPr>
                <w:noProof/>
              </w:rPr>
              <w:t xml:space="preserve">Pogodbe podpirajo skupno najmanj 147 proizvodov, postopkov ali storitev in so usklajene s področjem posredovanja 022 (procesi raziskav in inovacij, prenos tehnologije in sodelovanje med podjetji s poudarkom na nizkoogljičnem gospodarstvu ter odpornosti in prilagajanju podnebnim spremembam). </w:t>
            </w:r>
          </w:p>
          <w:p w14:paraId="6C00454A" w14:textId="77777777" w:rsidR="00F24946" w:rsidRDefault="00613B06">
            <w:pPr>
              <w:pStyle w:val="P68B1DB1-Bodytext1013"/>
              <w:spacing w:after="0"/>
              <w:rPr>
                <w:rFonts w:cstheme="minorHAnsi"/>
                <w:noProof/>
              </w:rPr>
            </w:pPr>
            <w:r>
              <w:rPr>
                <w:noProof/>
              </w:rPr>
              <w:t>Mandat vključuje merila za upravičenost, ki zagotavljajo, da so izbrani projekti skladni s tehničnimi smernicami za uporabo načela, da se ne škoduje bistveno (2021/C58/01), in sicer z uporabo seznama za izključitev in zahtevo po skladnosti z ustrezno okoljsko zakonodajo EU in nacionalno okoljsko zakonodajo.</w:t>
            </w:r>
          </w:p>
          <w:p w14:paraId="290DDA70" w14:textId="5F629E0E" w:rsidR="00F24946" w:rsidRDefault="00613B06">
            <w:pPr>
              <w:pStyle w:val="P68B1DB1-Normal12"/>
              <w:spacing w:after="0" w:line="240" w:lineRule="auto"/>
              <w:jc w:val="both"/>
              <w:rPr>
                <w:rFonts w:cstheme="minorHAnsi"/>
                <w:noProof/>
              </w:rPr>
            </w:pPr>
            <w:r>
              <w:rPr>
                <w:noProof/>
              </w:rPr>
              <w:t>Pogodbe dopolnjujejo pogodbe, ki se izvajajo v RE-C05-i01.02 in RE-C05-i10.</w:t>
            </w:r>
          </w:p>
        </w:tc>
      </w:tr>
      <w:tr w:rsidR="00F24946" w14:paraId="7431C32C" w14:textId="77777777">
        <w:trPr>
          <w:trHeight w:val="274"/>
        </w:trPr>
        <w:tc>
          <w:tcPr>
            <w:tcW w:w="1113" w:type="dxa"/>
            <w:shd w:val="clear" w:color="auto" w:fill="C4EFCE"/>
            <w:vAlign w:val="center"/>
          </w:tcPr>
          <w:p w14:paraId="32CF2A49" w14:textId="78E07266" w:rsidR="00F24946" w:rsidRDefault="00613B06">
            <w:pPr>
              <w:pStyle w:val="P68B1DB1-Normal11"/>
              <w:spacing w:after="0" w:line="240" w:lineRule="auto"/>
              <w:jc w:val="center"/>
              <w:rPr>
                <w:rFonts w:cstheme="minorHAnsi"/>
                <w:noProof/>
              </w:rPr>
            </w:pPr>
            <w:r>
              <w:rPr>
                <w:noProof/>
              </w:rPr>
              <w:t>5.47</w:t>
            </w:r>
          </w:p>
        </w:tc>
        <w:tc>
          <w:tcPr>
            <w:tcW w:w="1246" w:type="dxa"/>
            <w:shd w:val="clear" w:color="auto" w:fill="C4EFCE"/>
            <w:vAlign w:val="center"/>
          </w:tcPr>
          <w:p w14:paraId="509613B3" w14:textId="1F733358" w:rsidR="00F24946" w:rsidRDefault="00613B06">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287EAA6C" w14:textId="37007893" w:rsidR="00F24946" w:rsidRDefault="00613B06">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1E5CB665" w14:textId="105B9A4D" w:rsidR="00F24946" w:rsidRDefault="00613B06">
            <w:pPr>
              <w:pStyle w:val="P68B1DB1-Normal12"/>
              <w:spacing w:after="0" w:line="240" w:lineRule="auto"/>
              <w:jc w:val="center"/>
              <w:rPr>
                <w:rFonts w:cstheme="minorHAnsi"/>
                <w:noProof/>
              </w:rPr>
            </w:pPr>
            <w:r>
              <w:rPr>
                <w:noProof/>
              </w:rPr>
              <w:t>Dokončani proizvodi, procesi ali storitve v zvezi z nizkoogljičnim gospodarstvom, odpornostjo in prilagajanjem podnebnim spremembam.</w:t>
            </w:r>
          </w:p>
        </w:tc>
        <w:tc>
          <w:tcPr>
            <w:tcW w:w="1245" w:type="dxa"/>
            <w:shd w:val="clear" w:color="auto" w:fill="C4EFCE"/>
            <w:vAlign w:val="center"/>
          </w:tcPr>
          <w:p w14:paraId="65CE0D44" w14:textId="2FFC40CA" w:rsidR="00F24946" w:rsidRDefault="00613B06">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2CDFDBF8" w14:textId="7B4E4CC9" w:rsidR="00F24946" w:rsidRDefault="00613B06">
            <w:pPr>
              <w:pStyle w:val="P68B1DB1-Normal12"/>
              <w:spacing w:after="0" w:line="240" w:lineRule="auto"/>
              <w:jc w:val="center"/>
              <w:rPr>
                <w:rFonts w:cstheme="minorHAnsi"/>
                <w:noProof/>
              </w:rPr>
            </w:pPr>
            <w:r>
              <w:rPr>
                <w:noProof/>
              </w:rPr>
              <w:t>Število</w:t>
            </w:r>
          </w:p>
        </w:tc>
        <w:tc>
          <w:tcPr>
            <w:tcW w:w="971" w:type="dxa"/>
            <w:shd w:val="clear" w:color="auto" w:fill="C4EFCE"/>
            <w:vAlign w:val="center"/>
          </w:tcPr>
          <w:p w14:paraId="23069303" w14:textId="0D9C234C" w:rsidR="00F24946" w:rsidRDefault="00613B06">
            <w:pPr>
              <w:pStyle w:val="P68B1DB1-Normal12"/>
              <w:spacing w:after="0" w:line="240" w:lineRule="auto"/>
              <w:jc w:val="center"/>
              <w:rPr>
                <w:rFonts w:cstheme="minorHAnsi"/>
                <w:noProof/>
              </w:rPr>
            </w:pPr>
            <w:r>
              <w:rPr>
                <w:noProof/>
              </w:rPr>
              <w:t>138</w:t>
            </w:r>
          </w:p>
        </w:tc>
        <w:tc>
          <w:tcPr>
            <w:tcW w:w="695" w:type="dxa"/>
            <w:shd w:val="clear" w:color="auto" w:fill="C4EFCE"/>
            <w:vAlign w:val="center"/>
          </w:tcPr>
          <w:p w14:paraId="4E428C5E" w14:textId="639B2AE1" w:rsidR="00F24946" w:rsidRDefault="00613B06">
            <w:pPr>
              <w:pStyle w:val="P68B1DB1-Normal12"/>
              <w:spacing w:after="0" w:line="240" w:lineRule="auto"/>
              <w:jc w:val="center"/>
              <w:rPr>
                <w:rFonts w:cstheme="minorHAnsi"/>
                <w:noProof/>
              </w:rPr>
            </w:pPr>
            <w:r>
              <w:rPr>
                <w:noProof/>
              </w:rPr>
              <w:t>285</w:t>
            </w:r>
          </w:p>
        </w:tc>
        <w:tc>
          <w:tcPr>
            <w:tcW w:w="557" w:type="dxa"/>
            <w:shd w:val="clear" w:color="auto" w:fill="C4EFCE"/>
            <w:vAlign w:val="center"/>
          </w:tcPr>
          <w:p w14:paraId="6A0FC76A" w14:textId="3251ADDE" w:rsidR="00F24946" w:rsidRDefault="00613B06">
            <w:pPr>
              <w:pStyle w:val="P68B1DB1-Normal12"/>
              <w:spacing w:after="0" w:line="240" w:lineRule="auto"/>
              <w:jc w:val="center"/>
              <w:rPr>
                <w:rFonts w:cstheme="minorHAnsi"/>
                <w:noProof/>
              </w:rPr>
            </w:pPr>
            <w:r>
              <w:rPr>
                <w:noProof/>
              </w:rPr>
              <w:t>Q4</w:t>
            </w:r>
          </w:p>
        </w:tc>
        <w:tc>
          <w:tcPr>
            <w:tcW w:w="694" w:type="dxa"/>
            <w:shd w:val="clear" w:color="auto" w:fill="C4EFCE"/>
            <w:vAlign w:val="center"/>
          </w:tcPr>
          <w:p w14:paraId="7A622278" w14:textId="0287DEB1" w:rsidR="00F24946" w:rsidRDefault="00613B06">
            <w:pPr>
              <w:pStyle w:val="P68B1DB1-Normal12"/>
              <w:spacing w:after="0" w:line="240" w:lineRule="auto"/>
              <w:jc w:val="center"/>
              <w:rPr>
                <w:rFonts w:cstheme="minorHAnsi"/>
                <w:noProof/>
              </w:rPr>
            </w:pPr>
            <w:r>
              <w:rPr>
                <w:noProof/>
              </w:rPr>
              <w:t>2025</w:t>
            </w:r>
          </w:p>
        </w:tc>
        <w:tc>
          <w:tcPr>
            <w:tcW w:w="4908" w:type="dxa"/>
            <w:shd w:val="clear" w:color="auto" w:fill="C4EFCE"/>
            <w:vAlign w:val="center"/>
          </w:tcPr>
          <w:p w14:paraId="1F263104" w14:textId="3DB158C4" w:rsidR="00F24946" w:rsidRDefault="00613B06">
            <w:pPr>
              <w:pStyle w:val="P68B1DB1-Normal12"/>
              <w:spacing w:after="0" w:line="240" w:lineRule="auto"/>
              <w:jc w:val="both"/>
              <w:rPr>
                <w:noProof/>
              </w:rPr>
            </w:pPr>
            <w:r>
              <w:rPr>
                <w:noProof/>
              </w:rPr>
              <w:t>Dokončanje 147 proizvodov, postopkov ali storitev, ki izhajajo iz izvajanja pogodb (inovacijski pakti ali mobilizacija projektov), sklenjenih s konzorciji, kar je usklajeno s področjem ukrepanja 022 (procesi raziskav in inovacij, prenos tehnologije in sodelovanje med podjetji s poudarkom na nizkoogljičnem gospodarstvu ter odpornosti in prilagajanju podnebnim spremembam).</w:t>
            </w:r>
          </w:p>
          <w:p w14:paraId="21D14431" w14:textId="0F5CE763" w:rsidR="00F24946" w:rsidRDefault="00613B06">
            <w:pPr>
              <w:pStyle w:val="P68B1DB1-Normal12"/>
              <w:spacing w:after="0" w:line="240" w:lineRule="auto"/>
              <w:jc w:val="both"/>
              <w:rPr>
                <w:noProof/>
              </w:rPr>
            </w:pPr>
            <w:r>
              <w:rPr>
                <w:noProof/>
              </w:rPr>
              <w:t>PPS je dodatek k PPS, ki se izvaja v RE-C05-i01.02 in RE-C05-i10.</w:t>
            </w:r>
          </w:p>
        </w:tc>
      </w:tr>
    </w:tbl>
    <w:p w14:paraId="58F116A2" w14:textId="5535E252"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1134" w:right="1134" w:bottom="1134" w:left="1134" w:header="567" w:footer="567" w:gutter="0"/>
          <w:cols w:space="720"/>
          <w:docGrid w:linePitch="360"/>
        </w:sectPr>
      </w:pPr>
    </w:p>
    <w:p w14:paraId="33FE1FD1"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F. KOMPONENTA 6: Kvalifikacije ter znanja in spretnosti</w:t>
      </w:r>
    </w:p>
    <w:p w14:paraId="37175C09"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 Portugalskem je imelo leta 2020 44,5 % prebivalstva, starega od 25 do 64 let, nizko stopnjo izobrazbe, kar je precej nad povprečjem EU, ki znaša 25,0 %. Poleg tega je delež prebivalstva z osnovnimi digitalnimi znanji in spretnostmi ali pa interneta ni nikoli uporabljal, zelo visok. Prav tako so segmentacija trga dela in neravnovesje med spoloma pri plačah in poklicnih možnostih glede na standarde EU še vedno visoki. </w:t>
      </w:r>
    </w:p>
    <w:p w14:paraId="1632873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obravnava številne izzive, povezane z razmeroma nizko stopnjo izobrazbe in dosežene izobrazbe, udeležbo v vseživljenjskem učenju, segmentacijo trga dela, odpravo upravnih ovir na področju visoko reguliranih poklicev, pripravo na izzive, povezane s prihodnostjo dela ter enakostjo spolov in enakimi možnostmi. </w:t>
      </w:r>
    </w:p>
    <w:p w14:paraId="2B79D01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Cilji komponente so široki, zajemajo pa usposabljanje in izpopolnjevanje, nekatera ozka grla v poslovnem okolju, segmentacijo trga dela, uravnoteženo zastopanost spolov in enake možnosti. Kar zadeva proizvodni potencial, se ta komponenta osredotoča na ukrepe za zvišanje nizkih ravni kvalifikacij in izboljšanje vseživljenjskega učenja z reformo sistemov izobraževanja ter poklicnega izobraževanja in usposabljanja, spodbujanje prenosa znanja med univerzami/javnimi raziskovalnimi organizacijami in podjetji ter zmanjšanje omejitev v visoko reguliranih poklicih ob hkratni krepitvi konkurenčnosti pri zagotavljanju poslovnih storitev. V njem so predstavljeni tudi ukrepi za obravnavo različnih načel evropskega stebra socialnih pravic, kot so delovna razmerja in pravice delavcev z netipičnimi pogodbami o zaposlitvi do dostopa, finančna podpora za spodbujanje vključevanja brezposelnih s stalno in kakovostno zaposlitvijo ter razvoj portugalskega standarda za sistem upravljanja enakega plačila. </w:t>
      </w:r>
    </w:p>
    <w:p w14:paraId="7B3132B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je usklajena z glavnimi pobudami politike EU, kot sta evropski program znanj in spretnosti, priporočilo Sveta z naslovom Poti izpopolnjevanja: Nove priložnosti za odrasle (Priporočilo Sveta 2016/C 484/01), priporočilo Sveta o poklicnem izobraževanju in usposabljanju za trajnostno konkurenčnost, socialno pravičnost in odpornost (Priporočilo Sveta 2020/C 417/01) in okrepljeno jamstvo za mlade ter pobude za evropski izobraževalni prostor in evropski raziskovalni prostor. </w:t>
      </w:r>
    </w:p>
    <w:p w14:paraId="29744677" w14:textId="77777777" w:rsidR="00F24946" w:rsidRDefault="00613B06">
      <w:pPr>
        <w:pStyle w:val="P68B1DB1-Normal4"/>
        <w:keepNext/>
        <w:spacing w:before="40" w:after="0" w:line="259" w:lineRule="auto"/>
        <w:jc w:val="both"/>
        <w:rPr>
          <w:rFonts w:eastAsiaTheme="minorEastAsia" w:cs="Times New Roman"/>
          <w:noProof/>
        </w:rPr>
      </w:pPr>
      <w:r>
        <w:rPr>
          <w:noProof/>
        </w:rPr>
        <w:t>Komponenta obravnava priporočila za posamezne države, da se sprejmejo vsi potrebni ukrepi za učinkovit odziv na pandemijo, ohranitev gospodarstva in podporo okrevanju, ki bo sledilo (priporočilo za posamezno državo št. 1 2020); sprejme ukrepe za obravnavo segmentacije trga dela (priporočilo za posamezno državo št. 2 iz leta 2019); izboljšati raven znanj in spretnosti prebivalstva, zlasti njihove digitalne pismenosti, tudi tako, da izobraževanje odraslih bolj ustreza potrebam trga dela (priporočilo za posamezno državo št. 2 iz leta 2019); povečati število visokošolskih diplomantov, zlasti na področju znanosti in informacijske tehnologije (priporočilo za posamezno državo št. 2 2019); podpirati uporabo digitalnih tehnologij za zagotovitev enakega dostopa do kakovostnega izobraževanja in usposabljanja (priporočilo za posamezno državo št. 2 2020); spodbujanje konkurenčnosti podjetij (priporočilo za posamezno državo št. 2 2020); osredotočiti se na ekonomsko politiko, povezano z naložbami, na področju raziskav in inovacij (priporočilo za posamezno državo št. 3 iz leta 2019); ter pripravi načrt za zmanjšanje omejitev v visoko reguliranih poklicih (priporočilo za posamezno državo št. 4 iz leta 2019).</w:t>
      </w:r>
    </w:p>
    <w:p w14:paraId="6CC019E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20AF52A5" w14:textId="17B25CD3" w:rsidR="00F24946" w:rsidRDefault="00F24946">
      <w:pPr>
        <w:keepNext/>
        <w:spacing w:before="40" w:after="0" w:line="259" w:lineRule="auto"/>
        <w:jc w:val="both"/>
        <w:rPr>
          <w:rFonts w:ascii="Times New Roman" w:eastAsiaTheme="minorEastAsia" w:hAnsi="Times New Roman" w:cs="Times New Roman"/>
          <w:noProof/>
          <w:sz w:val="24"/>
        </w:rPr>
      </w:pPr>
    </w:p>
    <w:p w14:paraId="309FC685" w14:textId="7C8FBB2C" w:rsidR="00F24946" w:rsidRDefault="00F24946">
      <w:pPr>
        <w:keepNext/>
        <w:spacing w:before="40" w:after="0" w:line="259" w:lineRule="auto"/>
        <w:jc w:val="both"/>
        <w:rPr>
          <w:rFonts w:ascii="Times New Roman" w:eastAsiaTheme="minorEastAsia" w:hAnsi="Times New Roman" w:cs="Times New Roman"/>
          <w:noProof/>
          <w:sz w:val="24"/>
        </w:rPr>
      </w:pPr>
    </w:p>
    <w:p w14:paraId="310C858A" w14:textId="486BD107" w:rsidR="00F24946" w:rsidRDefault="00F24946">
      <w:pPr>
        <w:keepNext/>
        <w:spacing w:before="40" w:after="0" w:line="259" w:lineRule="auto"/>
        <w:jc w:val="both"/>
        <w:rPr>
          <w:rFonts w:ascii="Times New Roman" w:eastAsiaTheme="minorEastAsia" w:hAnsi="Times New Roman" w:cs="Times New Roman"/>
          <w:noProof/>
          <w:sz w:val="24"/>
        </w:rPr>
      </w:pPr>
    </w:p>
    <w:p w14:paraId="6B3EE7D6"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1024A9A" w14:textId="77777777" w:rsidR="00F24946" w:rsidRDefault="00613B06">
      <w:pPr>
        <w:pStyle w:val="P68B1DB1-Normal3"/>
        <w:spacing w:before="40" w:after="0" w:line="259" w:lineRule="auto"/>
        <w:ind w:left="130" w:firstLine="720"/>
        <w:jc w:val="both"/>
        <w:outlineLvl w:val="2"/>
        <w:rPr>
          <w:rFonts w:eastAsiaTheme="minorEastAsia" w:cs="Times New Roman"/>
          <w:i/>
          <w:noProof/>
        </w:rPr>
      </w:pPr>
      <w:r>
        <w:rPr>
          <w:noProof/>
        </w:rPr>
        <w:t>F.1. Opis reform in naložb za nepovratno finančno podporo</w:t>
      </w:r>
    </w:p>
    <w:p w14:paraId="4FF4B46F"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Reforma RE-r14: Reforma poklicnega izobraževanja in usposabljanja</w:t>
      </w:r>
    </w:p>
    <w:p w14:paraId="79BAF2E5"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reforme je posodobiti izobraževalne sisteme ter sisteme poklicnega izobraževanja in usposabljanja, da bi izboljšali nizko stopnjo izobrazbe in kvalifikacij ter visoko število delavcev, ki nimajo osnovnih in digitalnih znanj in spretnosti, prilagodili ponudbo znanj in spretnosti sedanjim in prihodnjim potrebam trga dela ter razširili priložnosti za izobraževanje, usposabljanje in vseživljenjsko učenje. </w:t>
      </w:r>
    </w:p>
    <w:p w14:paraId="14052811" w14:textId="77777777" w:rsidR="00F24946" w:rsidRDefault="00613B06">
      <w:pPr>
        <w:pStyle w:val="P68B1DB1-Normal4"/>
        <w:spacing w:before="40" w:after="0" w:line="259" w:lineRule="auto"/>
        <w:jc w:val="both"/>
        <w:rPr>
          <w:rFonts w:eastAsiaTheme="minorEastAsia" w:cs="Times New Roman"/>
          <w:noProof/>
        </w:rPr>
      </w:pPr>
      <w:r>
        <w:rPr>
          <w:noProof/>
        </w:rPr>
        <w:t xml:space="preserve">Reforma vključuje ukrepe za: </w:t>
      </w:r>
    </w:p>
    <w:p w14:paraId="24DEC4CE" w14:textId="77777777" w:rsidR="00F24946" w:rsidRDefault="00613B06">
      <w:pPr>
        <w:pStyle w:val="P68B1DB1-Normal4"/>
        <w:keepNext/>
        <w:numPr>
          <w:ilvl w:val="0"/>
          <w:numId w:val="43"/>
        </w:numPr>
        <w:spacing w:before="40" w:after="160" w:line="259" w:lineRule="auto"/>
        <w:contextualSpacing/>
        <w:jc w:val="both"/>
        <w:rPr>
          <w:rFonts w:eastAsiaTheme="minorEastAsia" w:cs="Times New Roman"/>
          <w:noProof/>
        </w:rPr>
      </w:pPr>
      <w:r>
        <w:rPr>
          <w:noProof/>
        </w:rPr>
        <w:t>okrepiti splošno usklajevanje politik na področju izobraževanja in poklicnega izobraževanja in usposabljanja;</w:t>
      </w:r>
    </w:p>
    <w:p w14:paraId="1130E842" w14:textId="77777777" w:rsidR="00F24946" w:rsidRDefault="00613B06">
      <w:pPr>
        <w:pStyle w:val="P68B1DB1-Normal4"/>
        <w:keepNext/>
        <w:numPr>
          <w:ilvl w:val="0"/>
          <w:numId w:val="43"/>
        </w:numPr>
        <w:spacing w:before="40" w:after="160" w:line="259" w:lineRule="auto"/>
        <w:contextualSpacing/>
        <w:jc w:val="both"/>
        <w:rPr>
          <w:rFonts w:eastAsiaTheme="minorEastAsia" w:cs="Times New Roman"/>
          <w:noProof/>
        </w:rPr>
      </w:pPr>
      <w:r>
        <w:rPr>
          <w:noProof/>
        </w:rPr>
        <w:t>posodobitev ponudbe poklicnega izobraževanja in usposabljanja, ki jo ureja nacionalni katalog kvalifikacij (CNQ), na podlagi predvidevanja potreb sistema kvalifikacij, predvidene diagnoze v podporo posodabljanju nacionalnih kvalifikacij in racionalizaciji sektorskih svetov za kvalifikacije;</w:t>
      </w:r>
    </w:p>
    <w:p w14:paraId="1C4AE227" w14:textId="77777777" w:rsidR="00F24946" w:rsidRDefault="00613B06">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upoštevati potrebe trga dela in pojav novih znanj in spretnosti/poklicev; </w:t>
      </w:r>
    </w:p>
    <w:p w14:paraId="51098704" w14:textId="6BB416EA" w:rsidR="00F24946" w:rsidRDefault="00613B06">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izboljšati možnosti nizko usposobljenega prebivalstva z oblikovanjem ponudbe usposabljanja, osredotočenega na pismenost odraslih (ki se bo izvajala v okviru C06-i03: Spodbude za odrasle); </w:t>
      </w:r>
    </w:p>
    <w:p w14:paraId="1EF91E24" w14:textId="77777777" w:rsidR="00F24946" w:rsidRDefault="00613B06">
      <w:pPr>
        <w:pStyle w:val="P68B1DB1-Normal4"/>
        <w:keepNext/>
        <w:numPr>
          <w:ilvl w:val="0"/>
          <w:numId w:val="43"/>
        </w:numPr>
        <w:spacing w:before="40" w:after="160" w:line="259" w:lineRule="auto"/>
        <w:contextualSpacing/>
        <w:jc w:val="both"/>
        <w:rPr>
          <w:rFonts w:eastAsiaTheme="minorEastAsia" w:cs="Times New Roman"/>
          <w:noProof/>
        </w:rPr>
      </w:pPr>
      <w:r>
        <w:rPr>
          <w:noProof/>
        </w:rPr>
        <w:t>spodbujanje lokalnega razvoja in teritorialne kohezije ter zmanjšanje socialno-ekonomskih neenakosti s prerazporeditvijo mreže poklicnega izobraževanja in usposabljanja.</w:t>
      </w:r>
    </w:p>
    <w:p w14:paraId="758D803D" w14:textId="77777777" w:rsidR="00F24946" w:rsidRDefault="00613B06">
      <w:pPr>
        <w:pStyle w:val="P68B1DB1-Normal4"/>
        <w:spacing w:before="40" w:after="0" w:line="259" w:lineRule="auto"/>
        <w:jc w:val="both"/>
        <w:rPr>
          <w:rFonts w:eastAsiaTheme="minorEastAsia" w:cs="Times New Roman"/>
          <w:noProof/>
        </w:rPr>
      </w:pPr>
      <w:r>
        <w:rPr>
          <w:noProof/>
        </w:rPr>
        <w:t xml:space="preserve">Reforma se izvede do 31. decembra 2025. </w:t>
      </w:r>
    </w:p>
    <w:p w14:paraId="507D918E"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Reforma RE-r15: Reforma sodelovanja med visokošolskim izobraževanjem ter javno upravo in podjetji</w:t>
      </w:r>
    </w:p>
    <w:p w14:paraId="7C45D5EA"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reforme je spodbuditi javno-zasebne dogovore o sodelovanju v programih izobraževanja in usposabljanja, da bi se odzvali na potrebe trga dela in dvojni prehod, vključno z razvojem podiplomskih strokovnih programov (poklicni magistrski študij) izključno za študente s predhodnimi poklicnimi izkušnjami in ponudbo kratkotrajnih terciarnih programov iz politehnike (znanih kot višji strokovni strokovni študij). </w:t>
      </w:r>
    </w:p>
    <w:p w14:paraId="1E2C7057" w14:textId="77777777" w:rsidR="00F24946" w:rsidRDefault="00613B06">
      <w:pPr>
        <w:pStyle w:val="P68B1DB1-Normal4"/>
        <w:spacing w:before="40" w:after="0" w:line="259" w:lineRule="auto"/>
        <w:jc w:val="both"/>
        <w:rPr>
          <w:rFonts w:eastAsiaTheme="minorEastAsia" w:cs="Times New Roman"/>
          <w:noProof/>
        </w:rPr>
      </w:pPr>
      <w:r>
        <w:rPr>
          <w:noProof/>
        </w:rPr>
        <w:t>Reformo sestavljajo:</w:t>
      </w:r>
    </w:p>
    <w:p w14:paraId="29DE76AC" w14:textId="77777777" w:rsidR="00F24946" w:rsidRDefault="00613B06">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zakonodajni akt, ki uvaja posebne natečaje za sprejem v visokošolsko izobraževanje za nosilce dualnega srednješolskega izobraževanja in specializiranih umetniških tečajev;</w:t>
      </w:r>
    </w:p>
    <w:p w14:paraId="567B7FBF" w14:textId="77777777" w:rsidR="00F24946" w:rsidRDefault="00613B06">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pregled pravnega in institucionalnega okvira, ki ureja sodelovanje visokošolskih institucij z javno upravo in podjetji, vključno s koraki za:</w:t>
      </w:r>
    </w:p>
    <w:p w14:paraId="5AE0A55E" w14:textId="77777777" w:rsidR="00F24946" w:rsidRDefault="00613B06">
      <w:pPr>
        <w:pStyle w:val="P68B1DB1-Normal4"/>
        <w:numPr>
          <w:ilvl w:val="1"/>
          <w:numId w:val="44"/>
        </w:numPr>
        <w:spacing w:before="40" w:after="160" w:line="259" w:lineRule="auto"/>
        <w:contextualSpacing/>
        <w:jc w:val="both"/>
        <w:rPr>
          <w:rFonts w:eastAsiaTheme="minorEastAsia" w:cs="Times New Roman"/>
          <w:noProof/>
        </w:rPr>
      </w:pPr>
      <w:r>
        <w:rPr>
          <w:noProof/>
        </w:rPr>
        <w:t>spodbujanje medinstitucionalnega sodelovanja med visokošolskimi institucijami in podjetji ter privabljanje odraslih študentov in razširitev pokritosti na celinska območja;</w:t>
      </w:r>
    </w:p>
    <w:p w14:paraId="7734DEF6" w14:textId="77777777" w:rsidR="00F24946" w:rsidRDefault="00613B06">
      <w:pPr>
        <w:pStyle w:val="P68B1DB1-Normal4"/>
        <w:numPr>
          <w:ilvl w:val="1"/>
          <w:numId w:val="44"/>
        </w:numPr>
        <w:spacing w:before="40" w:after="160" w:line="259" w:lineRule="auto"/>
        <w:contextualSpacing/>
        <w:jc w:val="both"/>
        <w:rPr>
          <w:rFonts w:eastAsiaTheme="minorEastAsia" w:cs="Times New Roman"/>
          <w:noProof/>
        </w:rPr>
      </w:pPr>
      <w:r>
        <w:rPr>
          <w:noProof/>
        </w:rPr>
        <w:t>sodelovalna partnerstva, ki spodbujajo široko ponudbo visokošolskih programov, vključno s kratkimi programi usposabljanja, dodiplomskimi, magistrskimi in doktorskimi diplomami;</w:t>
      </w:r>
    </w:p>
    <w:p w14:paraId="425A7F13" w14:textId="77777777" w:rsidR="00F24946" w:rsidRDefault="00613B06">
      <w:pPr>
        <w:pStyle w:val="P68B1DB1-Normal4"/>
        <w:numPr>
          <w:ilvl w:val="1"/>
          <w:numId w:val="44"/>
        </w:numPr>
        <w:spacing w:before="40" w:after="160" w:line="259" w:lineRule="auto"/>
        <w:contextualSpacing/>
        <w:jc w:val="both"/>
        <w:rPr>
          <w:rFonts w:eastAsiaTheme="minorEastAsia" w:cs="Times New Roman"/>
          <w:noProof/>
        </w:rPr>
      </w:pPr>
      <w:r>
        <w:rPr>
          <w:noProof/>
        </w:rPr>
        <w:t>povečati ponudbo kratkoročnih strokovnih tečajev na visoki ravni, ki jih upravljajo politehnične visokošolske ustanove, v tesnem sodelovanju z javnimi in zasebnimi subjekti;</w:t>
      </w:r>
    </w:p>
    <w:p w14:paraId="24C9D18C" w14:textId="77777777" w:rsidR="00F24946" w:rsidRDefault="00613B06">
      <w:pPr>
        <w:pStyle w:val="P68B1DB1-Normal4"/>
        <w:keepNext/>
        <w:numPr>
          <w:ilvl w:val="1"/>
          <w:numId w:val="44"/>
        </w:numPr>
        <w:spacing w:before="40" w:after="160" w:line="259" w:lineRule="auto"/>
        <w:contextualSpacing/>
        <w:jc w:val="both"/>
        <w:rPr>
          <w:rFonts w:eastAsiaTheme="minorEastAsia" w:cs="Times New Roman"/>
          <w:noProof/>
        </w:rPr>
      </w:pPr>
      <w:r>
        <w:rPr>
          <w:noProof/>
        </w:rPr>
        <w:t>dodatno povečati bazo podpore terciarnega izobraževanja z olajšanjem dostopa do visokošolskih institucij za srednješolce s strokovnih in umetniških področij;</w:t>
      </w:r>
    </w:p>
    <w:p w14:paraId="6D78B2EF" w14:textId="77777777" w:rsidR="00F24946" w:rsidRDefault="00613B06">
      <w:pPr>
        <w:pStyle w:val="P68B1DB1-Normal4"/>
        <w:keepNext/>
        <w:numPr>
          <w:ilvl w:val="1"/>
          <w:numId w:val="44"/>
        </w:numPr>
        <w:spacing w:before="40" w:after="160" w:line="259" w:lineRule="auto"/>
        <w:contextualSpacing/>
        <w:jc w:val="both"/>
        <w:rPr>
          <w:rFonts w:eastAsiaTheme="minorEastAsia" w:cs="Times New Roman"/>
          <w:noProof/>
        </w:rPr>
      </w:pPr>
      <w:r>
        <w:rPr>
          <w:noProof/>
        </w:rPr>
        <w:t>okrepiti vpis v visokošolske programe na digitalnih področjih, zlasti prek programa Portugalska Digital InCoDe2030, v tesnem sodelovanju z javnimi in zasebnimi subjekti;</w:t>
      </w:r>
    </w:p>
    <w:p w14:paraId="4A757B2D" w14:textId="77777777" w:rsidR="00F24946" w:rsidRDefault="00613B06">
      <w:pPr>
        <w:pStyle w:val="P68B1DB1-Normal4"/>
        <w:keepNext/>
        <w:numPr>
          <w:ilvl w:val="1"/>
          <w:numId w:val="44"/>
        </w:numPr>
        <w:spacing w:before="40" w:after="160" w:line="259" w:lineRule="auto"/>
        <w:contextualSpacing/>
        <w:jc w:val="both"/>
        <w:rPr>
          <w:rFonts w:eastAsiaTheme="minorEastAsia" w:cs="Times New Roman"/>
          <w:noProof/>
        </w:rPr>
      </w:pPr>
      <w:r>
        <w:rPr>
          <w:noProof/>
        </w:rPr>
        <w:t>spodbujajo modularno usposabljanje, ki spodbuja stalno učenje in pridobivanje novih znanj in spretnosti z „mikrokvalifikacijami/mikrodiplomami“, v tesnem sodelovanju z javnimi in zasebnimi subjekti;</w:t>
      </w:r>
    </w:p>
    <w:p w14:paraId="18034D09" w14:textId="77777777" w:rsidR="00F24946" w:rsidRDefault="00613B06">
      <w:pPr>
        <w:pStyle w:val="P68B1DB1-Normal4"/>
        <w:keepNext/>
        <w:numPr>
          <w:ilvl w:val="1"/>
          <w:numId w:val="44"/>
        </w:numPr>
        <w:spacing w:before="40" w:after="160" w:line="259" w:lineRule="auto"/>
        <w:contextualSpacing/>
        <w:jc w:val="both"/>
        <w:rPr>
          <w:rFonts w:eastAsiaTheme="minorEastAsia" w:cs="Times New Roman"/>
          <w:noProof/>
        </w:rPr>
      </w:pPr>
      <w:r>
        <w:rPr>
          <w:noProof/>
        </w:rPr>
        <w:t>razširiti sodelovanje med visokošolskimi ustanovami in laboratoriji ter centri za tehnološke vmesnike;</w:t>
      </w:r>
    </w:p>
    <w:p w14:paraId="51AF0405" w14:textId="77777777" w:rsidR="00F24946" w:rsidRDefault="00613B06">
      <w:pPr>
        <w:pStyle w:val="P68B1DB1-Normal4"/>
        <w:keepNext/>
        <w:numPr>
          <w:ilvl w:val="1"/>
          <w:numId w:val="42"/>
        </w:numPr>
        <w:spacing w:before="40" w:after="160" w:line="259" w:lineRule="auto"/>
        <w:contextualSpacing/>
        <w:jc w:val="both"/>
        <w:rPr>
          <w:rFonts w:eastAsiaTheme="minorEastAsia" w:cs="Times New Roman"/>
          <w:noProof/>
        </w:rPr>
      </w:pPr>
      <w:r>
        <w:rPr>
          <w:noProof/>
        </w:rPr>
        <w:t>sprememba pravnega statusa, da se pojasnijo pogoji, pod katerimi lahko zunanji strokovnjak opravlja naloge poučevanja ali vodenja v visokošolskih ustanovah, da se spodbudi mobilnost med akademskim in poslovnim svetom; in</w:t>
      </w:r>
    </w:p>
    <w:p w14:paraId="423A2509" w14:textId="77777777" w:rsidR="00F24946" w:rsidRDefault="00613B06">
      <w:pPr>
        <w:pStyle w:val="P68B1DB1-Normal4"/>
        <w:keepNext/>
        <w:numPr>
          <w:ilvl w:val="1"/>
          <w:numId w:val="42"/>
        </w:numPr>
        <w:spacing w:before="40" w:after="160" w:line="259" w:lineRule="auto"/>
        <w:contextualSpacing/>
        <w:jc w:val="both"/>
        <w:rPr>
          <w:rFonts w:eastAsiaTheme="minorEastAsia" w:cs="Times New Roman"/>
          <w:noProof/>
        </w:rPr>
      </w:pPr>
      <w:r>
        <w:rPr>
          <w:noProof/>
        </w:rPr>
        <w:t>okrepiti pravni okvir konzorcijev z deljenim upravljanjem med visokošolskimi ustanovami in podjetji.</w:t>
      </w:r>
    </w:p>
    <w:p w14:paraId="4BAB8F5A"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30. junija 2021.</w:t>
      </w:r>
    </w:p>
    <w:p w14:paraId="0FA75BAC"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RE-r16: Zmanjšanje omejitev v visoko reguliranih poklicih</w:t>
      </w:r>
    </w:p>
    <w:p w14:paraId="22747F26"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reforme je zmanjšati omejitve v visoko reguliranih poklicih, predvsem za spodbujanje konkurence pri opravljanju poslovnih storitev. </w:t>
      </w:r>
    </w:p>
    <w:p w14:paraId="6A3E87FA" w14:textId="77777777" w:rsidR="00F24946" w:rsidRDefault="00613B06">
      <w:pPr>
        <w:pStyle w:val="P68B1DB1-Normal4"/>
        <w:spacing w:before="40" w:after="0" w:line="259" w:lineRule="auto"/>
        <w:jc w:val="both"/>
        <w:rPr>
          <w:rFonts w:eastAsiaTheme="minorEastAsia" w:cs="Times New Roman"/>
          <w:noProof/>
        </w:rPr>
      </w:pPr>
      <w:r>
        <w:rPr>
          <w:noProof/>
        </w:rPr>
        <w:t xml:space="preserve">OECD je leta 2018 v sodelovanju s portugalskim organom za konkurenco (AdC) izvedla oceno za omejeno število samoreguliranih poklicev, kot so odvetniki, pravni svetovalci, inženirji, arhitekti, revizorji, računovodje, ekonomisti, farmacevti in strokovnjaki za prehrano. Na podlagi izvedene ocene je bil pripravljen seznam priporočil. Portugalska s to reformo obravnava priporočila OECD in AdC. </w:t>
      </w:r>
    </w:p>
    <w:p w14:paraId="7BF38458" w14:textId="5F5B573E" w:rsidR="00F24946" w:rsidRDefault="00613B06">
      <w:pPr>
        <w:pStyle w:val="P68B1DB1-Normal4"/>
        <w:spacing w:before="40" w:after="0" w:line="259" w:lineRule="auto"/>
        <w:jc w:val="both"/>
        <w:rPr>
          <w:rFonts w:eastAsiaTheme="minorEastAsia" w:cs="Times New Roman"/>
          <w:noProof/>
        </w:rPr>
      </w:pPr>
      <w:r>
        <w:rPr>
          <w:noProof/>
        </w:rPr>
        <w:t xml:space="preserve">Reforma mora vsaj: I) ločijo funkcije regulacije in zastopanja v poklicnih združenjih; (II) zmanjšanje seznama rezerviranih dejavnosti (dostop do rezerviranih dejavnosti se lahko omeji le zaradi zaščite ustavnih interesov v skladu z načeloma nujnosti in sorazmernosti); odpraviti omejitve lastništva in upravljanja podjetij za poslovne storitve, pod pogojem, da vodstveni delavci spoštujejo pravno ureditev za preprečevanje „navzkrižij interesov“; in iv) omogočiti multidisciplinarna podjetja za poslovne storitve. </w:t>
      </w:r>
    </w:p>
    <w:p w14:paraId="48290DD8" w14:textId="77777777" w:rsidR="00F24946" w:rsidRDefault="00613B06">
      <w:pPr>
        <w:pStyle w:val="P68B1DB1-Normal4"/>
        <w:spacing w:before="40" w:after="0" w:line="259" w:lineRule="auto"/>
        <w:jc w:val="both"/>
        <w:rPr>
          <w:rFonts w:eastAsiaTheme="minorEastAsia" w:cs="Times New Roman"/>
          <w:noProof/>
        </w:rPr>
      </w:pPr>
      <w:r>
        <w:rPr>
          <w:noProof/>
        </w:rPr>
        <w:t xml:space="preserve">AdC je pooblaščen tudi za pripravo poročila o učinkovitosti novega zakona o reguliranih poklicih. </w:t>
      </w:r>
    </w:p>
    <w:p w14:paraId="6A04E445" w14:textId="77777777" w:rsidR="00F24946" w:rsidRDefault="00613B06">
      <w:pPr>
        <w:pStyle w:val="P68B1DB1-Normal4"/>
        <w:spacing w:before="40" w:after="0" w:line="259" w:lineRule="auto"/>
        <w:jc w:val="both"/>
        <w:rPr>
          <w:rFonts w:eastAsiaTheme="minorEastAsia" w:cs="Times New Roman"/>
          <w:noProof/>
        </w:rPr>
      </w:pPr>
      <w:r>
        <w:rPr>
          <w:noProof/>
        </w:rPr>
        <w:t>Reforma se izvede do 31. decembra 2022.</w:t>
      </w:r>
    </w:p>
    <w:p w14:paraId="58B60BDF"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RE-r17: Agenda za spodbujanje dostojnega dela</w:t>
      </w:r>
    </w:p>
    <w:p w14:paraId="5AF25DED" w14:textId="77777777" w:rsidR="00F24946" w:rsidRDefault="00613B06">
      <w:pPr>
        <w:pStyle w:val="P68B1DB1-Normal4"/>
        <w:spacing w:before="40" w:after="0" w:line="259" w:lineRule="auto"/>
        <w:jc w:val="both"/>
        <w:rPr>
          <w:rFonts w:eastAsiaTheme="minorEastAsia" w:cs="Times New Roman"/>
          <w:noProof/>
        </w:rPr>
      </w:pPr>
      <w:r>
        <w:rPr>
          <w:noProof/>
        </w:rPr>
        <w:t>Cilj te reforme je nadgraditi ukrepe, sprejete v zadnjih letih (kot so ukrepi, ki obravnavajo segmentacijo trga dela in spodbujajo kolektivna pogajanja), za zaščito pravic delavcev.</w:t>
      </w:r>
    </w:p>
    <w:p w14:paraId="1EF0875A" w14:textId="7D73539B" w:rsidR="00F24946" w:rsidRDefault="00613B06">
      <w:pPr>
        <w:pStyle w:val="P68B1DB1-Normal4"/>
        <w:spacing w:before="40" w:after="0" w:line="259" w:lineRule="auto"/>
        <w:jc w:val="both"/>
        <w:rPr>
          <w:rFonts w:eastAsiaTheme="minorEastAsia" w:cs="Times New Roman"/>
          <w:noProof/>
        </w:rPr>
      </w:pPr>
      <w:r>
        <w:rPr>
          <w:noProof/>
        </w:rPr>
        <w:t xml:space="preserve">Ko bo vlada predstavila zeleno knjigo o prihodnosti dela, bo ta reforma vključevala zakonodajni akt, ki bo urejal platformno delo, da bi se obravnavali novi izzivi, ki jih povzročajo netipični odnosi med delodajalci in delojemalci, v skladu z načeli evropskega stebra socialnih pravic. Krepi kakovost odnosov med delodajalci in delojemalci ter izboljšuje dostop do pravic in socialne zaščite. </w:t>
      </w:r>
    </w:p>
    <w:p w14:paraId="0255E56D"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marca 2023.</w:t>
      </w:r>
    </w:p>
    <w:p w14:paraId="344F2E16"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RE-r18: Boj proti neenakosti med ženskami in moškimi</w:t>
      </w:r>
    </w:p>
    <w:p w14:paraId="5CA7D144" w14:textId="77777777" w:rsidR="00F24946" w:rsidRDefault="00613B06">
      <w:pPr>
        <w:pStyle w:val="P68B1DB1-Normal4"/>
        <w:spacing w:before="40" w:after="0" w:line="259" w:lineRule="auto"/>
        <w:jc w:val="both"/>
        <w:rPr>
          <w:rFonts w:eastAsiaTheme="minorEastAsia" w:cs="Times New Roman"/>
          <w:noProof/>
        </w:rPr>
      </w:pPr>
      <w:r>
        <w:rPr>
          <w:noProof/>
        </w:rPr>
        <w:t>Cilj te reforme je spodbujanje enakosti spolov pri plačilu, enakih poklicnih možnosti ter boj proti spolnim stereotipom in segregaciji pri izbiri poklicne poti. V veliki meri temelji na obstoječi zakonodaji, zlasti o enakem plačilu (zakon št. 60/2018), in uravnoteženi zastopanosti v upravnih odborih (zakon št. 62/2017 in št. 26/2019).</w:t>
      </w:r>
    </w:p>
    <w:p w14:paraId="6089F955" w14:textId="6C5F614E" w:rsidR="00F24946" w:rsidRDefault="00613B06">
      <w:pPr>
        <w:pStyle w:val="P68B1DB1-Normal4"/>
        <w:spacing w:before="40" w:after="0" w:line="259" w:lineRule="auto"/>
        <w:jc w:val="both"/>
        <w:rPr>
          <w:rFonts w:eastAsiaTheme="minorEastAsia" w:cs="Times New Roman"/>
          <w:noProof/>
        </w:rPr>
      </w:pPr>
      <w:r>
        <w:rPr>
          <w:noProof/>
        </w:rPr>
        <w:t xml:space="preserve">Z zakonodajo o enakem plačilu so bili vzpostavljeni mehanizmi za izvajanje načela enakega plačila za enako delo ali delo enake vrednosti, zaradi česar so bila podjetja prisiljena imeti pregledne plačne politike. Od leta 2021 je oddelek ministrstva za zaposlovanje in socialno varnost pripravil poročilo o razlikah v plačilu med spoloma za vsako podjetje z več kot 50 delavci, ki zajema razlike v plačilu med spoloma. </w:t>
      </w:r>
    </w:p>
    <w:p w14:paraId="2D14154A" w14:textId="2BB01CB6" w:rsidR="00F24946" w:rsidRDefault="00613B06">
      <w:pPr>
        <w:pStyle w:val="P68B1DB1-Normal4"/>
        <w:spacing w:before="40" w:after="0" w:line="259" w:lineRule="auto"/>
        <w:jc w:val="both"/>
        <w:rPr>
          <w:rFonts w:eastAsiaTheme="minorEastAsia" w:cs="Times New Roman"/>
          <w:noProof/>
        </w:rPr>
      </w:pPr>
      <w:r>
        <w:rPr>
          <w:noProof/>
        </w:rPr>
        <w:t xml:space="preserve">Od leta 2025 morajo podjetja z več kot 50 delavci, ki imajo znatne razlike v ravneh plačil med spoloma za ista delovna mesta, direktoratu inšpektorata za delo predložiti akcijski načrt za odpravo teh razlik z izvajanjem akcijskega načrta. </w:t>
      </w:r>
    </w:p>
    <w:p w14:paraId="76818DD3" w14:textId="77777777" w:rsidR="00F24946" w:rsidRDefault="00613B06">
      <w:pPr>
        <w:pStyle w:val="P68B1DB1-Normal4"/>
        <w:spacing w:before="40" w:after="0" w:line="259" w:lineRule="auto"/>
        <w:jc w:val="both"/>
        <w:rPr>
          <w:rFonts w:eastAsiaTheme="minorEastAsia" w:cs="Times New Roman"/>
          <w:noProof/>
        </w:rPr>
      </w:pPr>
      <w:r>
        <w:rPr>
          <w:noProof/>
        </w:rPr>
        <w:t>Reforma vključuje tudi prostovoljni sistem, ki temelji na islandski Norm ÍST 85: 2012 zagotavljanje javnega priznanja podjetjem, ki so učinkovito izvajala politike enakega plačila. Potrdilo je zasnovano tako, da potrjuje, da odločitve o plači v celoti temeljijo na ustreznih premislekih.</w:t>
      </w:r>
    </w:p>
    <w:p w14:paraId="632ABE9A" w14:textId="77777777" w:rsidR="00F24946" w:rsidRDefault="00613B06">
      <w:pPr>
        <w:pStyle w:val="P68B1DB1-Normal4"/>
        <w:spacing w:before="40" w:after="0" w:line="259" w:lineRule="auto"/>
        <w:jc w:val="both"/>
        <w:rPr>
          <w:rFonts w:eastAsiaTheme="minorEastAsia" w:cs="Times New Roman"/>
          <w:noProof/>
        </w:rPr>
      </w:pPr>
      <w:r>
        <w:rPr>
          <w:noProof/>
        </w:rPr>
        <w:t>Reforma se izvede do 31. decembra 2024.</w:t>
      </w:r>
    </w:p>
    <w:p w14:paraId="79DF09F6" w14:textId="3D240655"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RE-C06-i01: Posodobitev ustanov za poklicno izobraževanje in usposabljanje</w:t>
      </w:r>
    </w:p>
    <w:p w14:paraId="7C8E1168" w14:textId="2C3A9FEC" w:rsidR="00F24946" w:rsidRDefault="00613B06">
      <w:pPr>
        <w:pStyle w:val="P68B1DB1-Normal4"/>
        <w:jc w:val="both"/>
        <w:rPr>
          <w:rFonts w:eastAsiaTheme="minorEastAsia" w:cs="Times New Roman"/>
          <w:noProof/>
        </w:rPr>
      </w:pPr>
      <w:r>
        <w:rPr>
          <w:noProof/>
        </w:rPr>
        <w:t xml:space="preserve">Cilji te naložbe vključujejo namestitev in posodobitev specializiranih tehnoloških centrov v javnih srednjih šolah s poklicnimi tečaji in poklicnimi šolami ter v zasebnih in zadružnih izobraževalnih ustanovah, ki ponujajo poklicno izobraževanje. Poleg tega cilji vključujejo razširitev in posodobitev mreže centrov za strokovno usposabljanje javnega zavoda za zaposlovanje (IEFP), mreže šol nacionalnega organa za turizem (Turismo de Portugal), da bi usposabljanje postalo bolj tržno relevantno in usklajeno z okoljsko, digitalno, demografsko in industrijsko preobrazbo. </w:t>
      </w:r>
    </w:p>
    <w:p w14:paraId="713ECA79" w14:textId="77777777" w:rsidR="00F24946" w:rsidRDefault="00613B06">
      <w:pPr>
        <w:pStyle w:val="P68B1DB1-Normal4"/>
        <w:spacing w:before="40" w:after="0" w:line="259" w:lineRule="auto"/>
        <w:jc w:val="both"/>
        <w:rPr>
          <w:rFonts w:eastAsiaTheme="minorEastAsia" w:cs="Times New Roman"/>
          <w:noProof/>
        </w:rPr>
      </w:pPr>
      <w:r>
        <w:rPr>
          <w:noProof/>
        </w:rPr>
        <w:t xml:space="preserve">To naložbo sestavljajo: </w:t>
      </w:r>
    </w:p>
    <w:p w14:paraId="65A279D3" w14:textId="59E91174" w:rsidR="00F24946" w:rsidRDefault="00613B06">
      <w:pPr>
        <w:pStyle w:val="P68B1DB1-Normal4"/>
        <w:numPr>
          <w:ilvl w:val="0"/>
          <w:numId w:val="43"/>
        </w:numPr>
        <w:spacing w:before="40" w:after="160" w:line="259" w:lineRule="auto"/>
        <w:ind w:left="714" w:hanging="357"/>
        <w:jc w:val="both"/>
        <w:rPr>
          <w:rFonts w:eastAsiaTheme="minorEastAsia" w:cs="Times New Roman"/>
          <w:noProof/>
        </w:rPr>
      </w:pPr>
      <w:r>
        <w:rPr>
          <w:noProof/>
        </w:rPr>
        <w:t>namestitev in posodobitev 365 specializiranih tehnoloških centrov v srednjih šolah, ki ponujajo strokovne tečaje in poklicne šole, od tega 115 (industrijski centri), 30 (centri za energijo iz obnovljivih virov), 195 (Centeri za računalništvo) in 25 (digitalni in multimedijski centri). Specializirane tehnološke centre upravljajo vodje javnih omrežnih šol ali zasebni subjekti. Ta naložba vključuje posodobitev in obnovo obstoječih objektov in infrastrukture ter pridobivanje tehnoloških izobraževalnih virov (opreme), širitev in posodobitev mreže centrov za poklicno usposabljanje javne službe za zaposlovanje (IEFP), ki se upravljajo neposredno ali prek koncesij, in mreže šol nacionalnega organa za turizem (Turismo de Portugal) na Portugalskem. Načrt za posodobitev opreme mreže centrov za poklicno usposabljanje IEFP vključuje nakup naslednjih vrst opreme, in sicer: I) energijo iz obnovljivih virov; II) digitalizacija industrije; aeronavtika; (IV) digitalizacijo trgovine; in v) „kopenske“ simulatorje. Pričakuje se, da bo ta podnaložba omogočila nadgradnjo 22000 mest za usposabljanje.</w:t>
      </w:r>
    </w:p>
    <w:p w14:paraId="5288888F" w14:textId="77777777" w:rsidR="00F24946" w:rsidRDefault="00613B06">
      <w:pPr>
        <w:pStyle w:val="P68B1DB1-Normal4"/>
        <w:spacing w:before="120" w:after="0" w:line="259" w:lineRule="auto"/>
        <w:jc w:val="both"/>
        <w:rPr>
          <w:rFonts w:eastAsiaTheme="minorEastAsia" w:cs="Times New Roman"/>
          <w:noProof/>
        </w:rPr>
      </w:pPr>
      <w:r>
        <w:rPr>
          <w:noProof/>
        </w:rPr>
        <w:t>Naložba se izvede do 31. decembra 2025.</w:t>
      </w:r>
    </w:p>
    <w:p w14:paraId="5AEBBD6D" w14:textId="0B50F649"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RE-C06-i02: Zaveza za trajnostno zaposlovanje</w:t>
      </w:r>
    </w:p>
    <w:p w14:paraId="20CED285" w14:textId="5D4F76FD" w:rsidR="00F24946" w:rsidRDefault="00613B06">
      <w:pPr>
        <w:pStyle w:val="P68B1DB1-Normal4"/>
        <w:spacing w:before="40" w:after="0" w:line="259" w:lineRule="auto"/>
        <w:jc w:val="both"/>
        <w:rPr>
          <w:rFonts w:eastAsiaTheme="minorEastAsia" w:cs="Times New Roman"/>
          <w:noProof/>
        </w:rPr>
      </w:pPr>
      <w:r>
        <w:rPr>
          <w:noProof/>
        </w:rPr>
        <w:t>Cilja teh naložb sta oblikovanje stalnih in kakovostnih pogodb o zaposlitvi v okviru programa zaveze za trajnostno zaposlovanje ter zmanjšanje segmentacije trga dela med vsemi skupinami, vključno z mladimi.</w:t>
      </w:r>
    </w:p>
    <w:p w14:paraId="396EFC94" w14:textId="3882AB7D" w:rsidR="00F24946" w:rsidRDefault="00613B06">
      <w:pPr>
        <w:pStyle w:val="P68B1DB1-Normal4"/>
        <w:spacing w:before="40" w:after="0" w:line="259" w:lineRule="auto"/>
        <w:jc w:val="both"/>
        <w:rPr>
          <w:rFonts w:eastAsiaTheme="minorEastAsia" w:cs="Times New Roman"/>
          <w:noProof/>
        </w:rPr>
      </w:pPr>
      <w:r>
        <w:rPr>
          <w:noProof/>
        </w:rPr>
        <w:t xml:space="preserve">Da bi pospešili ponovno zaposlitev, se delodajalcem dodelijo začasne subvencije v zameno za ponujanje pogodb za nedoločen čas, s katerimi se izplačujejo ustrezne plače. Delodajalec prejme najmanj 5 266 EUR (12-kratnik indeksa socialne podpore, ki se uporablja kot referenca za izračun različnih dajatev socialne varnosti) za vsako ustvarjeno delovno mesto. Ta znesek se lahko poveča glede na razvoj in potrebe trga dela, vključno z različnimi ciljnimi skupinami, zlasti mladimi, kot je opredeljeno v zavezi za trajnostno zaposlovanje (odlok vlade št. 38/2022, kakor je bil spremenjen). Povečanja so kumulativna v skladu z zgoraj navedeno vladno odredbo. . Poleg tega bi se lahko finančna podpora povečala za zaposlitev osebe nezadostno zastopanega spola v tem poklicu. Dodatna sredstva so kumulativna. Poleg tega delodajalci prejmejo podporo v višini 50 % njihovega prispevka za socialno varnost v obdobju enega leta (14 mesecev). Ta ukrep naj bi podprl ustvarjanje 30000 stalnih delovnih mest. Ukrep naj bi trajal eno leto, vendar bi se lahko podaljšal za dodatni dve leti. Glede na potrebo po zagotovitvi sodelovanja zasebnega sektorja v shemi se njegovo izvajanje začne v času oživitve gospodarstva. </w:t>
      </w:r>
    </w:p>
    <w:p w14:paraId="71DC7F72" w14:textId="07F99994" w:rsidR="00F24946" w:rsidRDefault="00613B06">
      <w:pPr>
        <w:pStyle w:val="P68B1DB1-Normal4"/>
        <w:spacing w:before="40" w:after="0" w:line="259" w:lineRule="auto"/>
        <w:jc w:val="both"/>
        <w:rPr>
          <w:rFonts w:eastAsiaTheme="minorEastAsia" w:cs="Times New Roman"/>
          <w:noProof/>
        </w:rPr>
      </w:pPr>
      <w:r>
        <w:rPr>
          <w:noProof/>
        </w:rPr>
        <w:t>Naložba se izvede do 31. decembra 2024.</w:t>
      </w:r>
    </w:p>
    <w:p w14:paraId="331235C5"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RE-C06-i03: Spodbuda za odrasle</w:t>
      </w:r>
    </w:p>
    <w:p w14:paraId="5CA59C0F" w14:textId="0D857AF7" w:rsidR="00F24946" w:rsidRDefault="00613B06">
      <w:pPr>
        <w:pStyle w:val="P68B1DB1-Normal4"/>
        <w:spacing w:before="40" w:after="0" w:line="259" w:lineRule="auto"/>
        <w:jc w:val="both"/>
        <w:rPr>
          <w:rFonts w:eastAsiaTheme="minorEastAsia" w:cs="Times New Roman"/>
          <w:noProof/>
        </w:rPr>
      </w:pPr>
      <w:r>
        <w:rPr>
          <w:noProof/>
        </w:rPr>
        <w:t xml:space="preserve">Cilj te naložbe je izvajanje večfaznega pristopa za povečanje kvalifikacij odraslega prebivalstva, starega 18 let ali več, ki vključuje: spodbujati izobraževanje odraslih z nadgradnjo nacionalnega načrta za pismenost odraslih, da bi izboljšali osnovno bralno, matematično in digitalno pismenost; II) povečati stopnjo udeležbe in dokončanja odraslih v postopkih priznavanja, potrjevanja in certificiranja kompetenc; in iii) razviti ponudbo terciarnega izobraževanja za odrasle, kot so kratkotrajni tečaji. </w:t>
      </w:r>
    </w:p>
    <w:p w14:paraId="5860CEF4" w14:textId="3F0B0075" w:rsidR="00F24946" w:rsidRDefault="00613B06">
      <w:pPr>
        <w:pStyle w:val="P68B1DB1-Normal4"/>
        <w:keepNext/>
        <w:spacing w:before="40" w:after="0" w:line="259" w:lineRule="auto"/>
        <w:jc w:val="both"/>
        <w:rPr>
          <w:rFonts w:eastAsiaTheme="minorEastAsia" w:cs="Times New Roman"/>
          <w:noProof/>
        </w:rPr>
      </w:pPr>
      <w:r>
        <w:rPr>
          <w:noProof/>
        </w:rPr>
        <w:t xml:space="preserve">To naložbo sestavljajo: </w:t>
      </w:r>
    </w:p>
    <w:p w14:paraId="14F048E0" w14:textId="77777777" w:rsidR="00F24946" w:rsidRDefault="00613B06">
      <w:pPr>
        <w:pStyle w:val="P68B1DB1-Normal4"/>
        <w:keepNext/>
        <w:numPr>
          <w:ilvl w:val="0"/>
          <w:numId w:val="45"/>
        </w:numPr>
        <w:spacing w:before="40" w:after="160" w:line="259" w:lineRule="auto"/>
        <w:contextualSpacing/>
        <w:jc w:val="both"/>
        <w:rPr>
          <w:rFonts w:eastAsiaTheme="minorEastAsia" w:cs="Times New Roman"/>
          <w:noProof/>
        </w:rPr>
      </w:pPr>
      <w:r>
        <w:rPr>
          <w:noProof/>
        </w:rPr>
        <w:t xml:space="preserve">v okviru programa </w:t>
      </w:r>
      <w:r>
        <w:rPr>
          <w:i/>
          <w:noProof/>
        </w:rPr>
        <w:t>Qualifica nadgradnja</w:t>
      </w:r>
      <w:r>
        <w:rPr>
          <w:noProof/>
        </w:rPr>
        <w:t xml:space="preserve"> nacionalnega načrta za pismenost odraslih z vodenjem 225 lokalnih projektov, ki vodijo do ravni B1/B2/B3. Ta ukrep upravlja nacionalna agencija za kvalifikacije ter poklicno izobraževanje in usposabljanje (ANQEP). Vsak projekt lahko odpre 100 prostih delovnih mest, pri čemer je skupno število udeležencev približno 22500 ljudi. Poleg nakupa pedagoške opreme in potrošnega materiala ter plačila osebja za usposabljanje ta podnaložba po potrebi zagotavlja nekatere subvencije udeležencem, njihovim delodajalcem in posrednikom skupnosti;</w:t>
      </w:r>
    </w:p>
    <w:p w14:paraId="612871DF" w14:textId="0B0AB797" w:rsidR="00F24946" w:rsidRDefault="00613B06">
      <w:pPr>
        <w:pStyle w:val="P68B1DB1-Normal4"/>
        <w:keepNext/>
        <w:numPr>
          <w:ilvl w:val="0"/>
          <w:numId w:val="45"/>
        </w:numPr>
        <w:spacing w:before="40" w:after="160" w:line="259" w:lineRule="auto"/>
        <w:contextualSpacing/>
        <w:jc w:val="both"/>
        <w:rPr>
          <w:rFonts w:eastAsiaTheme="minorEastAsia" w:cs="Times New Roman"/>
          <w:noProof/>
        </w:rPr>
      </w:pPr>
      <w:r>
        <w:rPr>
          <w:noProof/>
        </w:rPr>
        <w:t xml:space="preserve">v okviru programa </w:t>
      </w:r>
      <w:r>
        <w:rPr>
          <w:i/>
          <w:noProof/>
        </w:rPr>
        <w:t>Qualifica</w:t>
      </w:r>
      <w:r>
        <w:rPr>
          <w:noProof/>
        </w:rPr>
        <w:t xml:space="preserve"> je celera </w:t>
      </w:r>
      <w:r>
        <w:rPr>
          <w:i/>
          <w:noProof/>
        </w:rPr>
        <w:t>qualific a</w:t>
      </w:r>
      <w:r>
        <w:rPr>
          <w:noProof/>
        </w:rPr>
        <w:t>nov ukrep za zagotavljanje finančne podpore odraslim med njihovimi procesi RVCC. Ta ukrep upravlja nacionalna agencija za kvalifikacije in poklicno izobraževanje in usposabljanje (ANQEP). Vsaka sodelujoča odrasla oseba prejme finančno podporo do 1,25 Službe za notranjo revizijo. Skupno število udeležencev v postopkih RVCC je ocenjeno na 100000 oseb;</w:t>
      </w:r>
    </w:p>
    <w:p w14:paraId="67A55033" w14:textId="77777777" w:rsidR="00F24946" w:rsidRDefault="00613B06">
      <w:pPr>
        <w:pStyle w:val="P68B1DB1-Normal4"/>
        <w:keepNext/>
        <w:numPr>
          <w:ilvl w:val="0"/>
          <w:numId w:val="45"/>
        </w:numPr>
        <w:spacing w:before="40" w:after="160" w:line="259" w:lineRule="auto"/>
        <w:contextualSpacing/>
        <w:jc w:val="both"/>
        <w:rPr>
          <w:rFonts w:eastAsiaTheme="minorEastAsia" w:cs="Times New Roman"/>
          <w:noProof/>
        </w:rPr>
      </w:pPr>
      <w:r>
        <w:rPr>
          <w:noProof/>
        </w:rPr>
        <w:t>spodbujanje mrež sodelovanja med visokošolskimi institucijami, podjetji in drugimi deležniki s podporo novim podiplomskim šolam/programom/zaveznicam v smislu skupnih programov sodelovanja, ki vključujejo izobraževalne, raziskovalne in inovacijske dejavnosti ter pobude za razvoj kratkotrajnih visokošolskih programov, namenjenih izboljšanju vseživljenjskega učenja (preusposabljanje in izpopolnjevanje). Naložba je sestavljena iz nepovratnih sredstev za izvajanje integriranih programov, ki vključujejo skupaj 23000 študentov v obdobju 2021–2025, vključno s stroški namestitve in opreme, podporo študentom in izdatke visokošolskih ustanov, povezane z zagotavljanjem tečajev. Konzorciji se izberejo na podlagi javnega natečaja.</w:t>
      </w:r>
    </w:p>
    <w:p w14:paraId="4C02ACB6"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decembra 2025.</w:t>
      </w:r>
    </w:p>
    <w:p w14:paraId="1DA8A972" w14:textId="293B4D84"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RE-C06-i04: Spodbuda za mlade – STEAM</w:t>
      </w:r>
    </w:p>
    <w:p w14:paraId="6A794065"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naložbe je: </w:t>
      </w:r>
    </w:p>
    <w:p w14:paraId="48A8558E" w14:textId="77777777" w:rsidR="00F24946" w:rsidRDefault="00613B06">
      <w:pPr>
        <w:pStyle w:val="P68B1DB1-Normal4"/>
        <w:keepNext/>
        <w:numPr>
          <w:ilvl w:val="0"/>
          <w:numId w:val="46"/>
        </w:numPr>
        <w:spacing w:before="40" w:after="160" w:line="259" w:lineRule="auto"/>
        <w:contextualSpacing/>
        <w:jc w:val="both"/>
        <w:rPr>
          <w:rFonts w:eastAsiaTheme="minorEastAsia" w:cs="Times New Roman"/>
          <w:noProof/>
        </w:rPr>
      </w:pPr>
      <w:r>
        <w:rPr>
          <w:noProof/>
        </w:rPr>
        <w:t>zvišati stopnje vpisa v programe naravoslovja, tehnologije, inženirstva, umetnosti in matematike (STEAM), vključno s tečajem informacijske tehnologije; in</w:t>
      </w:r>
    </w:p>
    <w:p w14:paraId="7CE713E1" w14:textId="77777777" w:rsidR="00F24946" w:rsidRDefault="00613B06">
      <w:pPr>
        <w:pStyle w:val="P68B1DB1-Normal4"/>
        <w:keepNext/>
        <w:numPr>
          <w:ilvl w:val="0"/>
          <w:numId w:val="46"/>
        </w:numPr>
        <w:spacing w:before="40" w:after="160" w:line="259" w:lineRule="auto"/>
        <w:contextualSpacing/>
        <w:jc w:val="both"/>
        <w:rPr>
          <w:rFonts w:eastAsiaTheme="minorEastAsia" w:cs="Times New Roman"/>
          <w:noProof/>
        </w:rPr>
      </w:pPr>
      <w:r>
        <w:rPr>
          <w:noProof/>
        </w:rPr>
        <w:t>zagotoviti ustrezne zmogljivosti v neterciarnih šolah za znanstveno izobraževanje, da se poveča zanimanje za naravoslovne predmete.</w:t>
      </w:r>
    </w:p>
    <w:p w14:paraId="42904022" w14:textId="6ABF32E6" w:rsidR="00F24946" w:rsidRDefault="00613B06">
      <w:pPr>
        <w:pStyle w:val="P68B1DB1-Normal4"/>
        <w:spacing w:before="40" w:after="0" w:line="259" w:lineRule="auto"/>
        <w:jc w:val="both"/>
        <w:rPr>
          <w:rFonts w:eastAsiaTheme="minorEastAsia" w:cs="Times New Roman"/>
          <w:noProof/>
        </w:rPr>
      </w:pPr>
      <w:r>
        <w:rPr>
          <w:noProof/>
        </w:rPr>
        <w:t>Ta ukrep je namenjen visokošolskim ustanovam (univerzam in politehniki). Sredstva se dodelijo na podlagi javnega natečaja. Ta naložba zajema izvajanje programov s strani visokošolskih institucij v partnerstvu z javnimi in/ali zasebnimi delodajalci ter drugimi zainteresiranimi stranmi, vključno s srednjimi šolami. Izvajajo se lahko v obliki šol/programov/zaveznic v smislu skupnih programov sodelovanja, ki vključujejo dejavnosti in pobude na področju izobraževanja, raziskav in inovacij, katerih cilj je izboljšati začetno visokošolsko izobraževanje in povečati število diplomantov s področja naravoslovja, tehnologije, inženirstva, inženirstva, inženirstva in matematike, tako da se ponudijo dodiplomski in drugi programi začetnega visokošolskega izobraževanja (npr. visoko tehnično poklicno izobraževanje v primeru politehnike). Programi zajemajo posodobitev in razširitev zmogljivosti, da bi se prilagodili povečanju števila študentov, študentskim spodbudam in drugim izdatkom visokošolskih institucij, povezanim z zagotavljanjem tečajev.</w:t>
      </w:r>
    </w:p>
    <w:p w14:paraId="1D9CCCC0" w14:textId="4B6ACEC1" w:rsidR="00F24946" w:rsidRDefault="00613B06">
      <w:pPr>
        <w:pStyle w:val="P68B1DB1-Normal4"/>
        <w:keepNext/>
        <w:spacing w:before="40" w:after="0" w:line="259" w:lineRule="auto"/>
        <w:jc w:val="both"/>
        <w:rPr>
          <w:rFonts w:eastAsiaTheme="minorEastAsia" w:cs="Times New Roman"/>
          <w:noProof/>
        </w:rPr>
      </w:pPr>
      <w:r>
        <w:rPr>
          <w:noProof/>
        </w:rPr>
        <w:t>Naložbe bodo izboljšale tudi spretnosti na področjih naravoslovja, tehnologije, inženirstva, inženirstva in matematike s širitvijo mreže klubov „Ciência Viva“, klubov v šolah (od osnovnih do srednjih šol), s poudarkom predvsem na področjih naravoslovja, tehnologije, inženirstva in matematike, digitalnih vsebin in materialov; spodbujati partnerstva med šolami in civilno družbo, univerzami in raziskovalnimi središči ter organizirati seminarje in delavnice. Po pričakovanjih naj bi podpiral vsaj 650 projektov.</w:t>
      </w:r>
    </w:p>
    <w:p w14:paraId="3B7F9040" w14:textId="77777777" w:rsidR="00F24946" w:rsidRDefault="00613B06">
      <w:pPr>
        <w:pStyle w:val="P68B1DB1-Normal4"/>
        <w:keepNext/>
        <w:spacing w:before="40" w:after="0" w:line="259" w:lineRule="auto"/>
        <w:contextualSpacing/>
        <w:jc w:val="both"/>
        <w:rPr>
          <w:rFonts w:eastAsiaTheme="minorEastAsia" w:cs="Times New Roman"/>
          <w:noProof/>
        </w:rPr>
      </w:pPr>
      <w:r>
        <w:rPr>
          <w:noProof/>
        </w:rPr>
        <w:t>Naložba se izvede do 31. decembra 2025.</w:t>
      </w:r>
    </w:p>
    <w:p w14:paraId="27CDA957"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RE-C06-i05-RAA: Kvalifikacije odraslih in vseživljenjsko učenje (ARA)</w:t>
      </w:r>
    </w:p>
    <w:p w14:paraId="17E62A07" w14:textId="604971D4" w:rsidR="00F24946" w:rsidRDefault="00613B06">
      <w:pPr>
        <w:pStyle w:val="P68B1DB1-Normal4"/>
        <w:spacing w:before="40" w:after="0" w:line="259" w:lineRule="auto"/>
        <w:jc w:val="both"/>
        <w:rPr>
          <w:rFonts w:eastAsiaTheme="minorEastAsia" w:cs="Times New Roman"/>
          <w:noProof/>
        </w:rPr>
      </w:pPr>
      <w:r>
        <w:rPr>
          <w:noProof/>
        </w:rPr>
        <w:t>Cilj te naložbe je obravnavati resen problem nizkih stopenj kvalifikacij v avtonomni regiji Azori v primerjavi s Portugalsko kot celoto in Evropsko unijo. Nizke stopnje kvalifikacij pomenijo veliko ozko grlo za ustanavljanje in diverzifikacijo novih podjetij ter za trajnostni razvoj, saj so povezane z nizko produktivnostjo in nizkimi plačami ter pomanjkanjem odpornosti med gospodarsko krizo. Naložbe za obravnavanje posebnih potreb po izobraževanju in usposabljanju v avtonomni regiji Azori dopolnjujejo ukrepe v okviru ESS+, ki se odražajo v ustreznem operativnem programu, o katerem potekajo pogajanja za večletni finančni okvir za obdobje 2021–2027.</w:t>
      </w:r>
    </w:p>
    <w:p w14:paraId="73E70397" w14:textId="77777777" w:rsidR="00F24946" w:rsidRDefault="00613B06">
      <w:pPr>
        <w:pStyle w:val="P68B1DB1-Normal4"/>
        <w:spacing w:before="40" w:after="0" w:line="259" w:lineRule="auto"/>
        <w:jc w:val="both"/>
        <w:rPr>
          <w:rFonts w:eastAsiaTheme="minorEastAsia" w:cs="Times New Roman"/>
          <w:noProof/>
        </w:rPr>
      </w:pPr>
      <w:r>
        <w:rPr>
          <w:noProof/>
        </w:rPr>
        <w:t xml:space="preserve">Naložbo sestavljajo: </w:t>
      </w:r>
    </w:p>
    <w:p w14:paraId="0081A8C7" w14:textId="6B92010D" w:rsidR="00F24946" w:rsidRDefault="00613B06">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povečanje števila odraslih, vključenih v posekundarno in terciarno izobraževanje; in </w:t>
      </w:r>
    </w:p>
    <w:p w14:paraId="09348395" w14:textId="5B3F3D0B" w:rsidR="00F24946" w:rsidRDefault="00613B06">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posodobitev 16 poklicnih šol in enega javnega inštituta za </w:t>
      </w:r>
      <w:r>
        <w:rPr>
          <w:noProof/>
          <w:shd w:val="clear" w:color="auto" w:fill="E6E6E6"/>
        </w:rPr>
        <w:t>usposabljanje</w:t>
      </w:r>
      <w:r>
        <w:rPr>
          <w:noProof/>
        </w:rPr>
        <w:t xml:space="preserve">v skladu s tehnološkim razvojem, da bi prenovili delavnice, laboratorije in računalniške prostore ter tako omogočili uskladitev s povpraševanjem na trgu dela in nadaljnje povečanje števila udeležencev usposabljanja. </w:t>
      </w:r>
    </w:p>
    <w:p w14:paraId="3EA8A1D4"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decembra 2025.</w:t>
      </w:r>
    </w:p>
    <w:p w14:paraId="73AE8E57" w14:textId="266C243F" w:rsidR="00F24946" w:rsidRDefault="00613B06">
      <w:pPr>
        <w:pStyle w:val="P68B1DB1-Normal5"/>
        <w:keepNext/>
        <w:spacing w:before="240" w:after="0" w:line="259" w:lineRule="auto"/>
        <w:ind w:left="851"/>
        <w:jc w:val="both"/>
        <w:outlineLvl w:val="3"/>
        <w:rPr>
          <w:rFonts w:eastAsiaTheme="minorEastAsia" w:cs="Times New Roman"/>
          <w:noProof/>
        </w:rPr>
      </w:pPr>
      <w:bookmarkStart w:id="16" w:name="_Toc137472452"/>
      <w:r>
        <w:rPr>
          <w:noProof/>
        </w:rPr>
        <w:t>Naložba RE-C06-i06: Zmogljivosti v znanosti</w:t>
      </w:r>
      <w:bookmarkEnd w:id="16"/>
    </w:p>
    <w:p w14:paraId="37AD389E" w14:textId="3AE8A3DE" w:rsidR="00F24946" w:rsidRDefault="00613B06">
      <w:pPr>
        <w:pStyle w:val="P68B1DB1-Normal4"/>
        <w:spacing w:after="0" w:line="259" w:lineRule="auto"/>
        <w:jc w:val="both"/>
        <w:rPr>
          <w:rFonts w:eastAsia="Symbol" w:cs="Times New Roman"/>
          <w:noProof/>
        </w:rPr>
      </w:pPr>
      <w:r>
        <w:rPr>
          <w:noProof/>
        </w:rPr>
        <w:t>Cilj te naložbe je spodbujati razvoj inovacijskega in podjetniškega ekosistema visokošolskih institucij s podpiranjem temeljnih raziskav, spodbujanjem prenosa znanja, internacionalizacije, zmanjšanjem prekarnosti raziskovalcev ter krepitvijo povezave med podjetji in družbo.</w:t>
      </w:r>
    </w:p>
    <w:p w14:paraId="75DA99F1" w14:textId="77777777" w:rsidR="00F24946" w:rsidRDefault="00613B06">
      <w:pPr>
        <w:pStyle w:val="P68B1DB1-Normal4"/>
        <w:spacing w:after="0" w:line="259" w:lineRule="auto"/>
        <w:jc w:val="both"/>
        <w:rPr>
          <w:rFonts w:cs="Times New Roman"/>
          <w:noProof/>
        </w:rPr>
      </w:pPr>
      <w:r>
        <w:rPr>
          <w:noProof/>
        </w:rPr>
        <w:t>Naložbo sestavljajo naslednji podukrepi:</w:t>
      </w:r>
    </w:p>
    <w:p w14:paraId="5E50B945" w14:textId="77777777" w:rsidR="00F24946" w:rsidRDefault="00613B06">
      <w:pPr>
        <w:pStyle w:val="ListParagraph"/>
        <w:keepNext w:val="0"/>
        <w:numPr>
          <w:ilvl w:val="0"/>
          <w:numId w:val="74"/>
        </w:numPr>
        <w:spacing w:after="120" w:line="259" w:lineRule="auto"/>
        <w:rPr>
          <w:noProof/>
        </w:rPr>
      </w:pPr>
      <w:r>
        <w:rPr>
          <w:noProof/>
        </w:rPr>
        <w:t xml:space="preserve">Programi za pridobivanje in zadrževanje talentov ERC-Portugalska in FCT-Tenure: </w:t>
      </w:r>
    </w:p>
    <w:p w14:paraId="59E07CAF" w14:textId="08745C36" w:rsidR="00F24946" w:rsidRDefault="00613B06">
      <w:pPr>
        <w:pStyle w:val="ListParagraph"/>
        <w:keepNext w:val="0"/>
        <w:numPr>
          <w:ilvl w:val="1"/>
          <w:numId w:val="74"/>
        </w:numPr>
        <w:spacing w:before="120" w:after="120" w:line="259" w:lineRule="auto"/>
        <w:rPr>
          <w:noProof/>
        </w:rPr>
      </w:pPr>
      <w:r>
        <w:rPr>
          <w:noProof/>
        </w:rPr>
        <w:t xml:space="preserve">FCT-Tenure: ta program podpira zaposlovanje 230 doktorskih raziskovalcev na stalna delovna mesta, izbrana na natečajih. </w:t>
      </w:r>
    </w:p>
    <w:p w14:paraId="141C1FA4" w14:textId="77777777" w:rsidR="00F24946" w:rsidRDefault="00613B06">
      <w:pPr>
        <w:pStyle w:val="ListParagraph"/>
        <w:keepNext w:val="0"/>
        <w:numPr>
          <w:ilvl w:val="1"/>
          <w:numId w:val="74"/>
        </w:numPr>
        <w:spacing w:before="120" w:after="120" w:line="259" w:lineRule="auto"/>
        <w:rPr>
          <w:noProof/>
        </w:rPr>
      </w:pPr>
      <w:r>
        <w:rPr>
          <w:noProof/>
        </w:rPr>
        <w:t xml:space="preserve">ERC-Portugalska: ta program podpira raziskovalce, katerih projekti so priporočeni za financiranje na evropski ali nacionalni ravni. Program podpira tudi raziskovalce, katerih vloge ERC so bile priporočene za financiranje ali preusmerjene v drugo fazo ocenjevanja, vendar na koncu niso bile financirane. </w:t>
      </w:r>
    </w:p>
    <w:p w14:paraId="15F696CB" w14:textId="77777777" w:rsidR="00F24946" w:rsidRDefault="00613B06">
      <w:pPr>
        <w:pStyle w:val="ListParagraph"/>
        <w:keepNext w:val="0"/>
        <w:numPr>
          <w:ilvl w:val="0"/>
          <w:numId w:val="74"/>
        </w:numPr>
        <w:spacing w:before="120" w:after="120" w:line="259" w:lineRule="auto"/>
        <w:rPr>
          <w:noProof/>
        </w:rPr>
      </w:pPr>
      <w:r>
        <w:rPr>
          <w:noProof/>
        </w:rPr>
        <w:t xml:space="preserve">Več sredstev za mednarodna partnerstva na področju znanosti, tehnologije in inovacij: </w:t>
      </w:r>
    </w:p>
    <w:p w14:paraId="19879948" w14:textId="5E0AE6F1" w:rsidR="00F24946" w:rsidRDefault="00613B06">
      <w:pPr>
        <w:pStyle w:val="ListParagraph"/>
        <w:keepNext w:val="0"/>
        <w:numPr>
          <w:ilvl w:val="1"/>
          <w:numId w:val="74"/>
        </w:numPr>
        <w:spacing w:before="120" w:after="120" w:line="259" w:lineRule="auto"/>
        <w:rPr>
          <w:noProof/>
        </w:rPr>
      </w:pPr>
      <w:r>
        <w:rPr>
          <w:noProof/>
        </w:rPr>
        <w:t xml:space="preserve">Spodbujanje portugalskega sodelovanja v evropskem okvirnem programu za raziskave in inovacije s podpiranjem financiranja projektov z nacionalnim sodelovanjem, izbranim na evropski ravni; </w:t>
      </w:r>
    </w:p>
    <w:p w14:paraId="02102059" w14:textId="7DD9AFD1" w:rsidR="00F24946" w:rsidRDefault="00613B06">
      <w:pPr>
        <w:pStyle w:val="ListParagraph"/>
        <w:keepNext w:val="0"/>
        <w:numPr>
          <w:ilvl w:val="1"/>
          <w:numId w:val="74"/>
        </w:numPr>
        <w:spacing w:before="120" w:after="120" w:line="259" w:lineRule="auto"/>
        <w:rPr>
          <w:noProof/>
        </w:rPr>
      </w:pPr>
      <w:r>
        <w:rPr>
          <w:noProof/>
        </w:rPr>
        <w:t>Omogočanje mednarodne mobilnosti 100 nacionalnih raziskovalcev.</w:t>
      </w:r>
    </w:p>
    <w:p w14:paraId="3FB5AADB" w14:textId="17C1F357" w:rsidR="00F24946" w:rsidRDefault="00613B06">
      <w:pPr>
        <w:pStyle w:val="P68B1DB1-Normal4"/>
        <w:spacing w:after="0" w:line="259" w:lineRule="auto"/>
        <w:jc w:val="both"/>
        <w:rPr>
          <w:rFonts w:cs="Times New Roman"/>
          <w:noProof/>
        </w:rPr>
      </w:pPr>
      <w:r>
        <w:rPr>
          <w:noProof/>
        </w:rPr>
        <w:t>Dejavnosti raziskav, razvoja in inovacij, namenjene vidikom, ki onesnažujejo okolje (premog, lignit, nafta/zemeljsko olje, zemeljski plin, vodik na osnovi fosilnih goriv, sežiganje, odlaganje na odlagališčih, vozila/plovila z motorjem z notranjim zgorevanjem), se ne podpirajo, razen če razvijejo alternativo z majhnim vplivom (ali se njihov rezultat uporabi za druge možnosti z majhnim vplivom).</w:t>
      </w:r>
    </w:p>
    <w:p w14:paraId="3E1F94E0" w14:textId="77777777" w:rsidR="00F24946" w:rsidRDefault="00613B06">
      <w:pPr>
        <w:pStyle w:val="P68B1DB1-Normal4"/>
        <w:spacing w:line="259" w:lineRule="auto"/>
        <w:jc w:val="both"/>
        <w:rPr>
          <w:rFonts w:cs="Times New Roman"/>
          <w:noProof/>
        </w:rPr>
      </w:pPr>
      <w:r>
        <w:rPr>
          <w:noProof/>
        </w:rPr>
        <w:t xml:space="preserve">Naložba se izvede do 31. marca 2026. </w:t>
      </w:r>
    </w:p>
    <w:p w14:paraId="1AD47C87" w14:textId="1DB744CE" w:rsidR="00F24946" w:rsidRDefault="00613B06">
      <w:pPr>
        <w:pStyle w:val="P68B1DB1-Heading214"/>
        <w:rPr>
          <w:noProof/>
        </w:rPr>
      </w:pPr>
      <w:bookmarkStart w:id="17" w:name="_Toc137472453"/>
      <w:r>
        <w:rPr>
          <w:noProof/>
        </w:rPr>
        <w:t>Naložba RE-C06-i07: Več digitalnega impulza</w:t>
      </w:r>
      <w:bookmarkEnd w:id="17"/>
    </w:p>
    <w:p w14:paraId="64BA1797" w14:textId="341EDAAE" w:rsidR="00F24946" w:rsidRDefault="00613B06">
      <w:pPr>
        <w:pStyle w:val="P68B1DB1-Normal4"/>
        <w:spacing w:after="0" w:line="259" w:lineRule="auto"/>
        <w:jc w:val="both"/>
        <w:rPr>
          <w:rFonts w:cs="Times New Roman"/>
          <w:noProof/>
        </w:rPr>
      </w:pPr>
      <w:r>
        <w:rPr>
          <w:noProof/>
        </w:rPr>
        <w:t xml:space="preserve">Cilji ukrepa so povečati privlačnost agrarnih ved za prihodnje generacije, podpreti medicinske vede pri uvajanju digitalnega in tehnološkega napredka ter razširiti zmogljivosti usposabljanja na področju digitalnih znanj in spretnosti tudi na področja, ki niso povezana s naravoslovjem, tehnologijo, inženirstvom, umetnostjo, matematiko; spodbujanje pedagoških inovacij in modernizacije ter s tem spodbujanje akademskega uspeha. </w:t>
      </w:r>
    </w:p>
    <w:p w14:paraId="5227DFCF" w14:textId="77777777" w:rsidR="00F24946" w:rsidRDefault="00613B06">
      <w:pPr>
        <w:pStyle w:val="P68B1DB1-Normal4"/>
        <w:spacing w:after="0" w:line="259" w:lineRule="auto"/>
        <w:jc w:val="both"/>
        <w:rPr>
          <w:rFonts w:cs="Times New Roman"/>
          <w:noProof/>
        </w:rPr>
      </w:pPr>
      <w:r>
        <w:rPr>
          <w:noProof/>
        </w:rPr>
        <w:t>Naložbo sestavljajo naslednji podukrepi:</w:t>
      </w:r>
    </w:p>
    <w:p w14:paraId="5EC1EDE0" w14:textId="77777777" w:rsidR="00F24946" w:rsidRDefault="00613B06">
      <w:pPr>
        <w:pStyle w:val="ListParagraph"/>
        <w:keepNext w:val="0"/>
        <w:numPr>
          <w:ilvl w:val="0"/>
          <w:numId w:val="74"/>
        </w:numPr>
        <w:spacing w:after="0" w:line="259" w:lineRule="auto"/>
        <w:rPr>
          <w:noProof/>
        </w:rPr>
      </w:pPr>
      <w:r>
        <w:rPr>
          <w:noProof/>
        </w:rPr>
        <w:t xml:space="preserve">Tehnološka in digitalna posodobitev agrarnih ved; podukrep: </w:t>
      </w:r>
    </w:p>
    <w:p w14:paraId="50CF96DF" w14:textId="65473118" w:rsidR="00F24946" w:rsidRDefault="00613B06">
      <w:pPr>
        <w:pStyle w:val="ListParagraph"/>
        <w:keepNext w:val="0"/>
        <w:numPr>
          <w:ilvl w:val="1"/>
          <w:numId w:val="74"/>
        </w:numPr>
        <w:spacing w:before="120" w:after="0" w:line="259" w:lineRule="auto"/>
        <w:rPr>
          <w:noProof/>
        </w:rPr>
      </w:pPr>
      <w:r>
        <w:rPr>
          <w:noProof/>
        </w:rPr>
        <w:t xml:space="preserve">Reforma 20 dodiplomskih programov (dodiplomski študij, magistrski študij ali oboje) v agrarnih vedah s krepitvijo digitalne in tehnološke komponente, internacionalizacijo in medinstitucionalnim sodelovanjem; </w:t>
      </w:r>
    </w:p>
    <w:p w14:paraId="46DBC373" w14:textId="2152DB4A" w:rsidR="00F24946" w:rsidRDefault="00613B06">
      <w:pPr>
        <w:pStyle w:val="ListParagraph"/>
        <w:keepNext w:val="0"/>
        <w:numPr>
          <w:ilvl w:val="1"/>
          <w:numId w:val="74"/>
        </w:numPr>
        <w:spacing w:before="120" w:after="0" w:line="259" w:lineRule="auto"/>
        <w:rPr>
          <w:noProof/>
        </w:rPr>
      </w:pPr>
      <w:r>
        <w:rPr>
          <w:noProof/>
        </w:rPr>
        <w:t xml:space="preserve">Odpreti kmetijske šole bodočim učencem v srednješolskem izobraževanju </w:t>
      </w:r>
    </w:p>
    <w:p w14:paraId="77E5F5D4" w14:textId="7CCB32EC" w:rsidR="00F24946" w:rsidRDefault="00613B06">
      <w:pPr>
        <w:pStyle w:val="ListParagraph"/>
        <w:keepNext w:val="0"/>
        <w:numPr>
          <w:ilvl w:val="1"/>
          <w:numId w:val="74"/>
        </w:numPr>
        <w:spacing w:before="120" w:after="0" w:line="259" w:lineRule="auto"/>
        <w:rPr>
          <w:noProof/>
        </w:rPr>
      </w:pPr>
      <w:r>
        <w:rPr>
          <w:noProof/>
        </w:rPr>
        <w:t xml:space="preserve">Podpora preusposabljanju strokovnjakov, ki že delajo v sektorju, s spodbujanjem mikrokvalifikacij za kratkošolsko poklicno usposabljanje in poklicni magisterij. </w:t>
      </w:r>
    </w:p>
    <w:p w14:paraId="4C14CB2A" w14:textId="77777777" w:rsidR="00F24946" w:rsidRDefault="00613B06">
      <w:pPr>
        <w:pStyle w:val="ListParagraph"/>
        <w:keepNext w:val="0"/>
        <w:numPr>
          <w:ilvl w:val="0"/>
          <w:numId w:val="74"/>
        </w:numPr>
        <w:spacing w:before="120" w:after="0" w:line="259" w:lineRule="auto"/>
        <w:rPr>
          <w:noProof/>
        </w:rPr>
      </w:pPr>
      <w:r>
        <w:rPr>
          <w:noProof/>
        </w:rPr>
        <w:t xml:space="preserve">Posodobitev medicine: podukrep podpira usposabljanje v digitalnem okolju in medicinske simulacije, namenjene študentom in strokovnjakom, ki delajo v sektorju. </w:t>
      </w:r>
    </w:p>
    <w:p w14:paraId="54C2DB8E" w14:textId="4E548691" w:rsidR="00F24946" w:rsidRDefault="00613B06">
      <w:pPr>
        <w:pStyle w:val="ListParagraph"/>
        <w:keepNext w:val="0"/>
        <w:numPr>
          <w:ilvl w:val="0"/>
          <w:numId w:val="74"/>
        </w:numPr>
        <w:spacing w:before="120" w:after="0" w:line="259" w:lineRule="auto"/>
        <w:rPr>
          <w:noProof/>
        </w:rPr>
      </w:pPr>
      <w:r>
        <w:rPr>
          <w:noProof/>
        </w:rPr>
        <w:t xml:space="preserve">Krepitev digitalnih znanj in spretnosti: podukrep podpira krepitev digitalnih znanj in spretnosti mladih in odraslih na področjih, ki ne spadajo na področje naravoslovja, tehnologije, inženirstva in matematike. </w:t>
      </w:r>
    </w:p>
    <w:p w14:paraId="526DB37F" w14:textId="29D44143" w:rsidR="00F24946" w:rsidRDefault="00613B06">
      <w:pPr>
        <w:pStyle w:val="ListParagraph"/>
        <w:keepNext w:val="0"/>
        <w:numPr>
          <w:ilvl w:val="0"/>
          <w:numId w:val="74"/>
        </w:numPr>
        <w:spacing w:before="120" w:after="0" w:line="259" w:lineRule="auto"/>
        <w:rPr>
          <w:noProof/>
        </w:rPr>
      </w:pPr>
      <w:r>
        <w:rPr>
          <w:noProof/>
        </w:rPr>
        <w:t>Inovacije in pedagoška posodobitev visokega šolstva, podukrep:</w:t>
      </w:r>
    </w:p>
    <w:p w14:paraId="558BF1F7" w14:textId="3E15E716" w:rsidR="00F24946" w:rsidRDefault="00613B06">
      <w:pPr>
        <w:pStyle w:val="ListParagraph"/>
        <w:keepNext w:val="0"/>
        <w:numPr>
          <w:ilvl w:val="1"/>
          <w:numId w:val="74"/>
        </w:numPr>
        <w:spacing w:before="120" w:after="0" w:line="259" w:lineRule="auto"/>
        <w:rPr>
          <w:noProof/>
        </w:rPr>
      </w:pPr>
      <w:r>
        <w:rPr>
          <w:noProof/>
        </w:rPr>
        <w:t xml:space="preserve"> vzpostavitev centrov </w:t>
      </w:r>
      <w:bookmarkStart w:id="18" w:name="_Hlk143777429"/>
      <w:r>
        <w:rPr>
          <w:noProof/>
        </w:rPr>
        <w:t>odličnosti za pedagoške inovacije z močno digitalno komponento, s poudarkom na netehnoloških temah (družbene vede, humanistika in umetnost)</w:t>
      </w:r>
      <w:bookmarkEnd w:id="18"/>
      <w:r>
        <w:rPr>
          <w:noProof/>
        </w:rPr>
        <w:t>;</w:t>
      </w:r>
    </w:p>
    <w:p w14:paraId="74CE80F8" w14:textId="4912FB98" w:rsidR="00F24946" w:rsidRDefault="00613B06">
      <w:pPr>
        <w:pStyle w:val="ListParagraph"/>
        <w:keepNext w:val="0"/>
        <w:numPr>
          <w:ilvl w:val="1"/>
          <w:numId w:val="74"/>
        </w:numPr>
        <w:spacing w:before="120" w:after="0" w:line="259" w:lineRule="auto"/>
        <w:rPr>
          <w:noProof/>
        </w:rPr>
      </w:pPr>
      <w:bookmarkStart w:id="19" w:name="_Hlk143777454"/>
      <w:r>
        <w:rPr>
          <w:noProof/>
        </w:rPr>
        <w:t>Okrepitev programov financiranja, namenjenih znižanju stopnje osipa v visokošolskem izobraževanju</w:t>
      </w:r>
      <w:bookmarkEnd w:id="19"/>
      <w:r>
        <w:rPr>
          <w:noProof/>
        </w:rPr>
        <w:t>.</w:t>
      </w:r>
    </w:p>
    <w:p w14:paraId="3136AE0B" w14:textId="77777777" w:rsidR="00F24946" w:rsidRDefault="00613B06">
      <w:pPr>
        <w:pStyle w:val="P68B1DB1-Normal4"/>
        <w:spacing w:line="259" w:lineRule="auto"/>
        <w:jc w:val="both"/>
        <w:rPr>
          <w:rFonts w:cs="Times New Roman"/>
          <w:noProof/>
        </w:rPr>
      </w:pPr>
      <w:r>
        <w:rPr>
          <w:noProof/>
        </w:rPr>
        <w:t xml:space="preserve">Naložba se izvede do 30. junija 2026. </w:t>
      </w:r>
    </w:p>
    <w:p w14:paraId="6E920860" w14:textId="1AD743FE" w:rsidR="00F24946" w:rsidRDefault="00613B06">
      <w:pPr>
        <w:pStyle w:val="P68B1DB1-Heading214"/>
        <w:rPr>
          <w:noProof/>
        </w:rPr>
      </w:pPr>
      <w:bookmarkStart w:id="20" w:name="_Toc137472454"/>
      <w:r>
        <w:rPr>
          <w:noProof/>
        </w:rPr>
        <w:t>Naložba RE-C06-i08-RAM: Razširitev stavbe CITMA</w:t>
      </w:r>
      <w:bookmarkEnd w:id="20"/>
    </w:p>
    <w:p w14:paraId="73584109" w14:textId="1A6D9427" w:rsidR="00F24946" w:rsidRDefault="00613B06">
      <w:pPr>
        <w:pStyle w:val="P68B1DB1-Normal4"/>
        <w:spacing w:after="0" w:line="259" w:lineRule="auto"/>
        <w:jc w:val="both"/>
        <w:rPr>
          <w:rFonts w:cs="Times New Roman"/>
          <w:noProof/>
        </w:rPr>
      </w:pPr>
      <w:r>
        <w:rPr>
          <w:noProof/>
        </w:rPr>
        <w:t>Cilj ukrepa je zagotoviti, da je zgradba Znanstvenega in tehnološkega središča Madeire (CITMA) dovolj velika, da bo zadostila sedanjim in prihodnjim potrebam Univerze na Madeiri (Uma), optimizirala pedagoške in raziskovalne dejavnosti Ume s poudarkom na infrastrukturi za politehnično izobraževanje. Cilj tega je omogočiti tesnejše povezave med akademsko skupnostjo in podjetji ter izmenjavo izkušenj in virov.</w:t>
      </w:r>
    </w:p>
    <w:p w14:paraId="1BC3E158" w14:textId="54DD82ED" w:rsidR="00F24946" w:rsidRDefault="00613B06">
      <w:pPr>
        <w:pStyle w:val="P68B1DB1-Normal4"/>
        <w:spacing w:after="0" w:line="259" w:lineRule="auto"/>
        <w:jc w:val="both"/>
        <w:rPr>
          <w:rFonts w:cs="Times New Roman"/>
          <w:noProof/>
        </w:rPr>
      </w:pPr>
      <w:r>
        <w:rPr>
          <w:noProof/>
        </w:rPr>
        <w:t>Naložba vključuje dodajanje treh nadstropij sedanje stavbe in razširitev pritličja. Stavba je prilagojena potrebam oseb z omejeno mobilnostjo. Nekatera območja v stavbi morajo biti po velikosti prilagodljiva.</w:t>
      </w:r>
    </w:p>
    <w:p w14:paraId="44A8B62C" w14:textId="4FCC316F" w:rsidR="00F24946" w:rsidRDefault="00613B06">
      <w:pPr>
        <w:pStyle w:val="P68B1DB1-Normal4"/>
        <w:spacing w:line="259" w:lineRule="auto"/>
        <w:jc w:val="both"/>
        <w:rPr>
          <w:rFonts w:cs="Times New Roman"/>
          <w:noProof/>
        </w:rPr>
      </w:pPr>
      <w:r>
        <w:rPr>
          <w:noProof/>
        </w:rPr>
        <w:t xml:space="preserve">Naložba se izvede do 30. junija 2026. </w:t>
      </w:r>
    </w:p>
    <w:p w14:paraId="665517EB" w14:textId="77777777" w:rsidR="00F24946" w:rsidRDefault="00F24946">
      <w:pPr>
        <w:spacing w:before="40" w:after="0" w:line="259" w:lineRule="auto"/>
        <w:jc w:val="both"/>
        <w:rPr>
          <w:rFonts w:ascii="Times New Roman" w:eastAsiaTheme="minorEastAsia" w:hAnsi="Times New Roman" w:cs="Times New Roman"/>
          <w:noProof/>
          <w:sz w:val="24"/>
        </w:rPr>
      </w:pPr>
    </w:p>
    <w:p w14:paraId="6983890E" w14:textId="77777777" w:rsidR="00F24946" w:rsidRDefault="00F24946">
      <w:pPr>
        <w:spacing w:before="40" w:after="0" w:line="259" w:lineRule="auto"/>
        <w:jc w:val="both"/>
        <w:rPr>
          <w:rFonts w:ascii="Times New Roman" w:eastAsiaTheme="minorEastAsia" w:hAnsi="Times New Roman" w:cs="Times New Roman"/>
          <w:noProof/>
          <w:sz w:val="24"/>
        </w:rPr>
      </w:pPr>
    </w:p>
    <w:p w14:paraId="78B6531F"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20"/>
          <w:headerReference w:type="default" r:id="rId121"/>
          <w:footerReference w:type="even" r:id="rId122"/>
          <w:footerReference w:type="default" r:id="rId123"/>
          <w:headerReference w:type="first" r:id="rId124"/>
          <w:footerReference w:type="first" r:id="rId125"/>
          <w:pgSz w:w="11907" w:h="16839"/>
          <w:pgMar w:top="1134" w:right="1134" w:bottom="1134" w:left="1134" w:header="567" w:footer="567" w:gutter="0"/>
          <w:cols w:space="720"/>
          <w:docGrid w:linePitch="360"/>
        </w:sectPr>
      </w:pPr>
    </w:p>
    <w:p w14:paraId="059FBF21" w14:textId="77777777" w:rsidR="00F24946" w:rsidRDefault="00613B06">
      <w:pPr>
        <w:pStyle w:val="P68B1DB1-Normal3"/>
        <w:keepNext/>
        <w:spacing w:before="40" w:after="120" w:line="259" w:lineRule="auto"/>
        <w:ind w:left="130" w:firstLine="720"/>
        <w:jc w:val="both"/>
        <w:outlineLvl w:val="2"/>
        <w:rPr>
          <w:rFonts w:eastAsiaTheme="minorEastAsia" w:cs="Times New Roman"/>
          <w:noProof/>
        </w:rPr>
      </w:pPr>
      <w:r>
        <w:rPr>
          <w:noProof/>
        </w:rPr>
        <w:t>F.2. Mejniki, cilji, kazalniki in časovni razpored za spremljanje in izvajanje nepovratne finančne podpore Naslednje;</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F24946" w14:paraId="2F27C62F" w14:textId="77777777">
        <w:trPr>
          <w:trHeight w:val="910"/>
          <w:tblHeader/>
        </w:trPr>
        <w:tc>
          <w:tcPr>
            <w:tcW w:w="1135" w:type="dxa"/>
            <w:vMerge w:val="restart"/>
            <w:shd w:val="clear" w:color="auto" w:fill="BDD6EE"/>
            <w:vAlign w:val="center"/>
            <w:hideMark/>
          </w:tcPr>
          <w:p w14:paraId="6D1630A3"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0754D7BA"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5CE4AD72" w14:textId="5C42A0AE"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4BDED511"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3EA0C12C"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835" w:type="dxa"/>
            <w:gridSpan w:val="3"/>
            <w:shd w:val="clear" w:color="auto" w:fill="BDD6EE"/>
            <w:vAlign w:val="center"/>
            <w:hideMark/>
          </w:tcPr>
          <w:p w14:paraId="381F8037"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2B867F8B"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395" w:type="dxa"/>
            <w:vMerge w:val="restart"/>
            <w:shd w:val="clear" w:color="auto" w:fill="BDD6EE"/>
            <w:noWrap/>
            <w:vAlign w:val="center"/>
            <w:hideMark/>
          </w:tcPr>
          <w:p w14:paraId="61D7CEDC"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186265A2" w14:textId="77777777">
        <w:trPr>
          <w:trHeight w:val="470"/>
          <w:tblHeader/>
        </w:trPr>
        <w:tc>
          <w:tcPr>
            <w:tcW w:w="1135" w:type="dxa"/>
            <w:vMerge/>
            <w:vAlign w:val="center"/>
            <w:hideMark/>
          </w:tcPr>
          <w:p w14:paraId="23EAC102"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7FFB2B96"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61C40CBB" w14:textId="05DF786C"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392949DC"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0003544B"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1AC56CC8"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22EAFC97"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50" w:type="dxa"/>
            <w:shd w:val="clear" w:color="auto" w:fill="BDD6EE"/>
            <w:vAlign w:val="center"/>
            <w:hideMark/>
          </w:tcPr>
          <w:p w14:paraId="2BE8FC8B"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242D2DDD"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74452C72" w14:textId="77777777" w:rsidR="00F24946" w:rsidRDefault="00613B06">
            <w:pPr>
              <w:pStyle w:val="P68B1DB1-Normal6"/>
              <w:spacing w:after="0" w:line="240" w:lineRule="auto"/>
              <w:jc w:val="center"/>
              <w:rPr>
                <w:rFonts w:eastAsia="Times New Roman" w:cs="Times New Roman"/>
                <w:noProof/>
              </w:rPr>
            </w:pPr>
            <w:r>
              <w:rPr>
                <w:noProof/>
              </w:rPr>
              <w:t>Leto</w:t>
            </w:r>
          </w:p>
        </w:tc>
        <w:tc>
          <w:tcPr>
            <w:tcW w:w="4395" w:type="dxa"/>
            <w:vMerge/>
            <w:vAlign w:val="center"/>
            <w:hideMark/>
          </w:tcPr>
          <w:p w14:paraId="1CC6F99B" w14:textId="77777777" w:rsidR="00F24946" w:rsidRDefault="00F24946">
            <w:pPr>
              <w:spacing w:after="0" w:line="240" w:lineRule="auto"/>
              <w:rPr>
                <w:rFonts w:ascii="Times New Roman" w:eastAsia="Times New Roman" w:hAnsi="Times New Roman" w:cs="Times New Roman"/>
                <w:b/>
                <w:noProof/>
                <w:sz w:val="18"/>
              </w:rPr>
            </w:pPr>
          </w:p>
        </w:tc>
      </w:tr>
      <w:tr w:rsidR="00F24946" w14:paraId="79EA62E7" w14:textId="77777777">
        <w:trPr>
          <w:trHeight w:val="640"/>
        </w:trPr>
        <w:tc>
          <w:tcPr>
            <w:tcW w:w="1135" w:type="dxa"/>
            <w:shd w:val="clear" w:color="auto" w:fill="C5EFCE"/>
            <w:vAlign w:val="center"/>
            <w:hideMark/>
          </w:tcPr>
          <w:p w14:paraId="11E1C5C8" w14:textId="77777777" w:rsidR="00F24946" w:rsidRDefault="00613B06">
            <w:pPr>
              <w:pStyle w:val="P68B1DB1-Normal7"/>
              <w:spacing w:after="0" w:line="240" w:lineRule="auto"/>
              <w:jc w:val="center"/>
              <w:rPr>
                <w:rFonts w:eastAsia="Times New Roman" w:cs="Calibri"/>
                <w:noProof/>
              </w:rPr>
            </w:pPr>
            <w:r>
              <w:rPr>
                <w:noProof/>
              </w:rPr>
              <w:t>6.1</w:t>
            </w:r>
          </w:p>
        </w:tc>
        <w:tc>
          <w:tcPr>
            <w:tcW w:w="1276" w:type="dxa"/>
            <w:shd w:val="clear" w:color="auto" w:fill="C4EFCE"/>
            <w:noWrap/>
            <w:vAlign w:val="center"/>
            <w:hideMark/>
          </w:tcPr>
          <w:p w14:paraId="1D6D398A" w14:textId="77777777" w:rsidR="00F24946" w:rsidRDefault="00613B06">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0245193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E5CBD2" w14:textId="77777777" w:rsidR="00F24946" w:rsidRDefault="00613B06">
            <w:pPr>
              <w:pStyle w:val="P68B1DB1-Normal8"/>
              <w:spacing w:after="0" w:line="240" w:lineRule="auto"/>
              <w:jc w:val="center"/>
              <w:rPr>
                <w:rFonts w:eastAsia="Times New Roman" w:cs="Calibri"/>
                <w:noProof/>
              </w:rPr>
            </w:pPr>
            <w:r>
              <w:rPr>
                <w:noProof/>
              </w:rPr>
              <w:t>Prenovljeni ali zgrajeni specializirani tehnološki centri</w:t>
            </w:r>
          </w:p>
        </w:tc>
        <w:tc>
          <w:tcPr>
            <w:tcW w:w="1275" w:type="dxa"/>
            <w:shd w:val="clear" w:color="auto" w:fill="C4EFCE"/>
            <w:noWrap/>
            <w:vAlign w:val="center"/>
            <w:hideMark/>
          </w:tcPr>
          <w:p w14:paraId="1DC8F389"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1339AB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73C47244"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2609596" w14:textId="77777777" w:rsidR="00F24946" w:rsidRDefault="00613B06">
            <w:pPr>
              <w:pStyle w:val="P68B1DB1-Normal8"/>
              <w:spacing w:after="0" w:line="240" w:lineRule="auto"/>
              <w:jc w:val="center"/>
              <w:rPr>
                <w:rFonts w:eastAsia="Times New Roman" w:cs="Calibri"/>
                <w:noProof/>
              </w:rPr>
            </w:pPr>
            <w:r>
              <w:rPr>
                <w:noProof/>
              </w:rPr>
              <w:t>310</w:t>
            </w:r>
          </w:p>
        </w:tc>
        <w:tc>
          <w:tcPr>
            <w:tcW w:w="567" w:type="dxa"/>
            <w:shd w:val="clear" w:color="auto" w:fill="C4EFCE"/>
            <w:noWrap/>
            <w:vAlign w:val="center"/>
            <w:hideMark/>
          </w:tcPr>
          <w:p w14:paraId="5E57712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5B9C16CB"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E2343BD" w14:textId="77777777" w:rsidR="00F24946" w:rsidRDefault="00613B06">
            <w:pPr>
              <w:pStyle w:val="P68B1DB1-Normal8"/>
              <w:spacing w:after="0" w:line="240" w:lineRule="auto"/>
              <w:jc w:val="both"/>
              <w:rPr>
                <w:rFonts w:eastAsia="Times New Roman" w:cs="Calibri"/>
                <w:noProof/>
              </w:rPr>
            </w:pPr>
            <w:r>
              <w:rPr>
                <w:noProof/>
              </w:rPr>
              <w:t xml:space="preserve">Število specializiranih tehnoloških centrov, obnovljenih ali zgrajenih za strokovne tečaje v srednješolskem izobraževanju, vključno z opremo za financiranje, tehnološko infrastrukturo ter morebitno prekvalifikacijo prostorov in delavnic za prilagoditev novim tečajem. </w:t>
            </w:r>
          </w:p>
        </w:tc>
      </w:tr>
      <w:tr w:rsidR="00F24946" w14:paraId="31C598A2" w14:textId="77777777">
        <w:trPr>
          <w:trHeight w:val="640"/>
        </w:trPr>
        <w:tc>
          <w:tcPr>
            <w:tcW w:w="1135" w:type="dxa"/>
            <w:shd w:val="clear" w:color="auto" w:fill="C5EFCE"/>
            <w:vAlign w:val="center"/>
            <w:hideMark/>
          </w:tcPr>
          <w:p w14:paraId="2FE12F6E" w14:textId="77777777" w:rsidR="00F24946" w:rsidRDefault="00613B06">
            <w:pPr>
              <w:pStyle w:val="P68B1DB1-Normal7"/>
              <w:spacing w:after="0" w:line="240" w:lineRule="auto"/>
              <w:jc w:val="center"/>
              <w:rPr>
                <w:rFonts w:eastAsia="Times New Roman" w:cs="Calibri"/>
                <w:noProof/>
              </w:rPr>
            </w:pPr>
            <w:r>
              <w:rPr>
                <w:noProof/>
              </w:rPr>
              <w:t>6.2</w:t>
            </w:r>
          </w:p>
        </w:tc>
        <w:tc>
          <w:tcPr>
            <w:tcW w:w="1276" w:type="dxa"/>
            <w:shd w:val="clear" w:color="auto" w:fill="C4EFCE"/>
            <w:noWrap/>
            <w:vAlign w:val="center"/>
            <w:hideMark/>
          </w:tcPr>
          <w:p w14:paraId="6CE55E02" w14:textId="77777777" w:rsidR="00F24946" w:rsidRDefault="00613B06">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65464C5"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EAA9EB9" w14:textId="77777777" w:rsidR="00F24946" w:rsidRDefault="00613B06">
            <w:pPr>
              <w:pStyle w:val="P68B1DB1-Normal8"/>
              <w:spacing w:after="0" w:line="240" w:lineRule="auto"/>
              <w:jc w:val="center"/>
              <w:rPr>
                <w:rFonts w:eastAsia="Times New Roman" w:cs="Calibri"/>
                <w:noProof/>
              </w:rPr>
            </w:pPr>
            <w:r>
              <w:rPr>
                <w:noProof/>
              </w:rPr>
              <w:t>Prenovljeni ali zgrajeni specializirani tehnološki centri</w:t>
            </w:r>
          </w:p>
        </w:tc>
        <w:tc>
          <w:tcPr>
            <w:tcW w:w="1275" w:type="dxa"/>
            <w:shd w:val="clear" w:color="auto" w:fill="C4EFCE"/>
            <w:noWrap/>
            <w:vAlign w:val="center"/>
            <w:hideMark/>
          </w:tcPr>
          <w:p w14:paraId="5298122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D07B5"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C1D84AB" w14:textId="77777777" w:rsidR="00F24946" w:rsidRDefault="00613B06">
            <w:pPr>
              <w:pStyle w:val="P68B1DB1-Normal8"/>
              <w:spacing w:after="0" w:line="240" w:lineRule="auto"/>
              <w:jc w:val="center"/>
              <w:rPr>
                <w:rFonts w:eastAsia="Times New Roman" w:cs="Calibri"/>
                <w:noProof/>
              </w:rPr>
            </w:pPr>
            <w:r>
              <w:rPr>
                <w:noProof/>
              </w:rPr>
              <w:t>310</w:t>
            </w:r>
          </w:p>
        </w:tc>
        <w:tc>
          <w:tcPr>
            <w:tcW w:w="850" w:type="dxa"/>
            <w:shd w:val="clear" w:color="auto" w:fill="C4EFCE"/>
            <w:noWrap/>
            <w:vAlign w:val="center"/>
            <w:hideMark/>
          </w:tcPr>
          <w:p w14:paraId="53776CC3" w14:textId="77777777" w:rsidR="00F24946" w:rsidRDefault="00613B06">
            <w:pPr>
              <w:pStyle w:val="P68B1DB1-Normal8"/>
              <w:spacing w:after="0" w:line="240" w:lineRule="auto"/>
              <w:jc w:val="center"/>
              <w:rPr>
                <w:rFonts w:eastAsia="Times New Roman" w:cs="Calibri"/>
                <w:noProof/>
              </w:rPr>
            </w:pPr>
            <w:r>
              <w:rPr>
                <w:noProof/>
              </w:rPr>
              <w:t>365</w:t>
            </w:r>
          </w:p>
        </w:tc>
        <w:tc>
          <w:tcPr>
            <w:tcW w:w="567" w:type="dxa"/>
            <w:shd w:val="clear" w:color="auto" w:fill="C4EFCE"/>
            <w:noWrap/>
            <w:vAlign w:val="center"/>
            <w:hideMark/>
          </w:tcPr>
          <w:p w14:paraId="27944A1C"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EEBE2C5"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A678E29" w14:textId="77777777" w:rsidR="00F24946" w:rsidRDefault="00613B06">
            <w:pPr>
              <w:pStyle w:val="P68B1DB1-Normal8"/>
              <w:spacing w:after="0" w:line="240" w:lineRule="auto"/>
              <w:jc w:val="both"/>
              <w:rPr>
                <w:rFonts w:eastAsia="Times New Roman" w:cs="Calibri"/>
                <w:noProof/>
              </w:rPr>
            </w:pPr>
            <w:r>
              <w:rPr>
                <w:noProof/>
              </w:rPr>
              <w:t>Število specializiranih tehnoloških centrov, obnovljenih ali zgrajenih za strokovne tečaje v srednješolskem izobraževanju, vključno z opremo za financiranje, tehnološko infrastrukturo ter morebitno prekvalifikacijo prostorov in delavnic za prilagoditev novim tečajem</w:t>
            </w:r>
          </w:p>
        </w:tc>
      </w:tr>
      <w:tr w:rsidR="00F24946" w14:paraId="3E90A23F" w14:textId="77777777">
        <w:trPr>
          <w:trHeight w:val="1270"/>
        </w:trPr>
        <w:tc>
          <w:tcPr>
            <w:tcW w:w="1135" w:type="dxa"/>
            <w:shd w:val="clear" w:color="auto" w:fill="C5EFCE"/>
            <w:vAlign w:val="center"/>
            <w:hideMark/>
          </w:tcPr>
          <w:p w14:paraId="047D3B3F" w14:textId="77777777" w:rsidR="00F24946" w:rsidRDefault="00613B06">
            <w:pPr>
              <w:pStyle w:val="P68B1DB1-Normal7"/>
              <w:spacing w:after="0" w:line="240" w:lineRule="auto"/>
              <w:jc w:val="center"/>
              <w:rPr>
                <w:rFonts w:eastAsia="Times New Roman" w:cs="Calibri"/>
                <w:noProof/>
              </w:rPr>
            </w:pPr>
            <w:r>
              <w:rPr>
                <w:noProof/>
              </w:rPr>
              <w:t>6.3</w:t>
            </w:r>
          </w:p>
        </w:tc>
        <w:tc>
          <w:tcPr>
            <w:tcW w:w="1276" w:type="dxa"/>
            <w:shd w:val="clear" w:color="auto" w:fill="C4EFCE"/>
            <w:noWrap/>
            <w:vAlign w:val="center"/>
            <w:hideMark/>
          </w:tcPr>
          <w:p w14:paraId="5356A2CC" w14:textId="77777777" w:rsidR="00F24946" w:rsidRDefault="00613B06">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DB04DD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A61F5F" w14:textId="77777777" w:rsidR="00F24946" w:rsidRDefault="00613B06">
            <w:pPr>
              <w:pStyle w:val="P68B1DB1-Normal8"/>
              <w:spacing w:after="0" w:line="240" w:lineRule="auto"/>
              <w:jc w:val="center"/>
              <w:rPr>
                <w:rFonts w:eastAsia="Times New Roman" w:cs="Calibri"/>
                <w:noProof/>
              </w:rPr>
            </w:pPr>
            <w:r>
              <w:rPr>
                <w:noProof/>
              </w:rPr>
              <w:t xml:space="preserve">Nadgrajene postaje za usposabljanje </w:t>
            </w:r>
          </w:p>
        </w:tc>
        <w:tc>
          <w:tcPr>
            <w:tcW w:w="1275" w:type="dxa"/>
            <w:shd w:val="clear" w:color="auto" w:fill="C4EFCE"/>
            <w:noWrap/>
            <w:vAlign w:val="center"/>
            <w:hideMark/>
          </w:tcPr>
          <w:p w14:paraId="130E4E31"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6DA56A3"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213A84D5"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D069C25" w14:textId="373C2310" w:rsidR="00F24946" w:rsidRDefault="00613B06">
            <w:pPr>
              <w:pStyle w:val="P68B1DB1-Normal8"/>
              <w:spacing w:after="0" w:line="240" w:lineRule="auto"/>
              <w:jc w:val="center"/>
              <w:rPr>
                <w:rFonts w:eastAsia="Times New Roman" w:cs="Calibri"/>
                <w:noProof/>
              </w:rPr>
            </w:pPr>
            <w:r>
              <w:rPr>
                <w:noProof/>
              </w:rPr>
              <w:t>11 500</w:t>
            </w:r>
          </w:p>
        </w:tc>
        <w:tc>
          <w:tcPr>
            <w:tcW w:w="567" w:type="dxa"/>
            <w:shd w:val="clear" w:color="auto" w:fill="C4EFCE"/>
            <w:noWrap/>
            <w:vAlign w:val="center"/>
            <w:hideMark/>
          </w:tcPr>
          <w:p w14:paraId="61A11D3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CE9D443" w14:textId="77777777" w:rsidR="00F24946" w:rsidRDefault="00613B06">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31810B06" w14:textId="42B3EDCA" w:rsidR="00F24946" w:rsidRDefault="00613B06">
            <w:pPr>
              <w:pStyle w:val="P68B1DB1-Normal8"/>
              <w:spacing w:after="0" w:line="240" w:lineRule="auto"/>
              <w:jc w:val="both"/>
              <w:rPr>
                <w:rFonts w:eastAsia="Times New Roman" w:cs="Calibri"/>
                <w:noProof/>
              </w:rPr>
            </w:pPr>
            <w:r>
              <w:rPr>
                <w:noProof/>
              </w:rPr>
              <w:t>Število prenovljenih ali zgrajenih postaj za poklicno usposabljanje mreže javnih zavodov za zaposlovanje (IEFP) in mreže šol nacionalnega organa za turizem (Turismo de Portugal), ki se upravljajo neposredno ali prek koncesije. Vključuje obnovo in gradnjo novih stavb ter nakup različnih vrst opreme za namene usposabljanja. 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4AB7F922" w14:textId="77777777">
        <w:trPr>
          <w:trHeight w:val="1270"/>
        </w:trPr>
        <w:tc>
          <w:tcPr>
            <w:tcW w:w="1135" w:type="dxa"/>
            <w:shd w:val="clear" w:color="auto" w:fill="C5EFCE"/>
            <w:vAlign w:val="center"/>
            <w:hideMark/>
          </w:tcPr>
          <w:p w14:paraId="4DAD2626" w14:textId="77777777" w:rsidR="00F24946" w:rsidRDefault="00613B06">
            <w:pPr>
              <w:pStyle w:val="P68B1DB1-Normal7"/>
              <w:spacing w:after="0" w:line="240" w:lineRule="auto"/>
              <w:jc w:val="center"/>
              <w:rPr>
                <w:rFonts w:eastAsia="Times New Roman" w:cs="Calibri"/>
                <w:noProof/>
              </w:rPr>
            </w:pPr>
            <w:r>
              <w:rPr>
                <w:noProof/>
              </w:rPr>
              <w:t>6.4</w:t>
            </w:r>
          </w:p>
        </w:tc>
        <w:tc>
          <w:tcPr>
            <w:tcW w:w="1276" w:type="dxa"/>
            <w:shd w:val="clear" w:color="auto" w:fill="C4EFCE"/>
            <w:noWrap/>
            <w:vAlign w:val="center"/>
            <w:hideMark/>
          </w:tcPr>
          <w:p w14:paraId="069D62CA" w14:textId="77777777" w:rsidR="00F24946" w:rsidRDefault="00613B06">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5EE390D5"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B383716" w14:textId="77777777" w:rsidR="00F24946" w:rsidRDefault="00613B06">
            <w:pPr>
              <w:pStyle w:val="P68B1DB1-Normal8"/>
              <w:spacing w:after="0" w:line="240" w:lineRule="auto"/>
              <w:jc w:val="center"/>
              <w:rPr>
                <w:rFonts w:eastAsia="Times New Roman" w:cs="Calibri"/>
                <w:noProof/>
              </w:rPr>
            </w:pPr>
            <w:r>
              <w:rPr>
                <w:noProof/>
              </w:rPr>
              <w:t xml:space="preserve">Nadgrajene postaje za usposabljanje </w:t>
            </w:r>
          </w:p>
        </w:tc>
        <w:tc>
          <w:tcPr>
            <w:tcW w:w="1275" w:type="dxa"/>
            <w:shd w:val="clear" w:color="auto" w:fill="C4EFCE"/>
            <w:noWrap/>
            <w:vAlign w:val="center"/>
            <w:hideMark/>
          </w:tcPr>
          <w:p w14:paraId="16A61C90"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DA2846B"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5EBF0158" w14:textId="6B2FB681" w:rsidR="00F24946" w:rsidRDefault="00613B06">
            <w:pPr>
              <w:pStyle w:val="P68B1DB1-Normal8"/>
              <w:spacing w:after="0" w:line="240" w:lineRule="auto"/>
              <w:jc w:val="center"/>
              <w:rPr>
                <w:rFonts w:eastAsia="Times New Roman" w:cs="Calibri"/>
                <w:noProof/>
              </w:rPr>
            </w:pPr>
            <w:r>
              <w:rPr>
                <w:noProof/>
              </w:rPr>
              <w:t>11 500</w:t>
            </w:r>
          </w:p>
        </w:tc>
        <w:tc>
          <w:tcPr>
            <w:tcW w:w="850" w:type="dxa"/>
            <w:shd w:val="clear" w:color="auto" w:fill="C4EFCE"/>
            <w:noWrap/>
            <w:vAlign w:val="center"/>
            <w:hideMark/>
          </w:tcPr>
          <w:p w14:paraId="60A36C33" w14:textId="77777777" w:rsidR="00F24946" w:rsidRDefault="00613B06">
            <w:pPr>
              <w:pStyle w:val="P68B1DB1-Normal8"/>
              <w:spacing w:after="0" w:line="240" w:lineRule="auto"/>
              <w:jc w:val="center"/>
              <w:rPr>
                <w:rFonts w:eastAsia="Times New Roman" w:cs="Calibri"/>
                <w:noProof/>
              </w:rPr>
            </w:pPr>
            <w:r>
              <w:rPr>
                <w:noProof/>
              </w:rPr>
              <w:t>22 000</w:t>
            </w:r>
          </w:p>
        </w:tc>
        <w:tc>
          <w:tcPr>
            <w:tcW w:w="567" w:type="dxa"/>
            <w:shd w:val="clear" w:color="auto" w:fill="C4EFCE"/>
            <w:noWrap/>
            <w:vAlign w:val="center"/>
            <w:hideMark/>
          </w:tcPr>
          <w:p w14:paraId="787ADB8E"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C45E088"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C38451" w14:textId="3C4E7288" w:rsidR="00F24946" w:rsidRDefault="00613B06">
            <w:pPr>
              <w:pStyle w:val="P68B1DB1-Normal8"/>
              <w:spacing w:after="0" w:line="240" w:lineRule="auto"/>
              <w:jc w:val="both"/>
              <w:rPr>
                <w:rFonts w:eastAsia="Times New Roman" w:cs="Calibri"/>
                <w:noProof/>
              </w:rPr>
            </w:pPr>
            <w:r>
              <w:rPr>
                <w:noProof/>
              </w:rPr>
              <w:t>Število prenovljenih ali zgrajenih postaj za poklicno usposabljanje mreže javnih zavodov za zaposlovanje (IEFP) in mreže šol nacionalnega organa za turizem (Turismo de Portugal), ki se upravljajo neposredno ali prek koncesije. Vključuje obnovo in gradnjo novih stavb ter nakup različnih vrst opreme za namene usposabljanja. 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6C12491B" w14:textId="77777777">
        <w:trPr>
          <w:trHeight w:val="430"/>
        </w:trPr>
        <w:tc>
          <w:tcPr>
            <w:tcW w:w="1135" w:type="dxa"/>
            <w:shd w:val="clear" w:color="auto" w:fill="C5EFCE"/>
            <w:vAlign w:val="center"/>
            <w:hideMark/>
          </w:tcPr>
          <w:p w14:paraId="0EDD61CD" w14:textId="77777777" w:rsidR="00F24946" w:rsidRDefault="00613B06">
            <w:pPr>
              <w:pStyle w:val="P68B1DB1-Normal7"/>
              <w:spacing w:after="0" w:line="240" w:lineRule="auto"/>
              <w:jc w:val="center"/>
              <w:rPr>
                <w:rFonts w:eastAsia="Times New Roman" w:cs="Calibri"/>
                <w:noProof/>
              </w:rPr>
            </w:pPr>
            <w:r>
              <w:rPr>
                <w:noProof/>
              </w:rPr>
              <w:t>6.5</w:t>
            </w:r>
          </w:p>
        </w:tc>
        <w:tc>
          <w:tcPr>
            <w:tcW w:w="1276" w:type="dxa"/>
            <w:shd w:val="clear" w:color="auto" w:fill="C4EFCE"/>
            <w:noWrap/>
            <w:vAlign w:val="center"/>
            <w:hideMark/>
          </w:tcPr>
          <w:p w14:paraId="5DFD9DC8" w14:textId="77777777" w:rsidR="00F24946" w:rsidRDefault="00613B06">
            <w:pPr>
              <w:pStyle w:val="P68B1DB1-Normal8"/>
              <w:spacing w:after="0" w:line="240" w:lineRule="auto"/>
              <w:jc w:val="center"/>
              <w:rPr>
                <w:rFonts w:eastAsia="Times New Roman" w:cs="Calibri"/>
                <w:noProof/>
              </w:rPr>
            </w:pPr>
            <w:r>
              <w:rPr>
                <w:noProof/>
              </w:rPr>
              <w:t>Re-C06-i02</w:t>
            </w:r>
          </w:p>
        </w:tc>
        <w:tc>
          <w:tcPr>
            <w:tcW w:w="1134" w:type="dxa"/>
            <w:shd w:val="clear" w:color="auto" w:fill="C4EFCE"/>
            <w:noWrap/>
            <w:vAlign w:val="center"/>
            <w:hideMark/>
          </w:tcPr>
          <w:p w14:paraId="659AF737"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0AF8F6" w14:textId="77777777" w:rsidR="00F24946" w:rsidRDefault="00613B06">
            <w:pPr>
              <w:pStyle w:val="P68B1DB1-Normal8"/>
              <w:spacing w:after="0" w:line="240" w:lineRule="auto"/>
              <w:jc w:val="center"/>
              <w:rPr>
                <w:rFonts w:eastAsia="Times New Roman" w:cs="Calibri"/>
                <w:noProof/>
              </w:rPr>
            </w:pPr>
            <w:r>
              <w:rPr>
                <w:noProof/>
              </w:rPr>
              <w:t xml:space="preserve">Finančna podpora za pogodbe za nedoločen čas </w:t>
            </w:r>
          </w:p>
        </w:tc>
        <w:tc>
          <w:tcPr>
            <w:tcW w:w="1275" w:type="dxa"/>
            <w:shd w:val="clear" w:color="auto" w:fill="C4EFCE"/>
            <w:noWrap/>
            <w:vAlign w:val="center"/>
            <w:hideMark/>
          </w:tcPr>
          <w:p w14:paraId="10FDB223"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A7A81A"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DE8E0EA"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3A09210A" w14:textId="77777777" w:rsidR="00F24946" w:rsidRDefault="00613B06">
            <w:pPr>
              <w:pStyle w:val="P68B1DB1-Normal8"/>
              <w:spacing w:after="0" w:line="240" w:lineRule="auto"/>
              <w:jc w:val="center"/>
              <w:rPr>
                <w:rFonts w:eastAsia="Times New Roman" w:cs="Calibri"/>
                <w:noProof/>
              </w:rPr>
            </w:pPr>
            <w:r>
              <w:rPr>
                <w:noProof/>
              </w:rPr>
              <w:t>30 000</w:t>
            </w:r>
          </w:p>
        </w:tc>
        <w:tc>
          <w:tcPr>
            <w:tcW w:w="567" w:type="dxa"/>
            <w:shd w:val="clear" w:color="auto" w:fill="C4EFCE"/>
            <w:noWrap/>
            <w:vAlign w:val="center"/>
            <w:hideMark/>
          </w:tcPr>
          <w:p w14:paraId="0B4540AC"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ACEB742" w14:textId="288C9D01" w:rsidR="00F24946" w:rsidRDefault="00613B06">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675968B1" w14:textId="77777777" w:rsidR="00F24946" w:rsidRDefault="00613B06">
            <w:pPr>
              <w:pStyle w:val="P68B1DB1-Normal8"/>
              <w:spacing w:after="0" w:line="240" w:lineRule="auto"/>
              <w:jc w:val="both"/>
              <w:rPr>
                <w:rFonts w:eastAsia="Times New Roman" w:cs="Calibri"/>
                <w:noProof/>
              </w:rPr>
            </w:pPr>
            <w:r>
              <w:rPr>
                <w:noProof/>
              </w:rPr>
              <w:t>Število pogodb, podprtih s finančno podporo, dodeljeno delodajalcem v zameno za ponujanje pogodb za nedoločen čas, s katerimi se plačujejo ustrezne plače na trgu dela v okviru ukrepa zaveze za trajnostno zaposlovanje.</w:t>
            </w:r>
          </w:p>
        </w:tc>
      </w:tr>
      <w:tr w:rsidR="00F24946" w14:paraId="61E0EF86" w14:textId="77777777">
        <w:trPr>
          <w:trHeight w:val="1060"/>
        </w:trPr>
        <w:tc>
          <w:tcPr>
            <w:tcW w:w="1135" w:type="dxa"/>
            <w:shd w:val="clear" w:color="auto" w:fill="C5EFCE"/>
            <w:vAlign w:val="center"/>
            <w:hideMark/>
          </w:tcPr>
          <w:p w14:paraId="148B85D9" w14:textId="77777777" w:rsidR="00F24946" w:rsidRDefault="00613B06">
            <w:pPr>
              <w:pStyle w:val="P68B1DB1-Normal7"/>
              <w:spacing w:after="0" w:line="240" w:lineRule="auto"/>
              <w:jc w:val="center"/>
              <w:rPr>
                <w:rFonts w:eastAsia="Times New Roman" w:cs="Calibri"/>
                <w:noProof/>
              </w:rPr>
            </w:pPr>
            <w:r>
              <w:rPr>
                <w:noProof/>
              </w:rPr>
              <w:t>6.6</w:t>
            </w:r>
          </w:p>
        </w:tc>
        <w:tc>
          <w:tcPr>
            <w:tcW w:w="1276" w:type="dxa"/>
            <w:shd w:val="clear" w:color="auto" w:fill="C4EFCE"/>
            <w:noWrap/>
            <w:vAlign w:val="center"/>
            <w:hideMark/>
          </w:tcPr>
          <w:p w14:paraId="479AA52E" w14:textId="77777777" w:rsidR="00F24946" w:rsidRDefault="00613B06">
            <w:pPr>
              <w:pStyle w:val="P68B1DB1-Normal8"/>
              <w:spacing w:after="0" w:line="240" w:lineRule="auto"/>
              <w:jc w:val="center"/>
              <w:rPr>
                <w:rFonts w:eastAsia="Times New Roman" w:cs="Calibri"/>
                <w:noProof/>
              </w:rPr>
            </w:pPr>
            <w:r>
              <w:rPr>
                <w:noProof/>
              </w:rPr>
              <w:t>Re-C06-i03</w:t>
            </w:r>
          </w:p>
        </w:tc>
        <w:tc>
          <w:tcPr>
            <w:tcW w:w="1134" w:type="dxa"/>
            <w:shd w:val="clear" w:color="auto" w:fill="C4EFCE"/>
            <w:noWrap/>
            <w:vAlign w:val="center"/>
            <w:hideMark/>
          </w:tcPr>
          <w:p w14:paraId="12BFBD4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0CC8E3A" w14:textId="77777777" w:rsidR="00F24946" w:rsidRDefault="00613B06">
            <w:pPr>
              <w:pStyle w:val="P68B1DB1-Normal8"/>
              <w:spacing w:after="0" w:line="240" w:lineRule="auto"/>
              <w:jc w:val="center"/>
              <w:rPr>
                <w:rFonts w:eastAsia="Times New Roman" w:cs="Calibri"/>
                <w:noProof/>
              </w:rPr>
            </w:pPr>
            <w:r>
              <w:rPr>
                <w:noProof/>
              </w:rPr>
              <w:t>Dodatni udeleženci ukrepov za podporo izpopolnjevanju odraslih</w:t>
            </w:r>
          </w:p>
        </w:tc>
        <w:tc>
          <w:tcPr>
            <w:tcW w:w="1275" w:type="dxa"/>
            <w:shd w:val="clear" w:color="auto" w:fill="C4EFCE"/>
            <w:noWrap/>
            <w:vAlign w:val="center"/>
            <w:hideMark/>
          </w:tcPr>
          <w:p w14:paraId="22792D93"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DD62676"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B8E5057" w14:textId="77777777" w:rsidR="00F24946" w:rsidRDefault="00613B06">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5DACDA6B" w14:textId="25014E5E" w:rsidR="00F24946" w:rsidRDefault="00613B06">
            <w:pPr>
              <w:pStyle w:val="P68B1DB1-Normal8"/>
              <w:spacing w:after="0" w:line="240" w:lineRule="auto"/>
              <w:jc w:val="center"/>
              <w:rPr>
                <w:rFonts w:eastAsia="Times New Roman" w:cs="Calibri"/>
                <w:noProof/>
              </w:rPr>
            </w:pPr>
            <w:r>
              <w:rPr>
                <w:noProof/>
              </w:rPr>
              <w:t>145 500</w:t>
            </w:r>
          </w:p>
        </w:tc>
        <w:tc>
          <w:tcPr>
            <w:tcW w:w="567" w:type="dxa"/>
            <w:shd w:val="clear" w:color="auto" w:fill="C4EFCE"/>
            <w:noWrap/>
            <w:vAlign w:val="center"/>
            <w:hideMark/>
          </w:tcPr>
          <w:p w14:paraId="4B441948"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0E8AB3E7"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A246919" w14:textId="27E7058B" w:rsidR="00F24946" w:rsidRDefault="00613B06">
            <w:pPr>
              <w:pStyle w:val="P68B1DB1-Normal8"/>
              <w:spacing w:after="0" w:line="240" w:lineRule="auto"/>
              <w:jc w:val="both"/>
              <w:rPr>
                <w:rFonts w:eastAsia="Times New Roman" w:cs="Calibri"/>
                <w:noProof/>
              </w:rPr>
            </w:pPr>
            <w:r>
              <w:rPr>
                <w:noProof/>
              </w:rPr>
              <w:t>Dodatno število odraslih (18+), ki so se udeležili enega od naslednjih tečajev: (I) osnovni tečaji izobraževanja in usposabljanja za odrasle na ravneh B1/B2/B3, ki jih vodijo lokalni projekti, ki imajo koristi od razširitve nacionalnega načrta za pismenost odraslih; II) poti usposabljanja za priznavanje, potrjevanje in potrjevanje kompetenc za nizkokvalificirane odrasle (RVCC); ter (iii) kratkotrajni programi terciarnega izobraževanja, ki jih organizirajo konzorciji visokošolskih ustanov in delodajalcev.</w:t>
            </w:r>
          </w:p>
        </w:tc>
      </w:tr>
      <w:tr w:rsidR="00F24946" w14:paraId="4D402638" w14:textId="77777777">
        <w:trPr>
          <w:trHeight w:val="640"/>
        </w:trPr>
        <w:tc>
          <w:tcPr>
            <w:tcW w:w="1135" w:type="dxa"/>
            <w:shd w:val="clear" w:color="auto" w:fill="C5EFCE"/>
            <w:vAlign w:val="center"/>
            <w:hideMark/>
          </w:tcPr>
          <w:p w14:paraId="0D51C2DF" w14:textId="77777777" w:rsidR="00F24946" w:rsidRDefault="00613B06">
            <w:pPr>
              <w:pStyle w:val="P68B1DB1-Normal7"/>
              <w:spacing w:after="0" w:line="240" w:lineRule="auto"/>
              <w:jc w:val="center"/>
              <w:rPr>
                <w:rFonts w:eastAsia="Times New Roman" w:cs="Calibri"/>
                <w:noProof/>
              </w:rPr>
            </w:pPr>
            <w:r>
              <w:rPr>
                <w:noProof/>
              </w:rPr>
              <w:t>6.7</w:t>
            </w:r>
          </w:p>
        </w:tc>
        <w:tc>
          <w:tcPr>
            <w:tcW w:w="1276" w:type="dxa"/>
            <w:shd w:val="clear" w:color="auto" w:fill="C4EFCE"/>
            <w:noWrap/>
            <w:vAlign w:val="center"/>
            <w:hideMark/>
          </w:tcPr>
          <w:p w14:paraId="14AD9AAA" w14:textId="77777777" w:rsidR="00F24946" w:rsidRDefault="00613B06">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6313215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FF28ED8" w14:textId="77777777" w:rsidR="00F24946" w:rsidRDefault="00613B06">
            <w:pPr>
              <w:pStyle w:val="P68B1DB1-Normal8"/>
              <w:spacing w:after="0" w:line="240" w:lineRule="auto"/>
              <w:jc w:val="center"/>
              <w:rPr>
                <w:rFonts w:eastAsia="Times New Roman" w:cs="Calibri"/>
                <w:noProof/>
              </w:rPr>
            </w:pPr>
            <w:r>
              <w:rPr>
                <w:noProof/>
              </w:rPr>
              <w:t xml:space="preserve">Dodatni klubi </w:t>
            </w:r>
            <w:r>
              <w:rPr>
                <w:i/>
                <w:noProof/>
              </w:rPr>
              <w:t>Ciência Viva</w:t>
            </w:r>
          </w:p>
        </w:tc>
        <w:tc>
          <w:tcPr>
            <w:tcW w:w="1275" w:type="dxa"/>
            <w:shd w:val="clear" w:color="auto" w:fill="C4EFCE"/>
            <w:noWrap/>
            <w:vAlign w:val="center"/>
            <w:hideMark/>
          </w:tcPr>
          <w:p w14:paraId="475EF3EC"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0C07D87"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139C60E3"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13DAAD2" w14:textId="77777777" w:rsidR="00F24946" w:rsidRDefault="00613B06">
            <w:pPr>
              <w:pStyle w:val="P68B1DB1-Normal8"/>
              <w:spacing w:after="0" w:line="240" w:lineRule="auto"/>
              <w:jc w:val="center"/>
              <w:rPr>
                <w:rFonts w:eastAsia="Times New Roman" w:cs="Calibri"/>
                <w:noProof/>
              </w:rPr>
            </w:pPr>
            <w:r>
              <w:rPr>
                <w:noProof/>
              </w:rPr>
              <w:t>650</w:t>
            </w:r>
          </w:p>
        </w:tc>
        <w:tc>
          <w:tcPr>
            <w:tcW w:w="567" w:type="dxa"/>
            <w:shd w:val="clear" w:color="auto" w:fill="C4EFCE"/>
            <w:noWrap/>
            <w:vAlign w:val="center"/>
            <w:hideMark/>
          </w:tcPr>
          <w:p w14:paraId="65CF29A1"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577D02B1"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1DD2E25" w14:textId="77777777" w:rsidR="00F24946" w:rsidRDefault="00613B06">
            <w:pPr>
              <w:pStyle w:val="P68B1DB1-Normal8"/>
              <w:spacing w:after="0" w:line="240" w:lineRule="auto"/>
              <w:jc w:val="both"/>
              <w:rPr>
                <w:rFonts w:eastAsia="Times New Roman" w:cs="Calibri"/>
                <w:noProof/>
              </w:rPr>
            </w:pPr>
            <w:r>
              <w:rPr>
                <w:noProof/>
              </w:rPr>
              <w:t xml:space="preserve">Število novih klubov, dodanih mreži klubov </w:t>
            </w:r>
            <w:r>
              <w:rPr>
                <w:i/>
                <w:noProof/>
              </w:rPr>
              <w:t>Ciência Viva</w:t>
            </w:r>
            <w:r>
              <w:rPr>
                <w:noProof/>
              </w:rPr>
              <w:t>, ki se osredotočajo na področja naravoslovja, tehnologije, inženirstva in matematike, katerih cilj je širjenje znanstvenih vrednot v srednješolski mreži, med drugim s partnerstvi z univerzami in raziskovalnimi središči, ter z organizacijo seminarjev in delavnic.</w:t>
            </w:r>
          </w:p>
        </w:tc>
      </w:tr>
      <w:tr w:rsidR="00F24946" w14:paraId="49C0C904" w14:textId="77777777">
        <w:trPr>
          <w:trHeight w:val="430"/>
        </w:trPr>
        <w:tc>
          <w:tcPr>
            <w:tcW w:w="1135" w:type="dxa"/>
            <w:shd w:val="clear" w:color="auto" w:fill="C5EFCE"/>
            <w:vAlign w:val="center"/>
            <w:hideMark/>
          </w:tcPr>
          <w:p w14:paraId="31071806" w14:textId="77777777" w:rsidR="00F24946" w:rsidRDefault="00613B06">
            <w:pPr>
              <w:pStyle w:val="P68B1DB1-Normal7"/>
              <w:spacing w:after="0" w:line="240" w:lineRule="auto"/>
              <w:jc w:val="center"/>
              <w:rPr>
                <w:rFonts w:eastAsia="Times New Roman" w:cs="Calibri"/>
                <w:noProof/>
              </w:rPr>
            </w:pPr>
            <w:r>
              <w:rPr>
                <w:noProof/>
              </w:rPr>
              <w:t>6.8</w:t>
            </w:r>
          </w:p>
        </w:tc>
        <w:tc>
          <w:tcPr>
            <w:tcW w:w="1276" w:type="dxa"/>
            <w:shd w:val="clear" w:color="auto" w:fill="C4EFCE"/>
            <w:noWrap/>
            <w:vAlign w:val="center"/>
            <w:hideMark/>
          </w:tcPr>
          <w:p w14:paraId="7831644F" w14:textId="77777777" w:rsidR="00F24946" w:rsidRDefault="00613B06">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19E22B8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4ABB0A2" w14:textId="77777777" w:rsidR="00F24946" w:rsidRDefault="00613B06">
            <w:pPr>
              <w:pStyle w:val="P68B1DB1-Normal8"/>
              <w:spacing w:after="0" w:line="240" w:lineRule="auto"/>
              <w:jc w:val="center"/>
              <w:rPr>
                <w:rFonts w:eastAsia="Times New Roman" w:cs="Calibri"/>
                <w:noProof/>
              </w:rPr>
            </w:pPr>
            <w:r>
              <w:rPr>
                <w:noProof/>
              </w:rPr>
              <w:t>Dodatno število študentov, ki so zaključili terciarno izobraževanje na področjih naravoslovja, tehnologije, inženirstva, tehnologije, inženirstva in matematike</w:t>
            </w:r>
          </w:p>
        </w:tc>
        <w:tc>
          <w:tcPr>
            <w:tcW w:w="1275" w:type="dxa"/>
            <w:shd w:val="clear" w:color="auto" w:fill="C4EFCE"/>
            <w:noWrap/>
            <w:vAlign w:val="center"/>
            <w:hideMark/>
          </w:tcPr>
          <w:p w14:paraId="19A3F63E"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2A75A0"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71EF5171"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05143F7C" w14:textId="77777777" w:rsidR="00F24946" w:rsidRDefault="00613B06">
            <w:pPr>
              <w:pStyle w:val="P68B1DB1-Normal8"/>
              <w:spacing w:after="0" w:line="240" w:lineRule="auto"/>
              <w:jc w:val="right"/>
              <w:rPr>
                <w:rFonts w:eastAsia="Times New Roman" w:cs="Calibri"/>
                <w:noProof/>
              </w:rPr>
            </w:pPr>
            <w:r>
              <w:rPr>
                <w:noProof/>
              </w:rPr>
              <w:t>7500</w:t>
            </w:r>
          </w:p>
        </w:tc>
        <w:tc>
          <w:tcPr>
            <w:tcW w:w="567" w:type="dxa"/>
            <w:shd w:val="clear" w:color="auto" w:fill="C4EFCE"/>
            <w:noWrap/>
            <w:vAlign w:val="center"/>
            <w:hideMark/>
          </w:tcPr>
          <w:p w14:paraId="74D42D05"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0AD002C5"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6906ED0C" w14:textId="1A58018F" w:rsidR="00F24946" w:rsidRDefault="00613B06">
            <w:pPr>
              <w:pStyle w:val="P68B1DB1-Normal8"/>
              <w:spacing w:after="0" w:line="240" w:lineRule="auto"/>
              <w:jc w:val="both"/>
              <w:rPr>
                <w:rFonts w:eastAsia="Times New Roman" w:cs="Calibri"/>
                <w:noProof/>
              </w:rPr>
            </w:pPr>
            <w:r>
              <w:rPr>
                <w:noProof/>
              </w:rPr>
              <w:t>Dodatno število visokošolskih diplomantov s področja naravoslovja, tehnologije, inženirstva, umetnosti in matematike (tj. naravoslovje, tehnologija, inženirstvo, umetnost in matematika): visokošolski diplomanti v kratkošolskih in prvostopenjskih visokošolskih programih ter kratkotrajnih programih. (do 2 leti) v primerjavi z letom 2020.</w:t>
            </w:r>
          </w:p>
        </w:tc>
      </w:tr>
      <w:tr w:rsidR="00F24946" w14:paraId="41A35489" w14:textId="77777777">
        <w:trPr>
          <w:trHeight w:val="430"/>
        </w:trPr>
        <w:tc>
          <w:tcPr>
            <w:tcW w:w="1135" w:type="dxa"/>
            <w:shd w:val="clear" w:color="auto" w:fill="C5EFCE"/>
            <w:vAlign w:val="center"/>
            <w:hideMark/>
          </w:tcPr>
          <w:p w14:paraId="03EC6843" w14:textId="77777777" w:rsidR="00F24946" w:rsidRDefault="00613B06">
            <w:pPr>
              <w:pStyle w:val="P68B1DB1-Normal7"/>
              <w:spacing w:after="0" w:line="240" w:lineRule="auto"/>
              <w:jc w:val="center"/>
              <w:rPr>
                <w:rFonts w:eastAsia="Times New Roman" w:cs="Calibri"/>
                <w:noProof/>
              </w:rPr>
            </w:pPr>
            <w:r>
              <w:rPr>
                <w:noProof/>
              </w:rPr>
              <w:t>6.9</w:t>
            </w:r>
          </w:p>
        </w:tc>
        <w:tc>
          <w:tcPr>
            <w:tcW w:w="1276" w:type="dxa"/>
            <w:shd w:val="clear" w:color="auto" w:fill="C4EFCE"/>
            <w:noWrap/>
            <w:vAlign w:val="center"/>
            <w:hideMark/>
          </w:tcPr>
          <w:p w14:paraId="1F688299" w14:textId="77777777" w:rsidR="00F24946" w:rsidRDefault="00613B06">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0766DA2A"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FCC21AD" w14:textId="77777777" w:rsidR="00F24946" w:rsidRDefault="00613B06">
            <w:pPr>
              <w:pStyle w:val="P68B1DB1-Normal8"/>
              <w:spacing w:after="0" w:line="240" w:lineRule="auto"/>
              <w:jc w:val="center"/>
              <w:rPr>
                <w:rFonts w:eastAsia="Times New Roman" w:cs="Calibri"/>
                <w:noProof/>
              </w:rPr>
            </w:pPr>
            <w:r>
              <w:rPr>
                <w:noProof/>
              </w:rPr>
              <w:t xml:space="preserve">Dodatno število študentov, ki so zaključili terciarno izobraževanje na področju naravoslovja, tehnologije, inženirstva, inženirstva in matematike </w:t>
            </w:r>
          </w:p>
        </w:tc>
        <w:tc>
          <w:tcPr>
            <w:tcW w:w="1275" w:type="dxa"/>
            <w:shd w:val="clear" w:color="auto" w:fill="C4EFCE"/>
            <w:noWrap/>
            <w:vAlign w:val="center"/>
            <w:hideMark/>
          </w:tcPr>
          <w:p w14:paraId="2534A7F7"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01C7875"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F461685" w14:textId="77777777" w:rsidR="00F24946" w:rsidRDefault="00613B06">
            <w:pPr>
              <w:pStyle w:val="P68B1DB1-Normal8"/>
              <w:spacing w:after="0" w:line="240" w:lineRule="auto"/>
              <w:jc w:val="center"/>
              <w:rPr>
                <w:rFonts w:eastAsia="Times New Roman" w:cs="Calibri"/>
                <w:noProof/>
              </w:rPr>
            </w:pPr>
            <w:r>
              <w:rPr>
                <w:noProof/>
              </w:rPr>
              <w:t>7 500</w:t>
            </w:r>
          </w:p>
        </w:tc>
        <w:tc>
          <w:tcPr>
            <w:tcW w:w="850" w:type="dxa"/>
            <w:shd w:val="clear" w:color="auto" w:fill="C4EFCE"/>
            <w:noWrap/>
            <w:vAlign w:val="center"/>
            <w:hideMark/>
          </w:tcPr>
          <w:p w14:paraId="0EDAA318" w14:textId="77777777" w:rsidR="00F24946" w:rsidRDefault="00613B06">
            <w:pPr>
              <w:pStyle w:val="P68B1DB1-Normal8"/>
              <w:spacing w:after="0" w:line="240" w:lineRule="auto"/>
              <w:jc w:val="center"/>
              <w:rPr>
                <w:rFonts w:eastAsia="Times New Roman" w:cs="Calibri"/>
                <w:noProof/>
              </w:rPr>
            </w:pPr>
            <w:r>
              <w:rPr>
                <w:noProof/>
              </w:rPr>
              <w:t>10 000</w:t>
            </w:r>
          </w:p>
        </w:tc>
        <w:tc>
          <w:tcPr>
            <w:tcW w:w="567" w:type="dxa"/>
            <w:shd w:val="clear" w:color="auto" w:fill="C4EFCE"/>
            <w:noWrap/>
            <w:vAlign w:val="center"/>
            <w:hideMark/>
          </w:tcPr>
          <w:p w14:paraId="74AF7ABA"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0B041574"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6B7BB90" w14:textId="6491F048" w:rsidR="00F24946" w:rsidRDefault="00613B06">
            <w:pPr>
              <w:pStyle w:val="P68B1DB1-Normal8"/>
              <w:spacing w:after="0" w:line="240" w:lineRule="auto"/>
              <w:jc w:val="both"/>
              <w:rPr>
                <w:rFonts w:eastAsia="Times New Roman" w:cs="Calibri"/>
                <w:noProof/>
              </w:rPr>
            </w:pPr>
            <w:r>
              <w:rPr>
                <w:noProof/>
              </w:rPr>
              <w:t>Dodatno število visokošolskih diplomantov s področja naravoslovja, tehnologije, inženirstva, umetnosti in matematike (tj. naravoslovje, tehnologija, inženirstvo, umetnost in matematika): visokošolski diplomanti v kratkošolskih in prvostopenjskih visokošolskih programih ter kratkotrajnih programih. (do 2 leti) v primerjavi z letom 2020.</w:t>
            </w:r>
          </w:p>
        </w:tc>
      </w:tr>
      <w:tr w:rsidR="00F24946" w14:paraId="7BCA29C4" w14:textId="77777777">
        <w:trPr>
          <w:trHeight w:val="430"/>
        </w:trPr>
        <w:tc>
          <w:tcPr>
            <w:tcW w:w="1135" w:type="dxa"/>
            <w:shd w:val="clear" w:color="auto" w:fill="C5EFCE"/>
            <w:vAlign w:val="center"/>
            <w:hideMark/>
          </w:tcPr>
          <w:p w14:paraId="31EEE1B7" w14:textId="77777777" w:rsidR="00F24946" w:rsidRDefault="00613B06">
            <w:pPr>
              <w:pStyle w:val="P68B1DB1-Normal7"/>
              <w:spacing w:after="0" w:line="240" w:lineRule="auto"/>
              <w:jc w:val="center"/>
              <w:rPr>
                <w:rFonts w:eastAsia="Times New Roman" w:cs="Calibri"/>
                <w:noProof/>
              </w:rPr>
            </w:pPr>
            <w:r>
              <w:rPr>
                <w:noProof/>
              </w:rPr>
              <w:t>6.10</w:t>
            </w:r>
          </w:p>
        </w:tc>
        <w:tc>
          <w:tcPr>
            <w:tcW w:w="1276" w:type="dxa"/>
            <w:shd w:val="clear" w:color="auto" w:fill="C4EFCE"/>
            <w:noWrap/>
            <w:vAlign w:val="center"/>
            <w:hideMark/>
          </w:tcPr>
          <w:p w14:paraId="3455EA12" w14:textId="77777777" w:rsidR="00F24946" w:rsidRDefault="00613B06">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F017E0B"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74D4D1A" w14:textId="77777777" w:rsidR="00F24946" w:rsidRDefault="00613B06">
            <w:pPr>
              <w:pStyle w:val="P68B1DB1-Normal8"/>
              <w:spacing w:after="0" w:line="240" w:lineRule="auto"/>
              <w:jc w:val="center"/>
              <w:rPr>
                <w:rFonts w:eastAsia="Times New Roman" w:cs="Calibri"/>
                <w:noProof/>
              </w:rPr>
            </w:pPr>
            <w:r>
              <w:rPr>
                <w:noProof/>
              </w:rPr>
              <w:t>Dodatno število odraslih, vključenih v posekundarno in terciarno izobraževanje v avtonomni regiji Azori</w:t>
            </w:r>
          </w:p>
        </w:tc>
        <w:tc>
          <w:tcPr>
            <w:tcW w:w="1275" w:type="dxa"/>
            <w:shd w:val="clear" w:color="auto" w:fill="C4EFCE"/>
            <w:noWrap/>
            <w:vAlign w:val="center"/>
            <w:hideMark/>
          </w:tcPr>
          <w:p w14:paraId="4B93C7DE"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77F4A"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408B2C73"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36350747" w14:textId="77777777" w:rsidR="00F24946" w:rsidRDefault="00613B06">
            <w:pPr>
              <w:pStyle w:val="P68B1DB1-Normal8"/>
              <w:spacing w:after="0" w:line="240" w:lineRule="auto"/>
              <w:jc w:val="center"/>
              <w:rPr>
                <w:rFonts w:eastAsia="Times New Roman" w:cs="Calibri"/>
                <w:noProof/>
              </w:rPr>
            </w:pPr>
            <w:r>
              <w:rPr>
                <w:noProof/>
              </w:rPr>
              <w:t>1 145</w:t>
            </w:r>
          </w:p>
        </w:tc>
        <w:tc>
          <w:tcPr>
            <w:tcW w:w="567" w:type="dxa"/>
            <w:shd w:val="clear" w:color="auto" w:fill="C4EFCE"/>
            <w:noWrap/>
            <w:vAlign w:val="center"/>
            <w:hideMark/>
          </w:tcPr>
          <w:p w14:paraId="2B64FDEB"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C6DF304"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110C7B5" w14:textId="77777777" w:rsidR="00F24946" w:rsidRDefault="00613B06">
            <w:pPr>
              <w:pStyle w:val="P68B1DB1-Normal8"/>
              <w:spacing w:after="0" w:line="240" w:lineRule="auto"/>
              <w:jc w:val="both"/>
              <w:rPr>
                <w:rFonts w:eastAsia="Times New Roman" w:cs="Calibri"/>
                <w:noProof/>
              </w:rPr>
            </w:pPr>
            <w:r>
              <w:rPr>
                <w:noProof/>
              </w:rPr>
              <w:t>Dodatno število odraslih, vključenih v posekundarno in terciarno izobraževanje v avtonomni regiji Azori.</w:t>
            </w:r>
          </w:p>
        </w:tc>
      </w:tr>
      <w:tr w:rsidR="00F24946" w14:paraId="750BEA35" w14:textId="77777777">
        <w:trPr>
          <w:trHeight w:val="1060"/>
        </w:trPr>
        <w:tc>
          <w:tcPr>
            <w:tcW w:w="1135" w:type="dxa"/>
            <w:shd w:val="clear" w:color="auto" w:fill="C5EFCE"/>
            <w:vAlign w:val="center"/>
            <w:hideMark/>
          </w:tcPr>
          <w:p w14:paraId="15B13B31" w14:textId="77777777" w:rsidR="00F24946" w:rsidRDefault="00613B06">
            <w:pPr>
              <w:pStyle w:val="P68B1DB1-Normal7"/>
              <w:spacing w:after="0" w:line="240" w:lineRule="auto"/>
              <w:jc w:val="center"/>
              <w:rPr>
                <w:rFonts w:eastAsia="Times New Roman" w:cs="Calibri"/>
                <w:noProof/>
              </w:rPr>
            </w:pPr>
            <w:r>
              <w:rPr>
                <w:noProof/>
              </w:rPr>
              <w:t>6.11</w:t>
            </w:r>
          </w:p>
        </w:tc>
        <w:tc>
          <w:tcPr>
            <w:tcW w:w="1276" w:type="dxa"/>
            <w:shd w:val="clear" w:color="auto" w:fill="C4EFCE"/>
            <w:noWrap/>
            <w:vAlign w:val="center"/>
            <w:hideMark/>
          </w:tcPr>
          <w:p w14:paraId="4B3896E6" w14:textId="77777777" w:rsidR="00F24946" w:rsidRDefault="00613B06">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501D610"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27DFBDA" w14:textId="77777777" w:rsidR="00F24946" w:rsidRDefault="00613B06">
            <w:pPr>
              <w:pStyle w:val="P68B1DB1-Normal8"/>
              <w:spacing w:after="0" w:line="240" w:lineRule="auto"/>
              <w:jc w:val="center"/>
              <w:rPr>
                <w:rFonts w:eastAsia="Times New Roman" w:cs="Calibri"/>
                <w:noProof/>
              </w:rPr>
            </w:pPr>
            <w:r>
              <w:rPr>
                <w:noProof/>
              </w:rPr>
              <w:t>Nadgrajene strokovne šole v avtonomni regiji Azori</w:t>
            </w:r>
          </w:p>
        </w:tc>
        <w:tc>
          <w:tcPr>
            <w:tcW w:w="1275" w:type="dxa"/>
            <w:shd w:val="clear" w:color="auto" w:fill="C4EFCE"/>
            <w:noWrap/>
            <w:vAlign w:val="center"/>
            <w:hideMark/>
          </w:tcPr>
          <w:p w14:paraId="7633C471"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04129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264B2313"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B8D440E" w14:textId="77777777" w:rsidR="00F24946" w:rsidRDefault="00613B06">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657890BF"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D55CA0C"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352652" w14:textId="60266876" w:rsidR="00F24946" w:rsidRDefault="00613B06">
            <w:pPr>
              <w:pStyle w:val="P68B1DB1-Normal8"/>
              <w:spacing w:after="0" w:line="240" w:lineRule="auto"/>
              <w:jc w:val="both"/>
              <w:rPr>
                <w:rFonts w:eastAsia="Times New Roman" w:cs="Calibri"/>
                <w:noProof/>
              </w:rPr>
            </w:pPr>
            <w:r>
              <w:rPr>
                <w:noProof/>
              </w:rPr>
              <w:t>Število poklicnih šol in javnih izobraževalnih ustanov, ki so imele koristi od prenove delavnic, laboratorijev in računalniških prostorov ter nakupa nove opreme v skladu s tehnološkim razvojem. Kadar nadgradnja infrastrukture vključuje prenovo stavb, prenove za energijsko učinkovitost v povprečju dosežejo vsaj srednje temeljito prenovo, kot je opredeljena v Priporočilu Komisije o prenovi stavb (EU) 2019/786.</w:t>
            </w:r>
          </w:p>
        </w:tc>
      </w:tr>
      <w:tr w:rsidR="00F24946" w14:paraId="55F947BE" w14:textId="77777777">
        <w:trPr>
          <w:trHeight w:val="1171"/>
        </w:trPr>
        <w:tc>
          <w:tcPr>
            <w:tcW w:w="1135" w:type="dxa"/>
            <w:shd w:val="clear" w:color="auto" w:fill="C5EFCE"/>
            <w:vAlign w:val="center"/>
            <w:hideMark/>
          </w:tcPr>
          <w:p w14:paraId="6524EBF6" w14:textId="77777777" w:rsidR="00F24946" w:rsidRDefault="00613B06">
            <w:pPr>
              <w:pStyle w:val="P68B1DB1-Normal7"/>
              <w:spacing w:after="0" w:line="240" w:lineRule="auto"/>
              <w:jc w:val="center"/>
              <w:rPr>
                <w:rFonts w:eastAsia="Times New Roman" w:cs="Calibri"/>
                <w:noProof/>
              </w:rPr>
            </w:pPr>
            <w:r>
              <w:rPr>
                <w:noProof/>
              </w:rPr>
              <w:t>6.12</w:t>
            </w:r>
          </w:p>
        </w:tc>
        <w:tc>
          <w:tcPr>
            <w:tcW w:w="1276" w:type="dxa"/>
            <w:shd w:val="clear" w:color="auto" w:fill="C4EFCE"/>
            <w:noWrap/>
            <w:vAlign w:val="center"/>
            <w:hideMark/>
          </w:tcPr>
          <w:p w14:paraId="547D2E2F" w14:textId="77777777" w:rsidR="00F24946" w:rsidRDefault="00613B06">
            <w:pPr>
              <w:pStyle w:val="P68B1DB1-Normal8"/>
              <w:spacing w:after="0" w:line="240" w:lineRule="auto"/>
              <w:jc w:val="center"/>
              <w:rPr>
                <w:rFonts w:eastAsia="Times New Roman" w:cs="Calibri"/>
                <w:noProof/>
              </w:rPr>
            </w:pPr>
            <w:r>
              <w:rPr>
                <w:noProof/>
              </w:rPr>
              <w:t>Re-C06-r14</w:t>
            </w:r>
          </w:p>
        </w:tc>
        <w:tc>
          <w:tcPr>
            <w:tcW w:w="1134" w:type="dxa"/>
            <w:shd w:val="clear" w:color="auto" w:fill="C4EFCE"/>
            <w:noWrap/>
            <w:vAlign w:val="center"/>
            <w:hideMark/>
          </w:tcPr>
          <w:p w14:paraId="6161978A"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7FF7A7F" w14:textId="77777777" w:rsidR="00F24946" w:rsidRDefault="00613B06">
            <w:pPr>
              <w:pStyle w:val="P68B1DB1-Normal8"/>
              <w:spacing w:after="0" w:line="240" w:lineRule="auto"/>
              <w:jc w:val="center"/>
              <w:rPr>
                <w:rFonts w:eastAsia="Times New Roman" w:cs="Calibri"/>
                <w:noProof/>
              </w:rPr>
            </w:pPr>
            <w:r>
              <w:rPr>
                <w:noProof/>
              </w:rPr>
              <w:t>Odpiranje prostih delovnih mest za usposabljanje</w:t>
            </w:r>
          </w:p>
        </w:tc>
        <w:tc>
          <w:tcPr>
            <w:tcW w:w="1275" w:type="dxa"/>
            <w:shd w:val="clear" w:color="auto" w:fill="C4EFCE"/>
            <w:noWrap/>
            <w:vAlign w:val="center"/>
            <w:hideMark/>
          </w:tcPr>
          <w:p w14:paraId="1F0B5386"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8FF90D"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7E521221"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D8E74D9" w14:textId="77777777" w:rsidR="00F24946" w:rsidRDefault="00613B06">
            <w:pPr>
              <w:pStyle w:val="P68B1DB1-Normal8"/>
              <w:spacing w:after="0" w:line="240" w:lineRule="auto"/>
              <w:jc w:val="center"/>
              <w:rPr>
                <w:rFonts w:eastAsia="Times New Roman" w:cs="Calibri"/>
                <w:noProof/>
              </w:rPr>
            </w:pPr>
            <w:r>
              <w:rPr>
                <w:noProof/>
              </w:rPr>
              <w:t>20 000</w:t>
            </w:r>
          </w:p>
        </w:tc>
        <w:tc>
          <w:tcPr>
            <w:tcW w:w="567" w:type="dxa"/>
            <w:shd w:val="clear" w:color="auto" w:fill="C4EFCE"/>
            <w:noWrap/>
            <w:vAlign w:val="center"/>
            <w:hideMark/>
          </w:tcPr>
          <w:p w14:paraId="4D258239"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330192EF" w14:textId="77777777" w:rsidR="00F24946" w:rsidRDefault="00613B06">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5E6EA693" w14:textId="77777777" w:rsidR="00F24946" w:rsidRDefault="00613B06">
            <w:pPr>
              <w:pStyle w:val="P68B1DB1-Normal8"/>
              <w:spacing w:after="0" w:line="240" w:lineRule="auto"/>
              <w:jc w:val="both"/>
              <w:rPr>
                <w:rFonts w:eastAsia="Times New Roman" w:cs="Calibri"/>
                <w:noProof/>
              </w:rPr>
            </w:pPr>
            <w:r>
              <w:rPr>
                <w:noProof/>
              </w:rPr>
              <w:t>Število novih prostih delovnih mest, odprtih v poklicnih tečajih po nadgradnji nacionalnega kataloga kvalifikacij (CNQ) na novih področjih na podlagi diagnoze predvidevanja potreb po znanjih in spretnostih (SANQ).</w:t>
            </w:r>
          </w:p>
        </w:tc>
      </w:tr>
      <w:tr w:rsidR="00F24946" w14:paraId="4D68171D" w14:textId="77777777">
        <w:trPr>
          <w:trHeight w:val="430"/>
        </w:trPr>
        <w:tc>
          <w:tcPr>
            <w:tcW w:w="1135" w:type="dxa"/>
            <w:shd w:val="clear" w:color="auto" w:fill="C5EFCE"/>
            <w:vAlign w:val="center"/>
            <w:hideMark/>
          </w:tcPr>
          <w:p w14:paraId="574224E8" w14:textId="77777777" w:rsidR="00F24946" w:rsidRDefault="00613B06">
            <w:pPr>
              <w:pStyle w:val="P68B1DB1-Normal7"/>
              <w:spacing w:after="0" w:line="240" w:lineRule="auto"/>
              <w:jc w:val="center"/>
              <w:rPr>
                <w:rFonts w:eastAsia="Times New Roman" w:cs="Calibri"/>
                <w:noProof/>
              </w:rPr>
            </w:pPr>
            <w:r>
              <w:rPr>
                <w:noProof/>
              </w:rPr>
              <w:t>6.13</w:t>
            </w:r>
          </w:p>
        </w:tc>
        <w:tc>
          <w:tcPr>
            <w:tcW w:w="1276" w:type="dxa"/>
            <w:shd w:val="clear" w:color="auto" w:fill="C4EFCE"/>
            <w:noWrap/>
            <w:vAlign w:val="center"/>
            <w:hideMark/>
          </w:tcPr>
          <w:p w14:paraId="1F8EACCD" w14:textId="77777777" w:rsidR="00F24946" w:rsidRDefault="00613B06">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3F880A1E"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0F8EBFA" w14:textId="77777777" w:rsidR="00F24946" w:rsidRDefault="00613B06">
            <w:pPr>
              <w:pStyle w:val="P68B1DB1-Normal8"/>
              <w:spacing w:after="0" w:line="240" w:lineRule="auto"/>
              <w:jc w:val="center"/>
              <w:rPr>
                <w:rFonts w:eastAsia="Times New Roman" w:cs="Calibri"/>
                <w:noProof/>
              </w:rPr>
            </w:pPr>
            <w:r>
              <w:rPr>
                <w:noProof/>
              </w:rPr>
              <w:t>Začetek veljavnosti zakona o uvedbi posebnih natečajev za sprejem v visokošolsko izobraževanje</w:t>
            </w:r>
          </w:p>
        </w:tc>
        <w:tc>
          <w:tcPr>
            <w:tcW w:w="1275" w:type="dxa"/>
            <w:shd w:val="clear" w:color="auto" w:fill="C4EFCE"/>
            <w:noWrap/>
            <w:vAlign w:val="center"/>
            <w:hideMark/>
          </w:tcPr>
          <w:p w14:paraId="4881AFCF" w14:textId="77777777" w:rsidR="00F24946" w:rsidRDefault="00613B06">
            <w:pPr>
              <w:pStyle w:val="P68B1DB1-Normal8"/>
              <w:spacing w:after="0" w:line="240" w:lineRule="auto"/>
              <w:jc w:val="center"/>
              <w:rPr>
                <w:rFonts w:eastAsia="Times New Roman" w:cs="Calibri"/>
                <w:noProof/>
              </w:rPr>
            </w:pPr>
            <w:r>
              <w:rPr>
                <w:noProof/>
              </w:rPr>
              <w:t xml:space="preserve">Začetek veljavnosti zakona o uvedbi posebnih natečajev za sprejem v visokošolsko izobraževanje </w:t>
            </w:r>
          </w:p>
        </w:tc>
        <w:tc>
          <w:tcPr>
            <w:tcW w:w="993" w:type="dxa"/>
            <w:shd w:val="clear" w:color="auto" w:fill="C4EFCE"/>
            <w:noWrap/>
            <w:vAlign w:val="center"/>
            <w:hideMark/>
          </w:tcPr>
          <w:p w14:paraId="324277CF"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FB1159"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CD5524E"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EC36569" w14:textId="77777777"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19163647" w14:textId="77777777" w:rsidR="00F24946" w:rsidRDefault="00613B06">
            <w:pPr>
              <w:pStyle w:val="P68B1DB1-Normal8"/>
              <w:spacing w:after="0" w:line="240" w:lineRule="auto"/>
              <w:jc w:val="center"/>
              <w:rPr>
                <w:rFonts w:eastAsia="Times New Roman" w:cs="Calibri"/>
                <w:noProof/>
              </w:rPr>
            </w:pPr>
            <w:r>
              <w:rPr>
                <w:noProof/>
              </w:rPr>
              <w:t>2020</w:t>
            </w:r>
          </w:p>
        </w:tc>
        <w:tc>
          <w:tcPr>
            <w:tcW w:w="4395" w:type="dxa"/>
            <w:shd w:val="clear" w:color="auto" w:fill="C4EFCE"/>
            <w:vAlign w:val="center"/>
            <w:hideMark/>
          </w:tcPr>
          <w:p w14:paraId="042D0010" w14:textId="77777777" w:rsidR="00F24946" w:rsidRDefault="00613B06">
            <w:pPr>
              <w:pStyle w:val="P68B1DB1-Normal8"/>
              <w:spacing w:after="0" w:line="240" w:lineRule="auto"/>
              <w:jc w:val="both"/>
              <w:rPr>
                <w:rFonts w:eastAsia="Times New Roman" w:cs="Calibri"/>
                <w:noProof/>
              </w:rPr>
            </w:pPr>
            <w:r>
              <w:rPr>
                <w:noProof/>
              </w:rPr>
              <w:t>Začetek veljavnosti zakona o uvedbi posebnih natečajev za sprejem v visokošolsko izobraževanje za študente, ki so zaključili srednješolsko izobraževanje po poklicnih poteh in specializirane tečaje umetnosti.</w:t>
            </w:r>
          </w:p>
        </w:tc>
      </w:tr>
      <w:tr w:rsidR="00F24946" w14:paraId="5C350BC5" w14:textId="77777777">
        <w:trPr>
          <w:trHeight w:val="1480"/>
        </w:trPr>
        <w:tc>
          <w:tcPr>
            <w:tcW w:w="1135" w:type="dxa"/>
            <w:shd w:val="clear" w:color="auto" w:fill="C5EFCE"/>
            <w:vAlign w:val="center"/>
            <w:hideMark/>
          </w:tcPr>
          <w:p w14:paraId="2D4BA14E" w14:textId="77777777" w:rsidR="00F24946" w:rsidRDefault="00613B06">
            <w:pPr>
              <w:pStyle w:val="P68B1DB1-Normal7"/>
              <w:spacing w:after="0" w:line="240" w:lineRule="auto"/>
              <w:jc w:val="center"/>
              <w:rPr>
                <w:rFonts w:eastAsia="Times New Roman" w:cs="Calibri"/>
                <w:noProof/>
              </w:rPr>
            </w:pPr>
            <w:r>
              <w:rPr>
                <w:noProof/>
              </w:rPr>
              <w:t>6.14</w:t>
            </w:r>
          </w:p>
        </w:tc>
        <w:tc>
          <w:tcPr>
            <w:tcW w:w="1276" w:type="dxa"/>
            <w:shd w:val="clear" w:color="auto" w:fill="C4EFCE"/>
            <w:noWrap/>
            <w:vAlign w:val="center"/>
            <w:hideMark/>
          </w:tcPr>
          <w:p w14:paraId="49780B25" w14:textId="77777777" w:rsidR="00F24946" w:rsidRDefault="00613B06">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1D50742B"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285546A" w14:textId="77777777" w:rsidR="00F24946" w:rsidRDefault="00613B06">
            <w:pPr>
              <w:pStyle w:val="P68B1DB1-Normal8"/>
              <w:spacing w:after="0" w:line="240" w:lineRule="auto"/>
              <w:jc w:val="center"/>
              <w:rPr>
                <w:rFonts w:eastAsia="Times New Roman" w:cs="Calibri"/>
                <w:noProof/>
              </w:rPr>
            </w:pPr>
            <w:r>
              <w:rPr>
                <w:noProof/>
              </w:rPr>
              <w:t>Začetek veljavnosti novega pravnega okvira, ki ureja sodelovanje visokošolskih ustanov z javno upravo in podjetji</w:t>
            </w:r>
          </w:p>
        </w:tc>
        <w:tc>
          <w:tcPr>
            <w:tcW w:w="1275" w:type="dxa"/>
            <w:shd w:val="clear" w:color="auto" w:fill="C4EFCE"/>
            <w:noWrap/>
            <w:vAlign w:val="center"/>
            <w:hideMark/>
          </w:tcPr>
          <w:p w14:paraId="4004223A" w14:textId="77777777" w:rsidR="00F24946" w:rsidRDefault="00613B06">
            <w:pPr>
              <w:pStyle w:val="P68B1DB1-Normal8"/>
              <w:spacing w:after="0" w:line="240" w:lineRule="auto"/>
              <w:jc w:val="center"/>
              <w:rPr>
                <w:rFonts w:eastAsia="Times New Roman" w:cs="Calibri"/>
                <w:noProof/>
              </w:rPr>
            </w:pPr>
            <w:r>
              <w:rPr>
                <w:noProof/>
              </w:rPr>
              <w:t>Začetek veljavnosti novega pravnega okvira, ki ureja sodelovanje visokošolskih ustanov z javno upravo in podjetji</w:t>
            </w:r>
          </w:p>
        </w:tc>
        <w:tc>
          <w:tcPr>
            <w:tcW w:w="993" w:type="dxa"/>
            <w:shd w:val="clear" w:color="auto" w:fill="C4EFCE"/>
            <w:noWrap/>
            <w:vAlign w:val="center"/>
            <w:hideMark/>
          </w:tcPr>
          <w:p w14:paraId="79A1DBFD"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1817FB5"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00D13E6"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0C153E5" w14:textId="77777777"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53BC3D0D" w14:textId="77777777" w:rsidR="00F24946" w:rsidRDefault="00613B06">
            <w:pPr>
              <w:pStyle w:val="P68B1DB1-Normal8"/>
              <w:spacing w:after="0" w:line="240" w:lineRule="auto"/>
              <w:jc w:val="center"/>
              <w:rPr>
                <w:rFonts w:eastAsia="Times New Roman" w:cs="Calibri"/>
                <w:noProof/>
              </w:rPr>
            </w:pPr>
            <w:r>
              <w:rPr>
                <w:noProof/>
              </w:rPr>
              <w:t>2021</w:t>
            </w:r>
          </w:p>
        </w:tc>
        <w:tc>
          <w:tcPr>
            <w:tcW w:w="4395" w:type="dxa"/>
            <w:shd w:val="clear" w:color="auto" w:fill="C4EFCE"/>
            <w:vAlign w:val="center"/>
            <w:hideMark/>
          </w:tcPr>
          <w:p w14:paraId="777EF2C9" w14:textId="77777777" w:rsidR="00F24946" w:rsidRDefault="00613B06">
            <w:pPr>
              <w:pStyle w:val="P68B1DB1-Normal8"/>
              <w:spacing w:after="0" w:line="240" w:lineRule="auto"/>
              <w:jc w:val="both"/>
              <w:rPr>
                <w:rFonts w:eastAsia="Times New Roman" w:cs="Calibri"/>
                <w:noProof/>
              </w:rPr>
            </w:pPr>
            <w:r>
              <w:rPr>
                <w:noProof/>
              </w:rPr>
              <w:t>Začetek veljavnosti novega pravnega okvira, ki ureja sodelovanje visokošolskih ustanov z javno upravo in podjetji, vključno z: I) vzpostavitev mrež sodelovanja visokošolskih ustanov v partnerstvu z delodajalci, med drugim s spodbujanjem začetnega visokošolskega izobraževanja, inovacijskih projektov in storitev za podjetja, ii) spremembo pravnega statusa, da se pojasnijo pogoji, pod katerimi lahko zunanji strokovnjak opravlja naloge poučevanja ali vodenja v visokošolskih ustanovah, da se spodbudi mobilnost med akademskim in poslovnim svetom; III) krepitev konzorcijev z deljenim upravljanjem med visokošolskimi ustanovami in podjetji.</w:t>
            </w:r>
          </w:p>
        </w:tc>
      </w:tr>
      <w:tr w:rsidR="00F24946" w14:paraId="6B6D1913" w14:textId="77777777">
        <w:trPr>
          <w:trHeight w:val="1060"/>
        </w:trPr>
        <w:tc>
          <w:tcPr>
            <w:tcW w:w="1135" w:type="dxa"/>
            <w:shd w:val="clear" w:color="auto" w:fill="C5EFCE"/>
            <w:vAlign w:val="center"/>
            <w:hideMark/>
          </w:tcPr>
          <w:p w14:paraId="7A115D0E" w14:textId="77777777" w:rsidR="00F24946" w:rsidRDefault="00613B06">
            <w:pPr>
              <w:pStyle w:val="P68B1DB1-Normal7"/>
              <w:spacing w:after="0" w:line="240" w:lineRule="auto"/>
              <w:jc w:val="center"/>
              <w:rPr>
                <w:rFonts w:eastAsia="Times New Roman" w:cs="Calibri"/>
                <w:noProof/>
              </w:rPr>
            </w:pPr>
            <w:r>
              <w:rPr>
                <w:noProof/>
              </w:rPr>
              <w:t>6.15</w:t>
            </w:r>
          </w:p>
        </w:tc>
        <w:tc>
          <w:tcPr>
            <w:tcW w:w="1276" w:type="dxa"/>
            <w:shd w:val="clear" w:color="auto" w:fill="C4EFCE"/>
            <w:noWrap/>
            <w:vAlign w:val="center"/>
            <w:hideMark/>
          </w:tcPr>
          <w:p w14:paraId="072BCFC9" w14:textId="77777777" w:rsidR="00F24946" w:rsidRDefault="00613B06">
            <w:pPr>
              <w:pStyle w:val="P68B1DB1-Normal8"/>
              <w:spacing w:after="0" w:line="240" w:lineRule="auto"/>
              <w:jc w:val="center"/>
              <w:rPr>
                <w:rFonts w:eastAsia="Times New Roman" w:cs="Calibri"/>
                <w:noProof/>
              </w:rPr>
            </w:pPr>
            <w:r>
              <w:rPr>
                <w:noProof/>
              </w:rPr>
              <w:t>Re-C06-r16</w:t>
            </w:r>
          </w:p>
        </w:tc>
        <w:tc>
          <w:tcPr>
            <w:tcW w:w="1134" w:type="dxa"/>
            <w:shd w:val="clear" w:color="auto" w:fill="C4EFCE"/>
            <w:noWrap/>
            <w:vAlign w:val="center"/>
            <w:hideMark/>
          </w:tcPr>
          <w:p w14:paraId="36CF028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E9FAFFB" w14:textId="77777777" w:rsidR="00F24946" w:rsidRDefault="00613B06">
            <w:pPr>
              <w:pStyle w:val="P68B1DB1-Normal8"/>
              <w:spacing w:after="0" w:line="240" w:lineRule="auto"/>
              <w:jc w:val="center"/>
              <w:rPr>
                <w:rFonts w:eastAsia="Times New Roman" w:cs="Calibri"/>
                <w:noProof/>
              </w:rPr>
            </w:pPr>
            <w:r>
              <w:rPr>
                <w:noProof/>
              </w:rPr>
              <w:t>Začetek veljavnosti zakona o reguliranih poklicih</w:t>
            </w:r>
          </w:p>
        </w:tc>
        <w:tc>
          <w:tcPr>
            <w:tcW w:w="1275" w:type="dxa"/>
            <w:shd w:val="clear" w:color="auto" w:fill="C4EFCE"/>
            <w:noWrap/>
            <w:vAlign w:val="center"/>
            <w:hideMark/>
          </w:tcPr>
          <w:p w14:paraId="0F2F14F7" w14:textId="77777777" w:rsidR="00F24946" w:rsidRDefault="00613B06">
            <w:pPr>
              <w:pStyle w:val="P68B1DB1-Normal8"/>
              <w:spacing w:after="0" w:line="240" w:lineRule="auto"/>
              <w:jc w:val="center"/>
              <w:rPr>
                <w:rFonts w:eastAsia="Times New Roman" w:cs="Calibri"/>
                <w:noProof/>
              </w:rPr>
            </w:pPr>
            <w:r>
              <w:rPr>
                <w:noProof/>
              </w:rPr>
              <w:t>Začetek veljavnosti zakona o reguliranih poklicih</w:t>
            </w:r>
          </w:p>
        </w:tc>
        <w:tc>
          <w:tcPr>
            <w:tcW w:w="993" w:type="dxa"/>
            <w:shd w:val="clear" w:color="auto" w:fill="C4EFCE"/>
            <w:noWrap/>
            <w:vAlign w:val="center"/>
            <w:hideMark/>
          </w:tcPr>
          <w:p w14:paraId="1C4406F9"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8CC3D9E"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E64DB52"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E3EBB9F"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7B08CA5" w14:textId="77777777" w:rsidR="00F24946" w:rsidRDefault="00613B06">
            <w:pPr>
              <w:pStyle w:val="P68B1DB1-Normal8"/>
              <w:spacing w:after="0" w:line="240" w:lineRule="auto"/>
              <w:jc w:val="center"/>
              <w:rPr>
                <w:rFonts w:eastAsia="Times New Roman" w:cs="Calibri"/>
                <w:noProof/>
              </w:rPr>
            </w:pPr>
            <w:r>
              <w:rPr>
                <w:noProof/>
              </w:rPr>
              <w:t>2022</w:t>
            </w:r>
          </w:p>
        </w:tc>
        <w:tc>
          <w:tcPr>
            <w:tcW w:w="4395" w:type="dxa"/>
            <w:shd w:val="clear" w:color="auto" w:fill="C4EFCE"/>
            <w:vAlign w:val="center"/>
            <w:hideMark/>
          </w:tcPr>
          <w:p w14:paraId="6B104D29" w14:textId="61D2CBCD" w:rsidR="00F24946" w:rsidRDefault="00613B06">
            <w:pPr>
              <w:pStyle w:val="P68B1DB1-Normal8"/>
              <w:spacing w:after="0" w:line="240" w:lineRule="auto"/>
              <w:jc w:val="both"/>
              <w:rPr>
                <w:rFonts w:eastAsia="Times New Roman" w:cs="Calibri"/>
                <w:noProof/>
              </w:rPr>
            </w:pPr>
            <w:r>
              <w:rPr>
                <w:noProof/>
              </w:rPr>
              <w:t>Začetek veljavnosti zakona, katerega cilj je med drugim: I) ločijo funkcije regulacije in zastopanja v poklicnih združenjih; (II) zmanjšanje seznama rezerviranih dejavnosti. Dostop do dejavnosti se lahko omeji le zaradi zaščite ustavnih interesov v skladu z načeloma nujnosti in sorazmernosti; odpraviti omejitve lastništva in upravljanja podjetij za poslovne storitve, pod pogojem, da vodstveni delavci spoštujejo pravno ureditev za preprečevanje „navzkrižij interesov“; in iv) omogočajo multidisciplinarne poslovne storitve.</w:t>
            </w:r>
          </w:p>
        </w:tc>
      </w:tr>
      <w:tr w:rsidR="00F24946" w14:paraId="23A0A514" w14:textId="77777777">
        <w:trPr>
          <w:trHeight w:val="640"/>
        </w:trPr>
        <w:tc>
          <w:tcPr>
            <w:tcW w:w="1135" w:type="dxa"/>
            <w:shd w:val="clear" w:color="auto" w:fill="C5EFCE"/>
            <w:vAlign w:val="center"/>
            <w:hideMark/>
          </w:tcPr>
          <w:p w14:paraId="5367DF6B" w14:textId="77777777" w:rsidR="00F24946" w:rsidRDefault="00613B06">
            <w:pPr>
              <w:pStyle w:val="P68B1DB1-Normal7"/>
              <w:spacing w:after="0" w:line="240" w:lineRule="auto"/>
              <w:jc w:val="center"/>
              <w:rPr>
                <w:rFonts w:eastAsia="Times New Roman" w:cs="Calibri"/>
                <w:noProof/>
              </w:rPr>
            </w:pPr>
            <w:r>
              <w:rPr>
                <w:noProof/>
              </w:rPr>
              <w:t>6.16</w:t>
            </w:r>
          </w:p>
        </w:tc>
        <w:tc>
          <w:tcPr>
            <w:tcW w:w="1276" w:type="dxa"/>
            <w:shd w:val="clear" w:color="auto" w:fill="C4EFCE"/>
            <w:noWrap/>
            <w:vAlign w:val="center"/>
            <w:hideMark/>
          </w:tcPr>
          <w:p w14:paraId="52F2ECE7" w14:textId="77777777" w:rsidR="00F24946" w:rsidRDefault="00613B06">
            <w:pPr>
              <w:pStyle w:val="P68B1DB1-Normal8"/>
              <w:spacing w:after="0" w:line="240" w:lineRule="auto"/>
              <w:jc w:val="center"/>
              <w:rPr>
                <w:rFonts w:eastAsia="Times New Roman" w:cs="Calibri"/>
                <w:noProof/>
              </w:rPr>
            </w:pPr>
            <w:r>
              <w:rPr>
                <w:noProof/>
              </w:rPr>
              <w:t>Re-C06-r17</w:t>
            </w:r>
          </w:p>
        </w:tc>
        <w:tc>
          <w:tcPr>
            <w:tcW w:w="1134" w:type="dxa"/>
            <w:shd w:val="clear" w:color="auto" w:fill="C4EFCE"/>
            <w:noWrap/>
            <w:vAlign w:val="center"/>
            <w:hideMark/>
          </w:tcPr>
          <w:p w14:paraId="4C773C6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53FC47" w14:textId="77777777" w:rsidR="00F24946" w:rsidRDefault="00613B06">
            <w:pPr>
              <w:pStyle w:val="P68B1DB1-Normal8"/>
              <w:spacing w:after="0" w:line="240" w:lineRule="auto"/>
              <w:jc w:val="center"/>
              <w:rPr>
                <w:rFonts w:eastAsia="Times New Roman" w:cs="Calibri"/>
                <w:noProof/>
              </w:rPr>
            </w:pPr>
            <w:r>
              <w:rPr>
                <w:noProof/>
              </w:rPr>
              <w:t>Začetek veljavnosti zakona, ki ureja platformno delo</w:t>
            </w:r>
          </w:p>
        </w:tc>
        <w:tc>
          <w:tcPr>
            <w:tcW w:w="1275" w:type="dxa"/>
            <w:shd w:val="clear" w:color="auto" w:fill="C4EFCE"/>
            <w:noWrap/>
            <w:vAlign w:val="center"/>
            <w:hideMark/>
          </w:tcPr>
          <w:p w14:paraId="5201FB9F" w14:textId="77777777" w:rsidR="00F24946" w:rsidRDefault="00613B06">
            <w:pPr>
              <w:pStyle w:val="P68B1DB1-Normal8"/>
              <w:spacing w:after="0" w:line="240" w:lineRule="auto"/>
              <w:jc w:val="center"/>
              <w:rPr>
                <w:rFonts w:eastAsia="Times New Roman" w:cs="Calibri"/>
                <w:noProof/>
              </w:rPr>
            </w:pPr>
            <w:r>
              <w:rPr>
                <w:noProof/>
              </w:rPr>
              <w:t>Začetek veljavnosti zakona, ki ureja platformno delo</w:t>
            </w:r>
          </w:p>
        </w:tc>
        <w:tc>
          <w:tcPr>
            <w:tcW w:w="993" w:type="dxa"/>
            <w:shd w:val="clear" w:color="auto" w:fill="C4EFCE"/>
            <w:noWrap/>
            <w:vAlign w:val="center"/>
            <w:hideMark/>
          </w:tcPr>
          <w:p w14:paraId="311ED5B5"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06F95D85"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78565D9"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3A107F4"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13BAF87B" w14:textId="77777777" w:rsidR="00F24946" w:rsidRDefault="00613B06">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06DB3C30" w14:textId="77777777" w:rsidR="00F24946" w:rsidRDefault="00613B06">
            <w:pPr>
              <w:pStyle w:val="P68B1DB1-Normal8"/>
              <w:spacing w:after="0" w:line="240" w:lineRule="auto"/>
              <w:jc w:val="both"/>
              <w:rPr>
                <w:rFonts w:eastAsia="Times New Roman" w:cs="Calibri"/>
                <w:noProof/>
              </w:rPr>
            </w:pPr>
            <w:r>
              <w:rPr>
                <w:noProof/>
              </w:rPr>
              <w:t xml:space="preserve">Začetek veljavnosti zakona o urejanju platformnega dela, da bi obravnavali nove izzive, ki jih povzročajo netipična delovna razmerja, v skladu z načeli evropskega stebra socialnih pravic. Njegov cilj je okrepiti odnose med delodajalci in delojemalci ter dostop do pravic. </w:t>
            </w:r>
          </w:p>
        </w:tc>
      </w:tr>
      <w:tr w:rsidR="00F24946" w14:paraId="673F5EE3" w14:textId="77777777">
        <w:trPr>
          <w:trHeight w:val="640"/>
        </w:trPr>
        <w:tc>
          <w:tcPr>
            <w:tcW w:w="1135" w:type="dxa"/>
            <w:shd w:val="clear" w:color="auto" w:fill="C5EFCE"/>
            <w:vAlign w:val="center"/>
            <w:hideMark/>
          </w:tcPr>
          <w:p w14:paraId="64E9A71C" w14:textId="77777777" w:rsidR="00F24946" w:rsidRDefault="00613B06">
            <w:pPr>
              <w:pStyle w:val="P68B1DB1-Normal7"/>
              <w:spacing w:after="0" w:line="240" w:lineRule="auto"/>
              <w:jc w:val="center"/>
              <w:rPr>
                <w:rFonts w:eastAsia="Times New Roman" w:cs="Calibri"/>
                <w:noProof/>
              </w:rPr>
            </w:pPr>
            <w:r>
              <w:rPr>
                <w:noProof/>
              </w:rPr>
              <w:t>6.17</w:t>
            </w:r>
          </w:p>
        </w:tc>
        <w:tc>
          <w:tcPr>
            <w:tcW w:w="1276" w:type="dxa"/>
            <w:shd w:val="clear" w:color="auto" w:fill="C4EFCE"/>
            <w:noWrap/>
            <w:vAlign w:val="center"/>
            <w:hideMark/>
          </w:tcPr>
          <w:p w14:paraId="72BCDBDF" w14:textId="77777777" w:rsidR="00F24946" w:rsidRDefault="00613B06">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524C0022"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8ADF796" w14:textId="77777777" w:rsidR="00F24946" w:rsidRDefault="00613B06">
            <w:pPr>
              <w:pStyle w:val="P68B1DB1-Normal8"/>
              <w:spacing w:after="0" w:line="240" w:lineRule="auto"/>
              <w:jc w:val="center"/>
              <w:rPr>
                <w:rFonts w:eastAsia="Times New Roman" w:cs="Calibri"/>
                <w:noProof/>
              </w:rPr>
            </w:pPr>
            <w:r>
              <w:rPr>
                <w:noProof/>
              </w:rPr>
              <w:t xml:space="preserve">Določiti portugalsko normo za sistem enakega upravljanja plačil. </w:t>
            </w:r>
          </w:p>
        </w:tc>
        <w:tc>
          <w:tcPr>
            <w:tcW w:w="1275" w:type="dxa"/>
            <w:shd w:val="clear" w:color="auto" w:fill="C4EFCE"/>
            <w:noWrap/>
            <w:vAlign w:val="center"/>
            <w:hideMark/>
          </w:tcPr>
          <w:p w14:paraId="55000A29" w14:textId="77777777" w:rsidR="00F24946" w:rsidRDefault="00613B06">
            <w:pPr>
              <w:pStyle w:val="P68B1DB1-Normal8"/>
              <w:spacing w:after="0" w:line="240" w:lineRule="auto"/>
              <w:jc w:val="center"/>
              <w:rPr>
                <w:rFonts w:eastAsia="Times New Roman" w:cs="Calibri"/>
                <w:noProof/>
              </w:rPr>
            </w:pPr>
            <w:r>
              <w:rPr>
                <w:noProof/>
              </w:rPr>
              <w:t>Objava norme</w:t>
            </w:r>
          </w:p>
        </w:tc>
        <w:tc>
          <w:tcPr>
            <w:tcW w:w="993" w:type="dxa"/>
            <w:shd w:val="clear" w:color="auto" w:fill="C4EFCE"/>
            <w:noWrap/>
            <w:vAlign w:val="center"/>
            <w:hideMark/>
          </w:tcPr>
          <w:p w14:paraId="7D92AA79"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EA2CD27"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6A55245"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F51F9B5"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6E56A06" w14:textId="77777777" w:rsidR="00F24946" w:rsidRDefault="00613B06">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7A2136C7" w14:textId="77777777" w:rsidR="00F24946" w:rsidRDefault="00613B06">
            <w:pPr>
              <w:pStyle w:val="P68B1DB1-Normal8"/>
              <w:spacing w:after="0" w:line="240" w:lineRule="auto"/>
              <w:jc w:val="both"/>
              <w:rPr>
                <w:rFonts w:eastAsia="Times New Roman" w:cs="Calibri"/>
                <w:noProof/>
              </w:rPr>
            </w:pPr>
            <w:r>
              <w:rPr>
                <w:noProof/>
              </w:rPr>
              <w:t>Pravilo je prostovoljna shema, ki temelji na islandski Norm ÍST 85: 2012 zagotavljanje javnega priznanja podjetjem, ki so učinkovito izvajala politike enakega plačila. Potrdila se podelijo, da se potrdi, da odločitve o plači v celoti temeljijo na ustreznih premislekih.</w:t>
            </w:r>
          </w:p>
        </w:tc>
      </w:tr>
      <w:tr w:rsidR="00F24946" w14:paraId="3DEAC6EC" w14:textId="77777777">
        <w:trPr>
          <w:trHeight w:val="640"/>
        </w:trPr>
        <w:tc>
          <w:tcPr>
            <w:tcW w:w="1135" w:type="dxa"/>
            <w:shd w:val="clear" w:color="auto" w:fill="C5EFCE"/>
            <w:vAlign w:val="center"/>
            <w:hideMark/>
          </w:tcPr>
          <w:p w14:paraId="05280834" w14:textId="77777777" w:rsidR="00F24946" w:rsidRDefault="00613B06">
            <w:pPr>
              <w:pStyle w:val="P68B1DB1-Normal7"/>
              <w:spacing w:after="0" w:line="240" w:lineRule="auto"/>
              <w:jc w:val="center"/>
              <w:rPr>
                <w:rFonts w:eastAsia="Times New Roman" w:cs="Calibri"/>
                <w:noProof/>
              </w:rPr>
            </w:pPr>
            <w:r>
              <w:rPr>
                <w:noProof/>
              </w:rPr>
              <w:t>6.18</w:t>
            </w:r>
          </w:p>
        </w:tc>
        <w:tc>
          <w:tcPr>
            <w:tcW w:w="1276" w:type="dxa"/>
            <w:shd w:val="clear" w:color="auto" w:fill="C4EFCE"/>
            <w:noWrap/>
            <w:vAlign w:val="center"/>
            <w:hideMark/>
          </w:tcPr>
          <w:p w14:paraId="6BCF6F48" w14:textId="77777777" w:rsidR="00F24946" w:rsidRDefault="00613B06">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0FED066F"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31C8BBF" w14:textId="77777777" w:rsidR="00F24946" w:rsidRDefault="00613B06">
            <w:pPr>
              <w:pStyle w:val="P68B1DB1-Normal8"/>
              <w:spacing w:after="0" w:line="240" w:lineRule="auto"/>
              <w:jc w:val="center"/>
              <w:rPr>
                <w:rFonts w:eastAsia="Times New Roman" w:cs="Calibri"/>
                <w:noProof/>
              </w:rPr>
            </w:pPr>
            <w:r>
              <w:rPr>
                <w:noProof/>
              </w:rPr>
              <w:t>Priglasitev podjetij z več kot 50 delavci, ki imajo znatne razlike v plačah med spoloma</w:t>
            </w:r>
          </w:p>
        </w:tc>
        <w:tc>
          <w:tcPr>
            <w:tcW w:w="1275" w:type="dxa"/>
            <w:shd w:val="clear" w:color="auto" w:fill="C4EFCE"/>
            <w:noWrap/>
            <w:vAlign w:val="center"/>
            <w:hideMark/>
          </w:tcPr>
          <w:p w14:paraId="4929D370" w14:textId="77777777" w:rsidR="00F24946" w:rsidRDefault="00613B06">
            <w:pPr>
              <w:pStyle w:val="P68B1DB1-Normal8"/>
              <w:spacing w:after="0" w:line="240" w:lineRule="auto"/>
              <w:jc w:val="center"/>
              <w:rPr>
                <w:rFonts w:eastAsia="Times New Roman" w:cs="Calibri"/>
                <w:noProof/>
              </w:rPr>
            </w:pPr>
            <w:r>
              <w:rPr>
                <w:noProof/>
              </w:rPr>
              <w:t>Priglasitev podjetij z več kot 50 delavci, ki imajo znatne razlike v plačah med spoloma</w:t>
            </w:r>
          </w:p>
        </w:tc>
        <w:tc>
          <w:tcPr>
            <w:tcW w:w="993" w:type="dxa"/>
            <w:shd w:val="clear" w:color="auto" w:fill="C4EFCE"/>
            <w:noWrap/>
            <w:vAlign w:val="center"/>
            <w:hideMark/>
          </w:tcPr>
          <w:p w14:paraId="64A13A3D"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8442C1A"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0A5C912E"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1C3A39E0"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00CB07A4" w14:textId="77777777" w:rsidR="00F24946" w:rsidRDefault="00613B06">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07F0DA13" w14:textId="77777777" w:rsidR="00F24946" w:rsidRDefault="00613B06">
            <w:pPr>
              <w:pStyle w:val="P68B1DB1-Normal8"/>
              <w:spacing w:after="0" w:line="240" w:lineRule="auto"/>
              <w:jc w:val="both"/>
              <w:rPr>
                <w:rFonts w:eastAsia="Times New Roman" w:cs="Calibri"/>
                <w:noProof/>
              </w:rPr>
            </w:pPr>
            <w:r>
              <w:rPr>
                <w:noProof/>
              </w:rPr>
              <w:t>Obveščanje podjetij z več kot 50 delavci, ki imajo znatne razlike v ravneh plačil med spoloma za ista delovna mesta, o obveznosti predložitve akcijskega načrta Direktoratu inšpektorata za delo za odpravo razlik v plačah med spoloma z izvajanjem akcijskega načrta</w:t>
            </w:r>
          </w:p>
        </w:tc>
      </w:tr>
      <w:tr w:rsidR="00F24946" w14:paraId="7D8D557E" w14:textId="77777777">
        <w:trPr>
          <w:trHeight w:val="273"/>
        </w:trPr>
        <w:tc>
          <w:tcPr>
            <w:tcW w:w="1135" w:type="dxa"/>
            <w:shd w:val="clear" w:color="auto" w:fill="C5EFCE"/>
            <w:vAlign w:val="center"/>
          </w:tcPr>
          <w:p w14:paraId="6DB0713C" w14:textId="52D6D02F" w:rsidR="00F24946" w:rsidRDefault="00613B06">
            <w:pPr>
              <w:pStyle w:val="P68B1DB1-Normal11"/>
              <w:spacing w:after="0" w:line="240" w:lineRule="auto"/>
              <w:jc w:val="center"/>
              <w:rPr>
                <w:rFonts w:eastAsia="Times New Roman"/>
                <w:noProof/>
              </w:rPr>
            </w:pPr>
            <w:r>
              <w:rPr>
                <w:noProof/>
              </w:rPr>
              <w:t>6.19</w:t>
            </w:r>
          </w:p>
        </w:tc>
        <w:tc>
          <w:tcPr>
            <w:tcW w:w="1276" w:type="dxa"/>
            <w:shd w:val="clear" w:color="auto" w:fill="C4EFCE"/>
            <w:noWrap/>
            <w:vAlign w:val="center"/>
          </w:tcPr>
          <w:p w14:paraId="24F4FD24" w14:textId="15FD8AA5" w:rsidR="00F24946" w:rsidRDefault="00613B06">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65A01FAC" w14:textId="3ABCA12D"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AEC0245" w14:textId="6EE157E7" w:rsidR="00F24946" w:rsidRDefault="00613B06">
            <w:pPr>
              <w:pStyle w:val="P68B1DB1-Bodytext1013"/>
              <w:jc w:val="center"/>
              <w:rPr>
                <w:rFonts w:cstheme="minorBidi"/>
                <w:noProof/>
              </w:rPr>
            </w:pPr>
            <w:r>
              <w:rPr>
                <w:noProof/>
              </w:rPr>
              <w:t>Podpora za pogodbe za nedoločen čas z doktorskimi raziskovalci v okviru FCT-Tenure in podpora raziskovalcem v okviru ERC na Portugalskem</w:t>
            </w:r>
          </w:p>
        </w:tc>
        <w:tc>
          <w:tcPr>
            <w:tcW w:w="1275" w:type="dxa"/>
            <w:shd w:val="clear" w:color="auto" w:fill="C4EFCE"/>
            <w:noWrap/>
            <w:vAlign w:val="center"/>
          </w:tcPr>
          <w:p w14:paraId="5B1FE369"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716424E2" w14:textId="6461DA4A" w:rsidR="00F24946" w:rsidRDefault="00613B06">
            <w:pPr>
              <w:pStyle w:val="P68B1DB1-Normal12"/>
              <w:spacing w:after="0" w:line="240" w:lineRule="auto"/>
              <w:jc w:val="center"/>
              <w:rPr>
                <w:rFonts w:eastAsia="Times New Roman" w:cstheme="minorHAnsi"/>
                <w:noProof/>
              </w:rPr>
            </w:pPr>
            <w:r>
              <w:rPr>
                <w:noProof/>
              </w:rPr>
              <w:t>Število pogodb</w:t>
            </w:r>
          </w:p>
        </w:tc>
        <w:tc>
          <w:tcPr>
            <w:tcW w:w="992" w:type="dxa"/>
            <w:shd w:val="clear" w:color="auto" w:fill="C4EFCE"/>
            <w:noWrap/>
            <w:vAlign w:val="center"/>
          </w:tcPr>
          <w:p w14:paraId="29E7E7F7" w14:textId="77777777" w:rsidR="00F24946" w:rsidRDefault="00F24946">
            <w:pPr>
              <w:spacing w:after="0" w:line="240" w:lineRule="auto"/>
              <w:jc w:val="center"/>
              <w:rPr>
                <w:rFonts w:eastAsia="Times New Roman" w:cstheme="minorHAnsi"/>
                <w:noProof/>
                <w:sz w:val="16"/>
              </w:rPr>
            </w:pPr>
          </w:p>
        </w:tc>
        <w:tc>
          <w:tcPr>
            <w:tcW w:w="850" w:type="dxa"/>
            <w:shd w:val="clear" w:color="auto" w:fill="C4EFCE"/>
            <w:noWrap/>
            <w:vAlign w:val="center"/>
          </w:tcPr>
          <w:p w14:paraId="40BABDEE" w14:textId="58953BB8" w:rsidR="00F24946" w:rsidRDefault="00613B06">
            <w:pPr>
              <w:pStyle w:val="P68B1DB1-Normal12"/>
              <w:spacing w:after="0" w:line="240" w:lineRule="auto"/>
              <w:jc w:val="center"/>
              <w:rPr>
                <w:noProof/>
              </w:rPr>
            </w:pPr>
            <w:r>
              <w:rPr>
                <w:noProof/>
              </w:rPr>
              <w:t>255</w:t>
            </w:r>
          </w:p>
        </w:tc>
        <w:tc>
          <w:tcPr>
            <w:tcW w:w="567" w:type="dxa"/>
            <w:shd w:val="clear" w:color="auto" w:fill="C4EFCE"/>
            <w:noWrap/>
            <w:vAlign w:val="center"/>
          </w:tcPr>
          <w:p w14:paraId="57152D13" w14:textId="3FC6943F"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626F1508" w14:textId="403213AC" w:rsidR="00F24946" w:rsidRDefault="00613B06">
            <w:pPr>
              <w:pStyle w:val="P68B1DB1-Normal12"/>
              <w:spacing w:after="0" w:line="240" w:lineRule="auto"/>
              <w:jc w:val="center"/>
              <w:rPr>
                <w:rFonts w:eastAsia="Times New Roman" w:cstheme="minorHAnsi"/>
                <w:noProof/>
              </w:rPr>
            </w:pPr>
            <w:r>
              <w:rPr>
                <w:noProof/>
              </w:rPr>
              <w:t>2026</w:t>
            </w:r>
          </w:p>
        </w:tc>
        <w:tc>
          <w:tcPr>
            <w:tcW w:w="4395" w:type="dxa"/>
            <w:shd w:val="clear" w:color="auto" w:fill="C4EFCE"/>
          </w:tcPr>
          <w:p w14:paraId="3EEEBBB2" w14:textId="4A4F68FE" w:rsidR="00F24946" w:rsidRDefault="00613B06">
            <w:pPr>
              <w:pStyle w:val="P68B1DB1-Bodytext1013"/>
              <w:spacing w:after="0" w:line="240" w:lineRule="auto"/>
              <w:jc w:val="both"/>
              <w:rPr>
                <w:rFonts w:cstheme="minorBidi"/>
                <w:noProof/>
              </w:rPr>
            </w:pPr>
            <w:r>
              <w:rPr>
                <w:noProof/>
              </w:rPr>
              <w:t>Z doktorskimi raziskovalci, izbranimi na natečajih, se podpiše 230 pogodb za nedoločen čas.</w:t>
            </w:r>
          </w:p>
          <w:p w14:paraId="5A86B9A8" w14:textId="3357027D" w:rsidR="00F24946" w:rsidRDefault="00613B06">
            <w:pPr>
              <w:pStyle w:val="P68B1DB1-Bodytext1013"/>
              <w:spacing w:after="0" w:line="240" w:lineRule="auto"/>
              <w:jc w:val="both"/>
              <w:rPr>
                <w:rFonts w:cstheme="minorBidi"/>
                <w:noProof/>
              </w:rPr>
            </w:pPr>
            <w:r>
              <w:rPr>
                <w:noProof/>
              </w:rPr>
              <w:t>Podpiše se 25 pogodb z raziskovalci, katerih projekti so priporočeni za financiranje na evropski ali nacionalni ravni, in raziskovalci, katerih vloge ERC so bile priporočene za financiranje ali katerih vloge so bile priporočene za financiranje, vendar na koncu niso bile financirane.</w:t>
            </w:r>
          </w:p>
        </w:tc>
      </w:tr>
      <w:tr w:rsidR="00F24946" w14:paraId="6C354C45" w14:textId="77777777">
        <w:trPr>
          <w:trHeight w:val="640"/>
        </w:trPr>
        <w:tc>
          <w:tcPr>
            <w:tcW w:w="1135" w:type="dxa"/>
            <w:shd w:val="clear" w:color="auto" w:fill="C5EFCE"/>
            <w:vAlign w:val="center"/>
          </w:tcPr>
          <w:p w14:paraId="3122B51F" w14:textId="63A658E0" w:rsidR="00F24946" w:rsidRDefault="00613B06">
            <w:pPr>
              <w:pStyle w:val="P68B1DB1-Normal11"/>
              <w:spacing w:after="0" w:line="240" w:lineRule="auto"/>
              <w:jc w:val="center"/>
              <w:rPr>
                <w:rFonts w:eastAsia="Times New Roman"/>
                <w:noProof/>
              </w:rPr>
            </w:pPr>
            <w:r>
              <w:rPr>
                <w:noProof/>
              </w:rPr>
              <w:t>6.20</w:t>
            </w:r>
          </w:p>
        </w:tc>
        <w:tc>
          <w:tcPr>
            <w:tcW w:w="1276" w:type="dxa"/>
            <w:shd w:val="clear" w:color="auto" w:fill="C4EFCE"/>
            <w:noWrap/>
            <w:vAlign w:val="center"/>
          </w:tcPr>
          <w:p w14:paraId="1B8B3816" w14:textId="7564BF5E" w:rsidR="00F24946" w:rsidRDefault="00613B06">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46F364F4" w14:textId="76B61AEE"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274D0FE" w14:textId="05A036E6" w:rsidR="00F24946" w:rsidRDefault="00613B06">
            <w:pPr>
              <w:pStyle w:val="P68B1DB1-Normal12"/>
              <w:spacing w:after="0" w:line="240" w:lineRule="auto"/>
              <w:jc w:val="center"/>
              <w:rPr>
                <w:rFonts w:eastAsia="Times New Roman" w:cstheme="minorHAnsi"/>
                <w:noProof/>
              </w:rPr>
            </w:pPr>
            <w:r>
              <w:rPr>
                <w:noProof/>
              </w:rPr>
              <w:t>Mednarodna partnerstva na področju znanosti, tehnologije in inovacij: Podprta mednarodna partnerstva; Podprti projekti na področju raziskav in inovacij; Podprta mednarodna mobilnost</w:t>
            </w:r>
          </w:p>
        </w:tc>
        <w:tc>
          <w:tcPr>
            <w:tcW w:w="1275" w:type="dxa"/>
            <w:shd w:val="clear" w:color="auto" w:fill="C4EFCE"/>
            <w:noWrap/>
            <w:vAlign w:val="center"/>
          </w:tcPr>
          <w:p w14:paraId="56824669" w14:textId="4A80532A" w:rsidR="00F24946" w:rsidRDefault="00613B06">
            <w:pPr>
              <w:pStyle w:val="P68B1DB1-Normal12"/>
              <w:spacing w:after="0" w:line="240" w:lineRule="auto"/>
              <w:jc w:val="center"/>
              <w:rPr>
                <w:rFonts w:eastAsia="Times New Roman"/>
                <w:noProof/>
              </w:rPr>
            </w:pPr>
            <w:r>
              <w:rPr>
                <w:noProof/>
              </w:rPr>
              <w:t>Mednarodna partnerstva na področju znanosti, tehnologije in inovacij: Podprta mednarodna partnerstva; Podprti projekti na področju raziskav in inovacij; Podprta mednarodna mobilnost</w:t>
            </w:r>
          </w:p>
        </w:tc>
        <w:tc>
          <w:tcPr>
            <w:tcW w:w="993" w:type="dxa"/>
            <w:shd w:val="clear" w:color="auto" w:fill="C4EFCE"/>
            <w:noWrap/>
            <w:vAlign w:val="center"/>
          </w:tcPr>
          <w:p w14:paraId="5ED41571" w14:textId="1AF5D95C" w:rsidR="00F24946" w:rsidRDefault="00F24946">
            <w:pPr>
              <w:spacing w:after="0" w:line="240" w:lineRule="auto"/>
              <w:jc w:val="center"/>
              <w:rPr>
                <w:noProof/>
                <w:sz w:val="16"/>
              </w:rPr>
            </w:pPr>
          </w:p>
        </w:tc>
        <w:tc>
          <w:tcPr>
            <w:tcW w:w="992" w:type="dxa"/>
            <w:shd w:val="clear" w:color="auto" w:fill="C4EFCE"/>
            <w:noWrap/>
            <w:vAlign w:val="center"/>
          </w:tcPr>
          <w:p w14:paraId="09478518" w14:textId="77777777" w:rsidR="00F24946" w:rsidRDefault="00F24946">
            <w:pPr>
              <w:spacing w:after="0" w:line="240" w:lineRule="auto"/>
              <w:jc w:val="center"/>
              <w:rPr>
                <w:rFonts w:eastAsia="Times New Roman" w:cstheme="minorHAnsi"/>
                <w:noProof/>
                <w:sz w:val="16"/>
              </w:rPr>
            </w:pPr>
          </w:p>
        </w:tc>
        <w:tc>
          <w:tcPr>
            <w:tcW w:w="850" w:type="dxa"/>
            <w:shd w:val="clear" w:color="auto" w:fill="C4EFCE"/>
            <w:noWrap/>
            <w:vAlign w:val="center"/>
          </w:tcPr>
          <w:p w14:paraId="17C9928F"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2B082B34" w14:textId="23598E88"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736E26A8" w14:textId="3DBDCE66" w:rsidR="00F24946" w:rsidRDefault="00613B06">
            <w:pPr>
              <w:pStyle w:val="P68B1DB1-Normal12"/>
              <w:spacing w:after="0" w:line="240" w:lineRule="auto"/>
              <w:jc w:val="center"/>
              <w:rPr>
                <w:rFonts w:eastAsia="Times New Roman" w:cstheme="minorHAnsi"/>
                <w:noProof/>
              </w:rPr>
            </w:pPr>
            <w:r>
              <w:rPr>
                <w:noProof/>
              </w:rPr>
              <w:t>2026</w:t>
            </w:r>
          </w:p>
        </w:tc>
        <w:tc>
          <w:tcPr>
            <w:tcW w:w="4395" w:type="dxa"/>
            <w:shd w:val="clear" w:color="auto" w:fill="C4EFCE"/>
            <w:vAlign w:val="center"/>
          </w:tcPr>
          <w:p w14:paraId="35A3F479" w14:textId="7E0BEAF8" w:rsidR="00F24946" w:rsidRDefault="00613B06">
            <w:pPr>
              <w:pStyle w:val="P68B1DB1-Bodytext1013"/>
              <w:spacing w:after="0" w:line="240" w:lineRule="auto"/>
              <w:jc w:val="both"/>
              <w:rPr>
                <w:rFonts w:cstheme="minorBidi"/>
                <w:noProof/>
              </w:rPr>
            </w:pPr>
            <w:r>
              <w:rPr>
                <w:noProof/>
              </w:rPr>
              <w:t>Podpiše se šest pogodb za mednarodna partnerstva na področju znanosti, tehnologije in inovacij z nacionalnimi institucijami gostiteljicami.</w:t>
            </w:r>
          </w:p>
          <w:p w14:paraId="1570EE45" w14:textId="77777777" w:rsidR="00F24946" w:rsidRDefault="00F24946">
            <w:pPr>
              <w:pStyle w:val="Bodytext10"/>
              <w:spacing w:after="0" w:line="240" w:lineRule="auto"/>
              <w:jc w:val="both"/>
              <w:rPr>
                <w:rFonts w:asciiTheme="minorHAnsi" w:hAnsiTheme="minorHAnsi" w:cstheme="minorBidi"/>
                <w:noProof/>
                <w:sz w:val="16"/>
              </w:rPr>
            </w:pPr>
          </w:p>
          <w:p w14:paraId="6DE6A27E" w14:textId="4F262688" w:rsidR="00F24946" w:rsidRDefault="00613B06">
            <w:pPr>
              <w:pStyle w:val="P68B1DB1-Bodytext1013"/>
              <w:spacing w:after="0" w:line="240" w:lineRule="auto"/>
              <w:jc w:val="both"/>
              <w:rPr>
                <w:rFonts w:cstheme="minorBidi"/>
                <w:noProof/>
              </w:rPr>
            </w:pPr>
            <w:r>
              <w:rPr>
                <w:noProof/>
              </w:rPr>
              <w:t>Podpira se 30 projektov, zavezništev in infrastruktur z nacionalnim sodelovanjem, izbranih na evropski ravni.</w:t>
            </w:r>
          </w:p>
          <w:p w14:paraId="63CDE0C8" w14:textId="71BFC2F0" w:rsidR="00F24946" w:rsidRDefault="00613B06">
            <w:pPr>
              <w:pStyle w:val="P68B1DB1-Bodytext1013"/>
              <w:spacing w:after="0" w:line="240" w:lineRule="auto"/>
              <w:jc w:val="both"/>
              <w:rPr>
                <w:rFonts w:cstheme="minorBidi"/>
                <w:noProof/>
              </w:rPr>
            </w:pPr>
            <w:r>
              <w:rPr>
                <w:noProof/>
              </w:rPr>
              <w:t>Podpira se mednarodna mobilnost 100 nacionalnih raziskovalcev in učiteljev.</w:t>
            </w:r>
          </w:p>
        </w:tc>
      </w:tr>
      <w:tr w:rsidR="00F24946" w14:paraId="66721075" w14:textId="77777777">
        <w:trPr>
          <w:trHeight w:val="640"/>
        </w:trPr>
        <w:tc>
          <w:tcPr>
            <w:tcW w:w="1135" w:type="dxa"/>
            <w:shd w:val="clear" w:color="auto" w:fill="C5EFCE"/>
            <w:vAlign w:val="center"/>
          </w:tcPr>
          <w:p w14:paraId="48CD17D8" w14:textId="27C11524" w:rsidR="00F24946" w:rsidRDefault="00613B06">
            <w:pPr>
              <w:pStyle w:val="P68B1DB1-Normal11"/>
              <w:spacing w:after="0" w:line="240" w:lineRule="auto"/>
              <w:jc w:val="center"/>
              <w:rPr>
                <w:noProof/>
              </w:rPr>
            </w:pPr>
            <w:r>
              <w:rPr>
                <w:noProof/>
              </w:rPr>
              <w:t>6.21</w:t>
            </w:r>
          </w:p>
        </w:tc>
        <w:tc>
          <w:tcPr>
            <w:tcW w:w="1276" w:type="dxa"/>
            <w:shd w:val="clear" w:color="auto" w:fill="C4EFCE"/>
            <w:noWrap/>
            <w:vAlign w:val="center"/>
          </w:tcPr>
          <w:p w14:paraId="7F188F7C" w14:textId="66E53AF2" w:rsidR="00F24946" w:rsidRDefault="00613B06">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C4575F7" w14:textId="03133D2B" w:rsidR="00F24946" w:rsidRDefault="00613B06">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FCB708D" w14:textId="3B3E8E18" w:rsidR="00F24946" w:rsidRDefault="00613B06">
            <w:pPr>
              <w:pStyle w:val="P68B1DB1-Normal12"/>
              <w:spacing w:after="0" w:line="240" w:lineRule="auto"/>
              <w:jc w:val="center"/>
              <w:rPr>
                <w:noProof/>
              </w:rPr>
            </w:pPr>
            <w:r>
              <w:rPr>
                <w:noProof/>
              </w:rPr>
              <w:t xml:space="preserve">Tehnološka in digitalna posodobitev kmetijskih ved: Reforma učnih načrtov za kmetijske vede, odprtje kmetijskih šol srednješolcem in preusposabljanje strokovnjakov  </w:t>
            </w:r>
          </w:p>
        </w:tc>
        <w:tc>
          <w:tcPr>
            <w:tcW w:w="1275" w:type="dxa"/>
            <w:shd w:val="clear" w:color="auto" w:fill="C4EFCE"/>
            <w:noWrap/>
            <w:vAlign w:val="center"/>
          </w:tcPr>
          <w:p w14:paraId="7AA9B9BF" w14:textId="42CE9F74" w:rsidR="00F24946" w:rsidRDefault="00F24946">
            <w:pPr>
              <w:spacing w:after="0" w:line="240" w:lineRule="auto"/>
              <w:jc w:val="center"/>
              <w:rPr>
                <w:noProof/>
                <w:sz w:val="16"/>
              </w:rPr>
            </w:pPr>
          </w:p>
        </w:tc>
        <w:tc>
          <w:tcPr>
            <w:tcW w:w="993" w:type="dxa"/>
            <w:shd w:val="clear" w:color="auto" w:fill="C4EFCE"/>
            <w:noWrap/>
            <w:vAlign w:val="center"/>
          </w:tcPr>
          <w:p w14:paraId="5C47BD23" w14:textId="71BE01C2" w:rsidR="00F24946" w:rsidRDefault="00613B06">
            <w:pPr>
              <w:pStyle w:val="P68B1DB1-Normal12"/>
              <w:spacing w:after="0" w:line="240" w:lineRule="auto"/>
              <w:jc w:val="center"/>
              <w:rPr>
                <w:noProof/>
              </w:rPr>
            </w:pPr>
            <w:r>
              <w:rPr>
                <w:noProof/>
              </w:rPr>
              <w:t>Število</w:t>
            </w:r>
          </w:p>
        </w:tc>
        <w:tc>
          <w:tcPr>
            <w:tcW w:w="992" w:type="dxa"/>
            <w:shd w:val="clear" w:color="auto" w:fill="C4EFCE"/>
            <w:noWrap/>
            <w:vAlign w:val="center"/>
          </w:tcPr>
          <w:p w14:paraId="472FBF28" w14:textId="2DD9CCA7" w:rsidR="00F24946" w:rsidRDefault="00613B06">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0DC53A66" w14:textId="64A65D02" w:rsidR="00F24946" w:rsidRDefault="00613B06">
            <w:pPr>
              <w:pStyle w:val="P68B1DB1-Normal12"/>
              <w:spacing w:after="0" w:line="240" w:lineRule="auto"/>
              <w:jc w:val="center"/>
              <w:rPr>
                <w:rFonts w:eastAsia="Times New Roman"/>
                <w:noProof/>
              </w:rPr>
            </w:pPr>
            <w:r>
              <w:rPr>
                <w:noProof/>
              </w:rPr>
              <w:t>7 020</w:t>
            </w:r>
          </w:p>
        </w:tc>
        <w:tc>
          <w:tcPr>
            <w:tcW w:w="567" w:type="dxa"/>
            <w:shd w:val="clear" w:color="auto" w:fill="C4EFCE"/>
            <w:noWrap/>
            <w:vAlign w:val="center"/>
          </w:tcPr>
          <w:p w14:paraId="625E1EDD" w14:textId="12420CA2" w:rsidR="00F24946" w:rsidRDefault="00613B06">
            <w:pPr>
              <w:pStyle w:val="P68B1DB1-Normal12"/>
              <w:spacing w:after="0" w:line="240" w:lineRule="auto"/>
              <w:jc w:val="center"/>
              <w:rPr>
                <w:rFonts w:cstheme="minorHAnsi"/>
                <w:noProof/>
              </w:rPr>
            </w:pPr>
            <w:r>
              <w:rPr>
                <w:noProof/>
              </w:rPr>
              <w:t>Q2</w:t>
            </w:r>
          </w:p>
        </w:tc>
        <w:tc>
          <w:tcPr>
            <w:tcW w:w="708" w:type="dxa"/>
            <w:shd w:val="clear" w:color="auto" w:fill="C4EFCE"/>
            <w:noWrap/>
            <w:vAlign w:val="center"/>
          </w:tcPr>
          <w:p w14:paraId="4FD2ECE2" w14:textId="0AEB54AF" w:rsidR="00F24946" w:rsidRDefault="00613B06">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D0A3DF6" w14:textId="2108C601" w:rsidR="00F24946" w:rsidRDefault="00613B06">
            <w:pPr>
              <w:pStyle w:val="P68B1DB1-Bodytext1013"/>
              <w:spacing w:after="0" w:line="240" w:lineRule="auto"/>
              <w:jc w:val="both"/>
              <w:rPr>
                <w:rFonts w:cstheme="minorBidi"/>
                <w:noProof/>
              </w:rPr>
            </w:pPr>
            <w:r>
              <w:rPr>
                <w:noProof/>
              </w:rPr>
              <w:t>Izvedena reforma 20 dodiplomskih programov (dodiplomski ali magistrski študij ali oboje) v kmetijskih vedah, in sicer:</w:t>
            </w:r>
          </w:p>
          <w:p w14:paraId="6CF7E7C6" w14:textId="77777777" w:rsidR="00F24946" w:rsidRDefault="00613B06">
            <w:pPr>
              <w:pStyle w:val="P68B1DB1-Bodytext1013"/>
              <w:spacing w:after="0" w:line="240" w:lineRule="auto"/>
              <w:jc w:val="both"/>
              <w:rPr>
                <w:rFonts w:cstheme="minorBidi"/>
                <w:noProof/>
              </w:rPr>
            </w:pPr>
            <w:r>
              <w:rPr>
                <w:noProof/>
              </w:rPr>
              <w:t>— krepitev njene digitalne in tehnološke komponente z nakupom opreme za izobraževalne ustanove</w:t>
            </w:r>
          </w:p>
          <w:p w14:paraId="7D8375DC" w14:textId="3010FE9E" w:rsidR="00F24946" w:rsidRDefault="00613B06">
            <w:pPr>
              <w:pStyle w:val="P68B1DB1-Bodytext1013"/>
              <w:spacing w:after="0" w:line="240" w:lineRule="auto"/>
              <w:jc w:val="both"/>
              <w:rPr>
                <w:rFonts w:cstheme="minorBidi"/>
                <w:noProof/>
              </w:rPr>
            </w:pPr>
            <w:r>
              <w:rPr>
                <w:noProof/>
              </w:rPr>
              <w:t>internacionalizacija, vključno z organizacijo povabljenih predsednikov</w:t>
            </w:r>
          </w:p>
          <w:p w14:paraId="1227FFF1" w14:textId="319AEAE0" w:rsidR="00F24946" w:rsidRDefault="00613B06">
            <w:pPr>
              <w:pStyle w:val="P68B1DB1-Bodytext1013"/>
              <w:spacing w:after="0" w:line="240" w:lineRule="auto"/>
              <w:jc w:val="both"/>
              <w:rPr>
                <w:rFonts w:cstheme="minorBidi"/>
                <w:noProof/>
              </w:rPr>
            </w:pPr>
            <w:r>
              <w:rPr>
                <w:noProof/>
              </w:rPr>
              <w:t xml:space="preserve">medinstitucionalno sodelovanje z izvajanjem strategije za internacionalizacijo izobraževanja o kmetijstvu v konzorciju. </w:t>
            </w:r>
          </w:p>
          <w:p w14:paraId="53ABA183" w14:textId="319AEAE0" w:rsidR="00F24946" w:rsidRDefault="00F24946">
            <w:pPr>
              <w:pStyle w:val="Bodytext10"/>
              <w:spacing w:after="0" w:line="240" w:lineRule="auto"/>
              <w:jc w:val="both"/>
              <w:rPr>
                <w:rStyle w:val="Bodytext1"/>
                <w:rFonts w:asciiTheme="minorHAnsi" w:hAnsiTheme="minorHAnsi" w:cstheme="minorBidi"/>
                <w:noProof/>
                <w:sz w:val="16"/>
              </w:rPr>
            </w:pPr>
          </w:p>
          <w:p w14:paraId="496B7FD9" w14:textId="544DE159" w:rsidR="00F24946" w:rsidRDefault="00613B06">
            <w:pPr>
              <w:pStyle w:val="P68B1DB1-Bodytext1013"/>
              <w:spacing w:after="0" w:line="240" w:lineRule="auto"/>
              <w:jc w:val="both"/>
              <w:rPr>
                <w:rFonts w:cstheme="minorBidi"/>
                <w:noProof/>
              </w:rPr>
            </w:pPr>
            <w:r>
              <w:rPr>
                <w:noProof/>
              </w:rPr>
              <w:t>6000 dijakov srednjih šol bo imelo koristi od enotedenskega programa za kmetijske šole, katerega cilj je povečati privlačnost kmetijskih šol za potencialne prosilce.</w:t>
            </w:r>
          </w:p>
          <w:p w14:paraId="1FC3030B" w14:textId="3C773367" w:rsidR="00F24946" w:rsidRDefault="00F24946">
            <w:pPr>
              <w:pStyle w:val="Bodytext10"/>
              <w:spacing w:after="0" w:line="240" w:lineRule="auto"/>
              <w:jc w:val="both"/>
              <w:rPr>
                <w:rFonts w:asciiTheme="minorHAnsi" w:hAnsiTheme="minorHAnsi" w:cstheme="minorBidi"/>
                <w:noProof/>
                <w:sz w:val="16"/>
              </w:rPr>
            </w:pPr>
          </w:p>
          <w:p w14:paraId="69D689D1" w14:textId="63B60CD2" w:rsidR="00F24946" w:rsidRDefault="00613B06">
            <w:pPr>
              <w:pStyle w:val="P68B1DB1-Bodytext1013"/>
              <w:spacing w:after="0" w:line="240" w:lineRule="auto"/>
              <w:jc w:val="both"/>
              <w:rPr>
                <w:rStyle w:val="Bodytext1"/>
                <w:rFonts w:asciiTheme="minorHAnsi" w:hAnsiTheme="minorHAnsi" w:cstheme="minorBidi"/>
                <w:noProof/>
                <w:sz w:val="16"/>
              </w:rPr>
            </w:pPr>
            <w:r>
              <w:rPr>
                <w:noProof/>
              </w:rPr>
              <w:t>1000 strokovnjakov v kmetijskem sektorju opravi digitalno in tehnološko usposabljanje z mikrokvalifikacijami ali kratkošolskim poklicnim usposabljanjem ali strokovnim magisterjem.</w:t>
            </w:r>
          </w:p>
        </w:tc>
      </w:tr>
      <w:tr w:rsidR="00F24946" w14:paraId="5AB95557" w14:textId="77777777">
        <w:trPr>
          <w:trHeight w:val="640"/>
        </w:trPr>
        <w:tc>
          <w:tcPr>
            <w:tcW w:w="1135" w:type="dxa"/>
            <w:shd w:val="clear" w:color="auto" w:fill="C5EFCE"/>
            <w:vAlign w:val="center"/>
          </w:tcPr>
          <w:p w14:paraId="0D1BDDD8" w14:textId="07872EC0" w:rsidR="00F24946" w:rsidRDefault="00613B06">
            <w:pPr>
              <w:pStyle w:val="P68B1DB1-Normal11"/>
              <w:spacing w:after="0" w:line="240" w:lineRule="auto"/>
              <w:jc w:val="center"/>
              <w:rPr>
                <w:noProof/>
              </w:rPr>
            </w:pPr>
            <w:r>
              <w:rPr>
                <w:noProof/>
              </w:rPr>
              <w:t>6.22</w:t>
            </w:r>
          </w:p>
        </w:tc>
        <w:tc>
          <w:tcPr>
            <w:tcW w:w="1276" w:type="dxa"/>
            <w:shd w:val="clear" w:color="auto" w:fill="C4EFCE"/>
            <w:noWrap/>
            <w:vAlign w:val="center"/>
          </w:tcPr>
          <w:p w14:paraId="011A4D16" w14:textId="7298F3BD" w:rsidR="00F24946" w:rsidRDefault="00613B06">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90BFF82" w14:textId="70CB804F" w:rsidR="00F24946" w:rsidRDefault="00613B06">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0C56191D" w14:textId="4A065135" w:rsidR="00F24946" w:rsidRDefault="00613B06">
            <w:pPr>
              <w:pStyle w:val="P68B1DB1-Normal12"/>
              <w:spacing w:after="0" w:line="240" w:lineRule="auto"/>
              <w:jc w:val="center"/>
              <w:rPr>
                <w:rFonts w:cstheme="minorHAnsi"/>
                <w:noProof/>
              </w:rPr>
            </w:pPr>
            <w:r>
              <w:rPr>
                <w:noProof/>
              </w:rPr>
              <w:t>Posodobitev medicine</w:t>
            </w:r>
          </w:p>
        </w:tc>
        <w:tc>
          <w:tcPr>
            <w:tcW w:w="1275" w:type="dxa"/>
            <w:shd w:val="clear" w:color="auto" w:fill="C4EFCE"/>
            <w:noWrap/>
            <w:vAlign w:val="center"/>
          </w:tcPr>
          <w:p w14:paraId="5E0E2847" w14:textId="77777777" w:rsidR="00F24946" w:rsidRDefault="00F24946">
            <w:pPr>
              <w:spacing w:after="0" w:line="240" w:lineRule="auto"/>
              <w:jc w:val="center"/>
              <w:rPr>
                <w:rFonts w:cstheme="minorHAnsi"/>
                <w:noProof/>
                <w:sz w:val="16"/>
              </w:rPr>
            </w:pPr>
          </w:p>
        </w:tc>
        <w:tc>
          <w:tcPr>
            <w:tcW w:w="993" w:type="dxa"/>
            <w:shd w:val="clear" w:color="auto" w:fill="C4EFCE"/>
            <w:noWrap/>
            <w:vAlign w:val="center"/>
          </w:tcPr>
          <w:p w14:paraId="602C1537" w14:textId="535C74AD" w:rsidR="00F24946" w:rsidRDefault="00613B06">
            <w:pPr>
              <w:pStyle w:val="P68B1DB1-Normal12"/>
              <w:spacing w:after="0" w:line="240" w:lineRule="auto"/>
              <w:jc w:val="center"/>
              <w:rPr>
                <w:noProof/>
              </w:rPr>
            </w:pPr>
            <w:r>
              <w:rPr>
                <w:noProof/>
              </w:rPr>
              <w:t>Število</w:t>
            </w:r>
          </w:p>
        </w:tc>
        <w:tc>
          <w:tcPr>
            <w:tcW w:w="992" w:type="dxa"/>
            <w:shd w:val="clear" w:color="auto" w:fill="C4EFCE"/>
            <w:noWrap/>
            <w:vAlign w:val="center"/>
          </w:tcPr>
          <w:p w14:paraId="1636CEA0" w14:textId="3F6BC36D" w:rsidR="00F24946" w:rsidRDefault="00613B06">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4FA19C54" w14:textId="5DA13673" w:rsidR="00F24946" w:rsidRDefault="00613B06">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05F711F2" w14:textId="578373FB" w:rsidR="00F24946" w:rsidRDefault="00613B06">
            <w:pPr>
              <w:pStyle w:val="P68B1DB1-Normal12"/>
              <w:spacing w:after="0" w:line="240" w:lineRule="auto"/>
              <w:jc w:val="center"/>
              <w:rPr>
                <w:noProof/>
              </w:rPr>
            </w:pPr>
            <w:r>
              <w:rPr>
                <w:noProof/>
              </w:rPr>
              <w:t>Q2</w:t>
            </w:r>
          </w:p>
        </w:tc>
        <w:tc>
          <w:tcPr>
            <w:tcW w:w="708" w:type="dxa"/>
            <w:shd w:val="clear" w:color="auto" w:fill="C4EFCE"/>
            <w:noWrap/>
            <w:vAlign w:val="center"/>
          </w:tcPr>
          <w:p w14:paraId="727812B4" w14:textId="69053B8C" w:rsidR="00F24946" w:rsidRDefault="00613B06">
            <w:pPr>
              <w:pStyle w:val="P68B1DB1-Normal12"/>
              <w:spacing w:after="0" w:line="240" w:lineRule="auto"/>
              <w:jc w:val="center"/>
              <w:rPr>
                <w:noProof/>
              </w:rPr>
            </w:pPr>
            <w:r>
              <w:rPr>
                <w:noProof/>
              </w:rPr>
              <w:t>2026</w:t>
            </w:r>
          </w:p>
        </w:tc>
        <w:tc>
          <w:tcPr>
            <w:tcW w:w="4395" w:type="dxa"/>
            <w:shd w:val="clear" w:color="auto" w:fill="C4EFCE"/>
            <w:vAlign w:val="center"/>
          </w:tcPr>
          <w:p w14:paraId="0BE60C62" w14:textId="57230731" w:rsidR="00F24946" w:rsidRDefault="00613B06">
            <w:pPr>
              <w:pStyle w:val="P68B1DB1-Bodytext1013"/>
              <w:spacing w:line="240" w:lineRule="auto"/>
              <w:jc w:val="both"/>
              <w:rPr>
                <w:rFonts w:cstheme="minorBidi"/>
                <w:noProof/>
              </w:rPr>
            </w:pPr>
            <w:r>
              <w:rPr>
                <w:noProof/>
              </w:rPr>
              <w:t>Vsaj 5000 študentov integriranega magistrskega študija sodeluje v učnih načrtih z uporabo digitalnih okolij ali medicinske simulacije. V ta namen se uporabi oprema, kot so preskusne lutke z visoko zidnostjo ali simulatorji virtualne resničnosti.</w:t>
            </w:r>
          </w:p>
          <w:p w14:paraId="03728086" w14:textId="31BE029E" w:rsidR="00F24946" w:rsidRDefault="00613B06">
            <w:pPr>
              <w:pStyle w:val="P68B1DB1-Bodytext1013"/>
              <w:spacing w:after="0" w:line="240" w:lineRule="auto"/>
              <w:jc w:val="both"/>
              <w:rPr>
                <w:rFonts w:cstheme="minorBidi"/>
                <w:noProof/>
              </w:rPr>
            </w:pPr>
            <w:r>
              <w:rPr>
                <w:noProof/>
              </w:rPr>
              <w:t>Vsaj 7500 zdravstvenih delavcev sodeluje pri medicinskem usposabljanju, osredotočenem na tehnološko in digitalno posodobitev zdravstvenega sektorja. Ponudijo se tri vrste usposabljanj: kratki visokošolski programi, poklicni magisterij in/ali mikrokvalifikacije.</w:t>
            </w:r>
          </w:p>
        </w:tc>
      </w:tr>
      <w:tr w:rsidR="00F24946" w14:paraId="7E7C518B" w14:textId="77777777">
        <w:trPr>
          <w:trHeight w:val="640"/>
        </w:trPr>
        <w:tc>
          <w:tcPr>
            <w:tcW w:w="1135" w:type="dxa"/>
            <w:shd w:val="clear" w:color="auto" w:fill="C5EFCE"/>
            <w:vAlign w:val="center"/>
          </w:tcPr>
          <w:p w14:paraId="7342B9AB" w14:textId="4D1C1BE5" w:rsidR="00F24946" w:rsidRDefault="00613B06">
            <w:pPr>
              <w:pStyle w:val="P68B1DB1-Normal11"/>
              <w:spacing w:after="0" w:line="240" w:lineRule="auto"/>
              <w:jc w:val="center"/>
              <w:rPr>
                <w:noProof/>
              </w:rPr>
            </w:pPr>
            <w:r>
              <w:rPr>
                <w:noProof/>
              </w:rPr>
              <w:t>6.23</w:t>
            </w:r>
          </w:p>
        </w:tc>
        <w:tc>
          <w:tcPr>
            <w:tcW w:w="1276" w:type="dxa"/>
            <w:shd w:val="clear" w:color="auto" w:fill="C4EFCE"/>
            <w:noWrap/>
            <w:vAlign w:val="center"/>
          </w:tcPr>
          <w:p w14:paraId="61D9CF67" w14:textId="5923C0BC" w:rsidR="00F24946" w:rsidRDefault="00613B06">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7BF68D0A" w14:textId="4BA5BECB" w:rsidR="00F24946" w:rsidRDefault="00613B06">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C8DA4AE" w14:textId="30954B10" w:rsidR="00F24946" w:rsidRDefault="00613B06">
            <w:pPr>
              <w:pStyle w:val="P68B1DB1-Normal12"/>
              <w:spacing w:after="0" w:line="240" w:lineRule="auto"/>
              <w:jc w:val="center"/>
              <w:rPr>
                <w:rFonts w:cstheme="minorHAnsi"/>
                <w:noProof/>
              </w:rPr>
            </w:pPr>
            <w:r>
              <w:rPr>
                <w:noProof/>
              </w:rPr>
              <w:t>Krepitev digitalnih znanj in spretnosti</w:t>
            </w:r>
          </w:p>
        </w:tc>
        <w:tc>
          <w:tcPr>
            <w:tcW w:w="1275" w:type="dxa"/>
            <w:shd w:val="clear" w:color="auto" w:fill="C4EFCE"/>
            <w:noWrap/>
            <w:vAlign w:val="center"/>
          </w:tcPr>
          <w:p w14:paraId="20F37E5B" w14:textId="77777777" w:rsidR="00F24946" w:rsidRDefault="00F24946">
            <w:pPr>
              <w:spacing w:after="0" w:line="240" w:lineRule="auto"/>
              <w:jc w:val="center"/>
              <w:rPr>
                <w:rFonts w:cstheme="minorHAnsi"/>
                <w:noProof/>
                <w:sz w:val="16"/>
              </w:rPr>
            </w:pPr>
          </w:p>
        </w:tc>
        <w:tc>
          <w:tcPr>
            <w:tcW w:w="993" w:type="dxa"/>
            <w:shd w:val="clear" w:color="auto" w:fill="C4EFCE"/>
            <w:noWrap/>
            <w:vAlign w:val="center"/>
          </w:tcPr>
          <w:p w14:paraId="3843260D" w14:textId="7E687270" w:rsidR="00F24946" w:rsidRDefault="00613B06">
            <w:pPr>
              <w:pStyle w:val="P68B1DB1-Normal12"/>
              <w:spacing w:after="0" w:line="240" w:lineRule="auto"/>
              <w:jc w:val="center"/>
              <w:rPr>
                <w:noProof/>
              </w:rPr>
            </w:pPr>
            <w:r>
              <w:rPr>
                <w:noProof/>
              </w:rPr>
              <w:t xml:space="preserve"> Število</w:t>
            </w:r>
          </w:p>
        </w:tc>
        <w:tc>
          <w:tcPr>
            <w:tcW w:w="992" w:type="dxa"/>
            <w:shd w:val="clear" w:color="auto" w:fill="C4EFCE"/>
            <w:noWrap/>
            <w:vAlign w:val="center"/>
          </w:tcPr>
          <w:p w14:paraId="03179505" w14:textId="02D7BE6B" w:rsidR="00F24946" w:rsidRDefault="00613B06">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3ABCA18E" w14:textId="5D6BAAE1" w:rsidR="00F24946" w:rsidRDefault="00613B06">
            <w:pPr>
              <w:pStyle w:val="P68B1DB1-Normal12"/>
              <w:spacing w:after="0" w:line="240" w:lineRule="auto"/>
              <w:jc w:val="center"/>
              <w:rPr>
                <w:rFonts w:eastAsia="Times New Roman" w:cstheme="minorHAnsi"/>
                <w:noProof/>
              </w:rPr>
            </w:pPr>
            <w:r>
              <w:rPr>
                <w:noProof/>
              </w:rPr>
              <w:t>11 750</w:t>
            </w:r>
          </w:p>
        </w:tc>
        <w:tc>
          <w:tcPr>
            <w:tcW w:w="567" w:type="dxa"/>
            <w:shd w:val="clear" w:color="auto" w:fill="C4EFCE"/>
            <w:noWrap/>
            <w:vAlign w:val="center"/>
          </w:tcPr>
          <w:p w14:paraId="718E9C07" w14:textId="7AFA7A93" w:rsidR="00F24946" w:rsidRDefault="00613B06">
            <w:pPr>
              <w:pStyle w:val="P68B1DB1-Normal12"/>
              <w:spacing w:after="0" w:line="240" w:lineRule="auto"/>
              <w:jc w:val="center"/>
              <w:rPr>
                <w:rFonts w:cstheme="minorHAnsi"/>
                <w:noProof/>
              </w:rPr>
            </w:pPr>
            <w:r>
              <w:rPr>
                <w:noProof/>
              </w:rPr>
              <w:t>Q2</w:t>
            </w:r>
          </w:p>
        </w:tc>
        <w:tc>
          <w:tcPr>
            <w:tcW w:w="708" w:type="dxa"/>
            <w:shd w:val="clear" w:color="auto" w:fill="C4EFCE"/>
            <w:noWrap/>
            <w:vAlign w:val="center"/>
          </w:tcPr>
          <w:p w14:paraId="0704A86A" w14:textId="763D5987" w:rsidR="00F24946" w:rsidRDefault="00613B06">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8BDA553" w14:textId="0C921B07" w:rsidR="00F24946" w:rsidRDefault="00613B06">
            <w:pPr>
              <w:pStyle w:val="P68B1DB1-Bodytext1013"/>
              <w:spacing w:after="0" w:line="240" w:lineRule="auto"/>
              <w:jc w:val="both"/>
              <w:rPr>
                <w:rFonts w:cstheme="minorBidi"/>
                <w:noProof/>
              </w:rPr>
            </w:pPr>
            <w:r>
              <w:rPr>
                <w:noProof/>
              </w:rPr>
              <w:t>V programih za krepitev digitalnih znanj in spretnosti sodeluje 11750 mladih in odraslih z področij, ki ne spadajo na področje naravoslovja, tehnologije, inženirstva in matematike.</w:t>
            </w:r>
          </w:p>
        </w:tc>
      </w:tr>
      <w:tr w:rsidR="00F24946" w14:paraId="4D94B093" w14:textId="77777777">
        <w:trPr>
          <w:trHeight w:val="640"/>
        </w:trPr>
        <w:tc>
          <w:tcPr>
            <w:tcW w:w="1135" w:type="dxa"/>
            <w:shd w:val="clear" w:color="auto" w:fill="C5EFCE"/>
            <w:vAlign w:val="center"/>
          </w:tcPr>
          <w:p w14:paraId="34E64220" w14:textId="772B93AE" w:rsidR="00F24946" w:rsidRDefault="00613B06">
            <w:pPr>
              <w:pStyle w:val="P68B1DB1-Normal11"/>
              <w:spacing w:after="0" w:line="240" w:lineRule="auto"/>
              <w:jc w:val="center"/>
              <w:rPr>
                <w:noProof/>
              </w:rPr>
            </w:pPr>
            <w:r>
              <w:rPr>
                <w:noProof/>
              </w:rPr>
              <w:t>6.24</w:t>
            </w:r>
          </w:p>
        </w:tc>
        <w:tc>
          <w:tcPr>
            <w:tcW w:w="1276" w:type="dxa"/>
            <w:shd w:val="clear" w:color="auto" w:fill="C4EFCE"/>
            <w:noWrap/>
            <w:vAlign w:val="center"/>
          </w:tcPr>
          <w:p w14:paraId="0083973A" w14:textId="5FF91370" w:rsidR="00F24946" w:rsidRDefault="00613B06">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534D3821" w14:textId="716BA925" w:rsidR="00F24946" w:rsidRDefault="00613B06">
            <w:pPr>
              <w:pStyle w:val="P68B1DB1-Normal12"/>
              <w:spacing w:after="0" w:line="240" w:lineRule="auto"/>
              <w:jc w:val="center"/>
              <w:rPr>
                <w:rFonts w:cstheme="minorHAnsi"/>
                <w:noProof/>
              </w:rPr>
            </w:pPr>
            <w:r>
              <w:rPr>
                <w:noProof/>
              </w:rPr>
              <w:t>M</w:t>
            </w:r>
          </w:p>
        </w:tc>
        <w:tc>
          <w:tcPr>
            <w:tcW w:w="1701" w:type="dxa"/>
            <w:shd w:val="clear" w:color="auto" w:fill="C4EFCE"/>
            <w:noWrap/>
            <w:vAlign w:val="center"/>
          </w:tcPr>
          <w:p w14:paraId="546F1C56" w14:textId="4A44DB24" w:rsidR="00F24946" w:rsidRDefault="00613B06">
            <w:pPr>
              <w:pStyle w:val="P68B1DB1-Normal12"/>
              <w:spacing w:after="0" w:line="240" w:lineRule="auto"/>
              <w:jc w:val="center"/>
              <w:rPr>
                <w:rFonts w:cstheme="minorHAnsi"/>
                <w:noProof/>
              </w:rPr>
            </w:pPr>
            <w:r>
              <w:rPr>
                <w:noProof/>
              </w:rPr>
              <w:t>Inovacije in pedagoška posodobitev v visokem šolstvu</w:t>
            </w:r>
          </w:p>
        </w:tc>
        <w:tc>
          <w:tcPr>
            <w:tcW w:w="1275" w:type="dxa"/>
            <w:shd w:val="clear" w:color="auto" w:fill="C4EFCE"/>
            <w:noWrap/>
            <w:vAlign w:val="center"/>
          </w:tcPr>
          <w:p w14:paraId="459EE616" w14:textId="77777777" w:rsidR="00F24946" w:rsidRDefault="00F24946">
            <w:pPr>
              <w:spacing w:after="0" w:line="240" w:lineRule="auto"/>
              <w:jc w:val="center"/>
              <w:rPr>
                <w:rFonts w:cstheme="minorHAnsi"/>
                <w:noProof/>
                <w:sz w:val="16"/>
              </w:rPr>
            </w:pPr>
          </w:p>
        </w:tc>
        <w:tc>
          <w:tcPr>
            <w:tcW w:w="993" w:type="dxa"/>
            <w:shd w:val="clear" w:color="auto" w:fill="C4EFCE"/>
            <w:noWrap/>
            <w:vAlign w:val="center"/>
          </w:tcPr>
          <w:p w14:paraId="7BEDA178" w14:textId="53F4813C" w:rsidR="00F24946" w:rsidRDefault="00613B06">
            <w:pPr>
              <w:pStyle w:val="P68B1DB1-Normal12"/>
              <w:spacing w:after="0" w:line="240" w:lineRule="auto"/>
              <w:jc w:val="center"/>
              <w:rPr>
                <w:noProof/>
              </w:rPr>
            </w:pPr>
            <w:r>
              <w:rPr>
                <w:noProof/>
              </w:rPr>
              <w:t xml:space="preserve"> Število</w:t>
            </w:r>
          </w:p>
        </w:tc>
        <w:tc>
          <w:tcPr>
            <w:tcW w:w="992" w:type="dxa"/>
            <w:shd w:val="clear" w:color="auto" w:fill="C4EFCE"/>
            <w:noWrap/>
            <w:vAlign w:val="center"/>
          </w:tcPr>
          <w:p w14:paraId="665883BC" w14:textId="2EC998CE" w:rsidR="00F24946" w:rsidRDefault="00613B06">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6CC2A8F9" w14:textId="06F7ECA2" w:rsidR="00F24946" w:rsidRDefault="00613B06">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02D944F5" w14:textId="703DB580" w:rsidR="00F24946" w:rsidRDefault="00613B06">
            <w:pPr>
              <w:pStyle w:val="P68B1DB1-Normal12"/>
              <w:spacing w:after="0" w:line="240" w:lineRule="auto"/>
              <w:jc w:val="center"/>
              <w:rPr>
                <w:rFonts w:cstheme="minorHAnsi"/>
                <w:noProof/>
              </w:rPr>
            </w:pPr>
            <w:r>
              <w:rPr>
                <w:noProof/>
              </w:rPr>
              <w:t xml:space="preserve">Q4 </w:t>
            </w:r>
          </w:p>
        </w:tc>
        <w:tc>
          <w:tcPr>
            <w:tcW w:w="708" w:type="dxa"/>
            <w:shd w:val="clear" w:color="auto" w:fill="C4EFCE"/>
            <w:noWrap/>
            <w:vAlign w:val="center"/>
          </w:tcPr>
          <w:p w14:paraId="64371F14" w14:textId="0A68E79D" w:rsidR="00F24946" w:rsidRDefault="00613B06">
            <w:pPr>
              <w:pStyle w:val="P68B1DB1-Normal12"/>
              <w:spacing w:after="0" w:line="240" w:lineRule="auto"/>
              <w:jc w:val="center"/>
              <w:rPr>
                <w:rFonts w:cstheme="minorHAnsi"/>
                <w:noProof/>
              </w:rPr>
            </w:pPr>
            <w:r>
              <w:rPr>
                <w:noProof/>
              </w:rPr>
              <w:t>2024</w:t>
            </w:r>
          </w:p>
        </w:tc>
        <w:tc>
          <w:tcPr>
            <w:tcW w:w="4395" w:type="dxa"/>
            <w:shd w:val="clear" w:color="auto" w:fill="C4EFCE"/>
            <w:vAlign w:val="center"/>
          </w:tcPr>
          <w:p w14:paraId="31B02553" w14:textId="31BE029E" w:rsidR="00F24946" w:rsidRDefault="00613B06">
            <w:pPr>
              <w:pStyle w:val="P68B1DB1-Bodytext1013"/>
              <w:spacing w:after="0" w:line="240" w:lineRule="auto"/>
              <w:jc w:val="both"/>
              <w:rPr>
                <w:rFonts w:cstheme="minorBidi"/>
                <w:noProof/>
              </w:rPr>
            </w:pPr>
            <w:r>
              <w:rPr>
                <w:noProof/>
              </w:rPr>
              <w:t xml:space="preserve">Ustanovi se pet centrov odličnosti pedagoških inovacij s poudarkom na netehnoloških tematskih področjih (družbene vede, humanistika in umetnost). Ustanovi se nacionalni svet za pedagoške inovacije v visokem šolstvu. </w:t>
            </w:r>
          </w:p>
        </w:tc>
      </w:tr>
      <w:tr w:rsidR="00F24946" w14:paraId="5EDD3E14" w14:textId="77777777">
        <w:trPr>
          <w:trHeight w:val="640"/>
        </w:trPr>
        <w:tc>
          <w:tcPr>
            <w:tcW w:w="1135" w:type="dxa"/>
            <w:shd w:val="clear" w:color="auto" w:fill="C5EFCE"/>
            <w:vAlign w:val="center"/>
          </w:tcPr>
          <w:p w14:paraId="42FF49FC" w14:textId="25C76D14" w:rsidR="00F24946" w:rsidRDefault="00613B06">
            <w:pPr>
              <w:pStyle w:val="P68B1DB1-Normal11"/>
              <w:spacing w:after="0" w:line="240" w:lineRule="auto"/>
              <w:jc w:val="center"/>
              <w:rPr>
                <w:noProof/>
              </w:rPr>
            </w:pPr>
            <w:r>
              <w:rPr>
                <w:noProof/>
                <w:shd w:val="clear" w:color="auto" w:fill="E6E6E6"/>
              </w:rPr>
              <w:t>6.2</w:t>
            </w:r>
            <w:r>
              <w:rPr>
                <w:noProof/>
              </w:rPr>
              <w:t>5</w:t>
            </w:r>
          </w:p>
        </w:tc>
        <w:tc>
          <w:tcPr>
            <w:tcW w:w="1276" w:type="dxa"/>
            <w:shd w:val="clear" w:color="auto" w:fill="C4EFCE"/>
            <w:noWrap/>
            <w:vAlign w:val="center"/>
          </w:tcPr>
          <w:p w14:paraId="56C60FE1" w14:textId="4068A0BE" w:rsidR="00F24946" w:rsidRDefault="00613B06">
            <w:pPr>
              <w:pStyle w:val="P68B1DB1-Normal12"/>
              <w:spacing w:after="0" w:line="240" w:lineRule="auto"/>
              <w:jc w:val="center"/>
              <w:rPr>
                <w:noProof/>
              </w:rPr>
            </w:pPr>
            <w:r>
              <w:rPr>
                <w:noProof/>
              </w:rPr>
              <w:t>Re-C06-i07</w:t>
            </w:r>
          </w:p>
        </w:tc>
        <w:tc>
          <w:tcPr>
            <w:tcW w:w="1134" w:type="dxa"/>
            <w:shd w:val="clear" w:color="auto" w:fill="C4EFCE"/>
            <w:noWrap/>
            <w:vAlign w:val="center"/>
          </w:tcPr>
          <w:p w14:paraId="075C0195" w14:textId="08EB7FE7" w:rsidR="00F24946" w:rsidRDefault="00613B06">
            <w:pPr>
              <w:pStyle w:val="P68B1DB1-Normal12"/>
              <w:spacing w:after="0" w:line="240" w:lineRule="auto"/>
              <w:jc w:val="center"/>
              <w:rPr>
                <w:noProof/>
              </w:rPr>
            </w:pPr>
            <w:r>
              <w:rPr>
                <w:noProof/>
              </w:rPr>
              <w:t>T</w:t>
            </w:r>
          </w:p>
        </w:tc>
        <w:tc>
          <w:tcPr>
            <w:tcW w:w="1701" w:type="dxa"/>
            <w:shd w:val="clear" w:color="auto" w:fill="C4EFCE"/>
            <w:noWrap/>
            <w:vAlign w:val="center"/>
          </w:tcPr>
          <w:p w14:paraId="6FB5789C" w14:textId="4D968374" w:rsidR="00F24946" w:rsidRDefault="00613B06">
            <w:pPr>
              <w:pStyle w:val="P68B1DB1-Normal12"/>
              <w:spacing w:after="0" w:line="240" w:lineRule="auto"/>
              <w:jc w:val="center"/>
              <w:rPr>
                <w:noProof/>
              </w:rPr>
            </w:pPr>
            <w:r>
              <w:rPr>
                <w:noProof/>
              </w:rPr>
              <w:t>Inovacije in pedagoška posodobitev v visokem šolstvu</w:t>
            </w:r>
          </w:p>
        </w:tc>
        <w:tc>
          <w:tcPr>
            <w:tcW w:w="1275" w:type="dxa"/>
            <w:shd w:val="clear" w:color="auto" w:fill="C4EFCE"/>
            <w:noWrap/>
            <w:vAlign w:val="center"/>
          </w:tcPr>
          <w:p w14:paraId="1FE0DD74" w14:textId="77777777" w:rsidR="00F24946" w:rsidRDefault="00F24946">
            <w:pPr>
              <w:spacing w:after="0" w:line="240" w:lineRule="auto"/>
              <w:jc w:val="center"/>
              <w:rPr>
                <w:noProof/>
                <w:sz w:val="16"/>
              </w:rPr>
            </w:pPr>
          </w:p>
        </w:tc>
        <w:tc>
          <w:tcPr>
            <w:tcW w:w="993" w:type="dxa"/>
            <w:shd w:val="clear" w:color="auto" w:fill="C4EFCE"/>
            <w:noWrap/>
            <w:vAlign w:val="center"/>
          </w:tcPr>
          <w:p w14:paraId="109C6A75" w14:textId="6DC07688" w:rsidR="00F24946" w:rsidRDefault="00613B06">
            <w:pPr>
              <w:pStyle w:val="P68B1DB1-Normal12"/>
              <w:spacing w:after="0" w:line="240" w:lineRule="auto"/>
              <w:jc w:val="center"/>
              <w:rPr>
                <w:noProof/>
              </w:rPr>
            </w:pPr>
            <w:r>
              <w:rPr>
                <w:noProof/>
              </w:rPr>
              <w:t>Delež</w:t>
            </w:r>
          </w:p>
        </w:tc>
        <w:tc>
          <w:tcPr>
            <w:tcW w:w="992" w:type="dxa"/>
            <w:shd w:val="clear" w:color="auto" w:fill="C4EFCE"/>
            <w:noWrap/>
            <w:vAlign w:val="center"/>
          </w:tcPr>
          <w:p w14:paraId="5BACD0A3" w14:textId="2B76B72B" w:rsidR="00F24946" w:rsidRDefault="00613B06">
            <w:pPr>
              <w:pStyle w:val="P68B1DB1-Normal12"/>
              <w:spacing w:after="0" w:line="240" w:lineRule="auto"/>
              <w:jc w:val="center"/>
              <w:rPr>
                <w:noProof/>
              </w:rPr>
            </w:pPr>
            <w:r>
              <w:rPr>
                <w:noProof/>
              </w:rPr>
              <w:t>24</w:t>
            </w:r>
          </w:p>
        </w:tc>
        <w:tc>
          <w:tcPr>
            <w:tcW w:w="850" w:type="dxa"/>
            <w:shd w:val="clear" w:color="auto" w:fill="C4EFCE"/>
            <w:noWrap/>
            <w:vAlign w:val="center"/>
          </w:tcPr>
          <w:p w14:paraId="0FCCD7A8" w14:textId="17E68BD7" w:rsidR="00F24946" w:rsidRDefault="00613B06">
            <w:pPr>
              <w:pStyle w:val="P68B1DB1-Normal12"/>
              <w:spacing w:after="0" w:line="240" w:lineRule="auto"/>
              <w:jc w:val="center"/>
              <w:rPr>
                <w:noProof/>
              </w:rPr>
            </w:pPr>
            <w:r>
              <w:rPr>
                <w:noProof/>
              </w:rPr>
              <w:t>22</w:t>
            </w:r>
          </w:p>
        </w:tc>
        <w:tc>
          <w:tcPr>
            <w:tcW w:w="567" w:type="dxa"/>
            <w:shd w:val="clear" w:color="auto" w:fill="C4EFCE"/>
            <w:noWrap/>
            <w:vAlign w:val="center"/>
          </w:tcPr>
          <w:p w14:paraId="407A04B9" w14:textId="6C671152" w:rsidR="00F24946" w:rsidRDefault="00613B06">
            <w:pPr>
              <w:pStyle w:val="P68B1DB1-Normal12"/>
              <w:spacing w:after="0" w:line="240" w:lineRule="auto"/>
              <w:jc w:val="center"/>
              <w:rPr>
                <w:noProof/>
              </w:rPr>
            </w:pPr>
            <w:r>
              <w:rPr>
                <w:noProof/>
              </w:rPr>
              <w:t xml:space="preserve">Q2 </w:t>
            </w:r>
          </w:p>
        </w:tc>
        <w:tc>
          <w:tcPr>
            <w:tcW w:w="708" w:type="dxa"/>
            <w:shd w:val="clear" w:color="auto" w:fill="C4EFCE"/>
            <w:noWrap/>
            <w:vAlign w:val="center"/>
          </w:tcPr>
          <w:p w14:paraId="24140BFE" w14:textId="49106AB4" w:rsidR="00F24946" w:rsidRDefault="00613B06">
            <w:pPr>
              <w:pStyle w:val="P68B1DB1-Normal12"/>
              <w:spacing w:after="0" w:line="240" w:lineRule="auto"/>
              <w:jc w:val="center"/>
              <w:rPr>
                <w:noProof/>
              </w:rPr>
            </w:pPr>
            <w:r>
              <w:rPr>
                <w:noProof/>
              </w:rPr>
              <w:t>2026</w:t>
            </w:r>
          </w:p>
        </w:tc>
        <w:tc>
          <w:tcPr>
            <w:tcW w:w="4395" w:type="dxa"/>
            <w:shd w:val="clear" w:color="auto" w:fill="C4EFCE"/>
            <w:vAlign w:val="center"/>
          </w:tcPr>
          <w:p w14:paraId="301CE07F" w14:textId="78DC95DE" w:rsidR="00F24946" w:rsidRDefault="00613B06">
            <w:pPr>
              <w:pStyle w:val="P68B1DB1-Bodytext1013"/>
              <w:spacing w:after="0" w:line="240" w:lineRule="auto"/>
              <w:jc w:val="both"/>
              <w:rPr>
                <w:rFonts w:cstheme="minorBidi"/>
                <w:noProof/>
              </w:rPr>
            </w:pPr>
            <w:r>
              <w:rPr>
                <w:noProof/>
              </w:rPr>
              <w:t>Povprečna stopnja osipa učencev v enem letu in tistih</w:t>
            </w:r>
            <w:r>
              <w:rPr>
                <w:noProof/>
                <w:vertAlign w:val="superscript"/>
              </w:rPr>
              <w:t>,</w:t>
            </w:r>
            <w:r>
              <w:rPr>
                <w:noProof/>
              </w:rPr>
              <w:t xml:space="preserve"> ki se prvič udeležijo začetnega usposabljanja, se v primerjavi s šolskim letom 2020/2021 zmanjša s 24 na 22 %. </w:t>
            </w:r>
          </w:p>
        </w:tc>
      </w:tr>
      <w:tr w:rsidR="00F24946" w14:paraId="1B6CC263" w14:textId="77777777">
        <w:trPr>
          <w:trHeight w:val="1200"/>
        </w:trPr>
        <w:tc>
          <w:tcPr>
            <w:tcW w:w="1135" w:type="dxa"/>
            <w:shd w:val="clear" w:color="auto" w:fill="C5EFCE"/>
            <w:vAlign w:val="center"/>
          </w:tcPr>
          <w:p w14:paraId="17852A2F" w14:textId="4BC71954" w:rsidR="00F24946" w:rsidRDefault="00613B06">
            <w:pPr>
              <w:pStyle w:val="P68B1DB1-Normal11"/>
              <w:spacing w:after="0" w:line="240" w:lineRule="auto"/>
              <w:jc w:val="center"/>
              <w:rPr>
                <w:noProof/>
              </w:rPr>
            </w:pPr>
            <w:r>
              <w:rPr>
                <w:noProof/>
              </w:rPr>
              <w:t>6.26</w:t>
            </w:r>
          </w:p>
        </w:tc>
        <w:tc>
          <w:tcPr>
            <w:tcW w:w="1276" w:type="dxa"/>
            <w:shd w:val="clear" w:color="auto" w:fill="C4EFCE"/>
            <w:noWrap/>
            <w:vAlign w:val="center"/>
          </w:tcPr>
          <w:p w14:paraId="6AB0021F" w14:textId="36D94200" w:rsidR="00F24946" w:rsidRDefault="00613B06">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D4E502D" w14:textId="257DAB64" w:rsidR="00F24946" w:rsidRDefault="00613B06">
            <w:pPr>
              <w:pStyle w:val="P68B1DB1-Normal12"/>
              <w:spacing w:after="0" w:line="240" w:lineRule="auto"/>
              <w:jc w:val="center"/>
              <w:rPr>
                <w:rFonts w:cstheme="minorHAnsi"/>
                <w:noProof/>
                <w:highlight w:val="yellow"/>
              </w:rPr>
            </w:pPr>
            <w:r>
              <w:rPr>
                <w:noProof/>
              </w:rPr>
              <w:t>M</w:t>
            </w:r>
          </w:p>
        </w:tc>
        <w:tc>
          <w:tcPr>
            <w:tcW w:w="1701" w:type="dxa"/>
            <w:shd w:val="clear" w:color="auto" w:fill="C4EFCE"/>
            <w:noWrap/>
            <w:vAlign w:val="center"/>
          </w:tcPr>
          <w:p w14:paraId="4066C449" w14:textId="4911D8E4" w:rsidR="00F24946" w:rsidRDefault="00613B06">
            <w:pPr>
              <w:pStyle w:val="P68B1DB1-Normal12"/>
              <w:spacing w:after="0" w:line="240" w:lineRule="auto"/>
              <w:jc w:val="center"/>
              <w:rPr>
                <w:noProof/>
                <w:highlight w:val="yellow"/>
              </w:rPr>
            </w:pPr>
            <w:r>
              <w:rPr>
                <w:noProof/>
              </w:rPr>
              <w:t>Podpisana pogodba za razširitev stavbe CITMA</w:t>
            </w:r>
          </w:p>
        </w:tc>
        <w:tc>
          <w:tcPr>
            <w:tcW w:w="1275" w:type="dxa"/>
            <w:shd w:val="clear" w:color="auto" w:fill="C4EFCE"/>
            <w:noWrap/>
            <w:vAlign w:val="center"/>
          </w:tcPr>
          <w:p w14:paraId="4184FAC3" w14:textId="57DE588F" w:rsidR="00F24946" w:rsidRDefault="00613B06">
            <w:pPr>
              <w:pStyle w:val="P68B1DB1-Normal12"/>
              <w:spacing w:after="0" w:line="240" w:lineRule="auto"/>
              <w:jc w:val="center"/>
              <w:rPr>
                <w:noProof/>
              </w:rPr>
            </w:pPr>
            <w:r>
              <w:rPr>
                <w:noProof/>
              </w:rPr>
              <w:t>Pogodba, podpisana z izvajalcem za razširitev stavbe CITMA</w:t>
            </w:r>
          </w:p>
        </w:tc>
        <w:tc>
          <w:tcPr>
            <w:tcW w:w="993" w:type="dxa"/>
            <w:shd w:val="clear" w:color="auto" w:fill="C4EFCE"/>
            <w:noWrap/>
            <w:vAlign w:val="center"/>
          </w:tcPr>
          <w:p w14:paraId="2594E74E" w14:textId="77777777" w:rsidR="00F24946" w:rsidRDefault="00F24946">
            <w:pPr>
              <w:spacing w:after="0" w:line="240" w:lineRule="auto"/>
              <w:jc w:val="center"/>
              <w:rPr>
                <w:rFonts w:cstheme="minorHAnsi"/>
                <w:noProof/>
                <w:sz w:val="16"/>
                <w:highlight w:val="yellow"/>
              </w:rPr>
            </w:pPr>
          </w:p>
        </w:tc>
        <w:tc>
          <w:tcPr>
            <w:tcW w:w="992" w:type="dxa"/>
            <w:shd w:val="clear" w:color="auto" w:fill="C4EFCE"/>
            <w:noWrap/>
            <w:vAlign w:val="center"/>
          </w:tcPr>
          <w:p w14:paraId="5C7A545B" w14:textId="77777777" w:rsidR="00F24946" w:rsidRDefault="00F24946">
            <w:pPr>
              <w:spacing w:after="0" w:line="240" w:lineRule="auto"/>
              <w:jc w:val="center"/>
              <w:rPr>
                <w:rFonts w:cstheme="minorHAnsi"/>
                <w:noProof/>
                <w:sz w:val="16"/>
                <w:highlight w:val="yellow"/>
              </w:rPr>
            </w:pPr>
          </w:p>
        </w:tc>
        <w:tc>
          <w:tcPr>
            <w:tcW w:w="850" w:type="dxa"/>
            <w:shd w:val="clear" w:color="auto" w:fill="C4EFCE"/>
            <w:noWrap/>
            <w:vAlign w:val="center"/>
          </w:tcPr>
          <w:p w14:paraId="5C0309AA" w14:textId="77777777" w:rsidR="00F24946" w:rsidRDefault="00F24946">
            <w:pPr>
              <w:spacing w:after="0" w:line="240" w:lineRule="auto"/>
              <w:jc w:val="center"/>
              <w:rPr>
                <w:rFonts w:cstheme="minorHAnsi"/>
                <w:noProof/>
                <w:sz w:val="16"/>
                <w:highlight w:val="yellow"/>
              </w:rPr>
            </w:pPr>
          </w:p>
        </w:tc>
        <w:tc>
          <w:tcPr>
            <w:tcW w:w="567" w:type="dxa"/>
            <w:shd w:val="clear" w:color="auto" w:fill="C4EFCE"/>
            <w:noWrap/>
            <w:vAlign w:val="center"/>
          </w:tcPr>
          <w:p w14:paraId="7B969A18" w14:textId="75D7CB06" w:rsidR="00F24946" w:rsidRDefault="00613B06">
            <w:pPr>
              <w:pStyle w:val="P68B1DB1-Normal12"/>
              <w:spacing w:after="0" w:line="240" w:lineRule="auto"/>
              <w:jc w:val="center"/>
              <w:rPr>
                <w:noProof/>
                <w:highlight w:val="yellow"/>
              </w:rPr>
            </w:pPr>
            <w:r>
              <w:rPr>
                <w:noProof/>
              </w:rPr>
              <w:t>Q4</w:t>
            </w:r>
          </w:p>
        </w:tc>
        <w:tc>
          <w:tcPr>
            <w:tcW w:w="708" w:type="dxa"/>
            <w:shd w:val="clear" w:color="auto" w:fill="C4EFCE"/>
            <w:noWrap/>
            <w:vAlign w:val="center"/>
          </w:tcPr>
          <w:p w14:paraId="5BA274AA" w14:textId="7294986B" w:rsidR="00F24946" w:rsidRDefault="00613B06">
            <w:pPr>
              <w:pStyle w:val="P68B1DB1-Normal12"/>
              <w:spacing w:after="0" w:line="240" w:lineRule="auto"/>
              <w:jc w:val="center"/>
              <w:rPr>
                <w:noProof/>
                <w:highlight w:val="yellow"/>
              </w:rPr>
            </w:pPr>
            <w:r>
              <w:rPr>
                <w:noProof/>
              </w:rPr>
              <w:t>2024</w:t>
            </w:r>
          </w:p>
        </w:tc>
        <w:tc>
          <w:tcPr>
            <w:tcW w:w="4395" w:type="dxa"/>
            <w:shd w:val="clear" w:color="auto" w:fill="C4EFCE"/>
          </w:tcPr>
          <w:p w14:paraId="026297F8" w14:textId="55F6305A" w:rsidR="00F24946" w:rsidRDefault="00613B06">
            <w:pPr>
              <w:pStyle w:val="P68B1DB1-Bodytext1013"/>
              <w:spacing w:line="240" w:lineRule="auto"/>
              <w:jc w:val="both"/>
              <w:rPr>
                <w:rFonts w:cstheme="minorBidi"/>
                <w:noProof/>
              </w:rPr>
            </w:pPr>
            <w:r>
              <w:rPr>
                <w:noProof/>
              </w:rPr>
              <w:t>Podpisana pogodba za razširitev stavbe Znanstveno in tehnološko središče Madeire (CITMA). Podaljšek obsega dodajanje treh nadstropij sedanje stavbe in razširitev pritličja. Stavba je prilagojena potrebam oseb z omejeno mobilnostjo.</w:t>
            </w:r>
          </w:p>
        </w:tc>
      </w:tr>
      <w:tr w:rsidR="00F24946" w14:paraId="26661FA7" w14:textId="77777777">
        <w:trPr>
          <w:trHeight w:val="640"/>
        </w:trPr>
        <w:tc>
          <w:tcPr>
            <w:tcW w:w="1135" w:type="dxa"/>
            <w:shd w:val="clear" w:color="auto" w:fill="C5EFCE"/>
            <w:vAlign w:val="center"/>
          </w:tcPr>
          <w:p w14:paraId="16FCC56E" w14:textId="432F4705" w:rsidR="00F24946" w:rsidRDefault="00613B06">
            <w:pPr>
              <w:pStyle w:val="P68B1DB1-Normal11"/>
              <w:spacing w:after="0" w:line="240" w:lineRule="auto"/>
              <w:jc w:val="center"/>
              <w:rPr>
                <w:noProof/>
              </w:rPr>
            </w:pPr>
            <w:r>
              <w:rPr>
                <w:noProof/>
              </w:rPr>
              <w:t>6.27</w:t>
            </w:r>
          </w:p>
        </w:tc>
        <w:tc>
          <w:tcPr>
            <w:tcW w:w="1276" w:type="dxa"/>
            <w:shd w:val="clear" w:color="auto" w:fill="C4EFCE"/>
            <w:noWrap/>
            <w:vAlign w:val="center"/>
          </w:tcPr>
          <w:p w14:paraId="7A2ED63D" w14:textId="6A226D82" w:rsidR="00F24946" w:rsidRDefault="00613B06">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1DDD4B9" w14:textId="3B2B0BFD" w:rsidR="00F24946" w:rsidRDefault="00613B06">
            <w:pPr>
              <w:pStyle w:val="P68B1DB1-Normal12"/>
              <w:spacing w:after="0" w:line="240" w:lineRule="auto"/>
              <w:jc w:val="center"/>
              <w:rPr>
                <w:rFonts w:cstheme="minorHAnsi"/>
                <w:noProof/>
                <w:highlight w:val="yellow"/>
              </w:rPr>
            </w:pPr>
            <w:r>
              <w:rPr>
                <w:noProof/>
              </w:rPr>
              <w:t>T</w:t>
            </w:r>
          </w:p>
        </w:tc>
        <w:tc>
          <w:tcPr>
            <w:tcW w:w="1701" w:type="dxa"/>
            <w:shd w:val="clear" w:color="auto" w:fill="C4EFCE"/>
            <w:noWrap/>
            <w:vAlign w:val="center"/>
          </w:tcPr>
          <w:p w14:paraId="6636B311" w14:textId="0722EF78" w:rsidR="00F24946" w:rsidRDefault="00613B06">
            <w:pPr>
              <w:pStyle w:val="P68B1DB1-Normal12"/>
              <w:spacing w:after="0" w:line="240" w:lineRule="auto"/>
              <w:jc w:val="center"/>
              <w:rPr>
                <w:rFonts w:cstheme="minorHAnsi"/>
                <w:noProof/>
                <w:highlight w:val="yellow"/>
              </w:rPr>
            </w:pPr>
            <w:r>
              <w:rPr>
                <w:noProof/>
              </w:rPr>
              <w:t>Dokončana razširitev stavbe CITMA</w:t>
            </w:r>
          </w:p>
        </w:tc>
        <w:tc>
          <w:tcPr>
            <w:tcW w:w="1275" w:type="dxa"/>
            <w:shd w:val="clear" w:color="auto" w:fill="C4EFCE"/>
            <w:noWrap/>
            <w:vAlign w:val="center"/>
          </w:tcPr>
          <w:p w14:paraId="5B8088BD" w14:textId="77777777" w:rsidR="00F24946" w:rsidRDefault="00F24946">
            <w:pPr>
              <w:spacing w:after="0" w:line="240" w:lineRule="auto"/>
              <w:jc w:val="center"/>
              <w:rPr>
                <w:rFonts w:cstheme="minorHAnsi"/>
                <w:noProof/>
                <w:sz w:val="16"/>
              </w:rPr>
            </w:pPr>
          </w:p>
        </w:tc>
        <w:tc>
          <w:tcPr>
            <w:tcW w:w="993" w:type="dxa"/>
            <w:shd w:val="clear" w:color="auto" w:fill="C4EFCE"/>
            <w:noWrap/>
            <w:vAlign w:val="center"/>
          </w:tcPr>
          <w:p w14:paraId="6D0A9446" w14:textId="77152A4E" w:rsidR="00F24946" w:rsidRDefault="00613B06">
            <w:pPr>
              <w:pStyle w:val="P68B1DB1-Normal12"/>
              <w:spacing w:after="0" w:line="240" w:lineRule="auto"/>
              <w:jc w:val="center"/>
              <w:rPr>
                <w:rFonts w:cstheme="minorHAnsi"/>
                <w:noProof/>
                <w:highlight w:val="yellow"/>
              </w:rPr>
            </w:pPr>
            <w:r>
              <w:rPr>
                <w:noProof/>
              </w:rPr>
              <w:t>m² (bruto)</w:t>
            </w:r>
          </w:p>
        </w:tc>
        <w:tc>
          <w:tcPr>
            <w:tcW w:w="992" w:type="dxa"/>
            <w:shd w:val="clear" w:color="auto" w:fill="C4EFCE"/>
            <w:noWrap/>
            <w:vAlign w:val="center"/>
          </w:tcPr>
          <w:p w14:paraId="49E7248F" w14:textId="0204F5B0" w:rsidR="00F24946" w:rsidRDefault="00613B06">
            <w:pPr>
              <w:pStyle w:val="P68B1DB1-Normal12"/>
              <w:spacing w:after="0" w:line="240" w:lineRule="auto"/>
              <w:jc w:val="center"/>
              <w:rPr>
                <w:rFonts w:cstheme="minorHAnsi"/>
                <w:noProof/>
                <w:highlight w:val="yellow"/>
              </w:rPr>
            </w:pPr>
            <w:r>
              <w:rPr>
                <w:noProof/>
              </w:rPr>
              <w:t>0</w:t>
            </w:r>
          </w:p>
        </w:tc>
        <w:tc>
          <w:tcPr>
            <w:tcW w:w="850" w:type="dxa"/>
            <w:shd w:val="clear" w:color="auto" w:fill="C4EFCE"/>
            <w:noWrap/>
            <w:vAlign w:val="center"/>
          </w:tcPr>
          <w:p w14:paraId="437267C7" w14:textId="13522473" w:rsidR="00F24946" w:rsidRDefault="00613B06">
            <w:pPr>
              <w:pStyle w:val="P68B1DB1-Normal12"/>
              <w:spacing w:after="0" w:line="240" w:lineRule="auto"/>
              <w:jc w:val="center"/>
              <w:rPr>
                <w:rFonts w:cstheme="minorHAnsi"/>
                <w:noProof/>
                <w:highlight w:val="yellow"/>
              </w:rPr>
            </w:pPr>
            <w:r>
              <w:rPr>
                <w:noProof/>
              </w:rPr>
              <w:t>9.030</w:t>
            </w:r>
          </w:p>
        </w:tc>
        <w:tc>
          <w:tcPr>
            <w:tcW w:w="567" w:type="dxa"/>
            <w:shd w:val="clear" w:color="auto" w:fill="C4EFCE"/>
            <w:noWrap/>
            <w:vAlign w:val="center"/>
          </w:tcPr>
          <w:p w14:paraId="1704115E" w14:textId="514D1C81" w:rsidR="00F24946" w:rsidRDefault="00613B06">
            <w:pPr>
              <w:pStyle w:val="P68B1DB1-Normal12"/>
              <w:spacing w:after="0" w:line="240" w:lineRule="auto"/>
              <w:jc w:val="center"/>
              <w:rPr>
                <w:rFonts w:cstheme="minorHAnsi"/>
                <w:noProof/>
                <w:highlight w:val="yellow"/>
              </w:rPr>
            </w:pPr>
            <w:r>
              <w:rPr>
                <w:noProof/>
              </w:rPr>
              <w:t>Q2</w:t>
            </w:r>
          </w:p>
        </w:tc>
        <w:tc>
          <w:tcPr>
            <w:tcW w:w="708" w:type="dxa"/>
            <w:shd w:val="clear" w:color="auto" w:fill="C4EFCE"/>
            <w:noWrap/>
            <w:vAlign w:val="center"/>
          </w:tcPr>
          <w:p w14:paraId="121AEEFC" w14:textId="164B71B5" w:rsidR="00F24946" w:rsidRDefault="00613B06">
            <w:pPr>
              <w:pStyle w:val="P68B1DB1-Normal12"/>
              <w:spacing w:after="0" w:line="240" w:lineRule="auto"/>
              <w:jc w:val="center"/>
              <w:rPr>
                <w:rFonts w:cstheme="minorHAnsi"/>
                <w:noProof/>
                <w:highlight w:val="yellow"/>
              </w:rPr>
            </w:pPr>
            <w:r>
              <w:rPr>
                <w:noProof/>
              </w:rPr>
              <w:t>2026</w:t>
            </w:r>
          </w:p>
        </w:tc>
        <w:tc>
          <w:tcPr>
            <w:tcW w:w="4395" w:type="dxa"/>
            <w:shd w:val="clear" w:color="auto" w:fill="C4EFCE"/>
          </w:tcPr>
          <w:p w14:paraId="6755F55B" w14:textId="6249822E" w:rsidR="00F24946" w:rsidRDefault="00613B06">
            <w:pPr>
              <w:pStyle w:val="P68B1DB1-Bodytext1013"/>
              <w:spacing w:after="0" w:line="240" w:lineRule="auto"/>
              <w:jc w:val="both"/>
              <w:rPr>
                <w:rFonts w:cstheme="minorBidi"/>
                <w:noProof/>
              </w:rPr>
            </w:pPr>
            <w:r>
              <w:rPr>
                <w:noProof/>
              </w:rPr>
              <w:t xml:space="preserve">Dokončanje vseh pogodbenih del, povezanih z razširitvijo stavbe CITMA, kot je določeno v M6.26. </w:t>
            </w:r>
          </w:p>
          <w:p w14:paraId="2E4EF6FD" w14:textId="67B2A4A2" w:rsidR="00F24946" w:rsidRDefault="00613B06">
            <w:pPr>
              <w:pStyle w:val="P68B1DB1-Bodytext1013"/>
              <w:spacing w:after="0" w:line="240" w:lineRule="auto"/>
              <w:jc w:val="both"/>
              <w:rPr>
                <w:rFonts w:cstheme="minorHAnsi"/>
                <w:noProof/>
                <w:highlight w:val="yellow"/>
              </w:rPr>
            </w:pPr>
            <w:r>
              <w:rPr>
                <w:noProof/>
              </w:rPr>
              <w:t>Potreba stavbe po primarni energiji je za vsaj 20 % nižja od potreb stavb s skoraj nično porabo energije.</w:t>
            </w:r>
          </w:p>
        </w:tc>
      </w:tr>
    </w:tbl>
    <w:p w14:paraId="703445A0"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1134" w:right="1134" w:bottom="1134" w:left="1134" w:header="567" w:footer="567" w:gutter="0"/>
          <w:cols w:space="720"/>
          <w:docGrid w:linePitch="360"/>
        </w:sectPr>
      </w:pPr>
    </w:p>
    <w:p w14:paraId="0B57B546" w14:textId="00CBED5A" w:rsidR="00F24946" w:rsidRDefault="00613B06">
      <w:pPr>
        <w:pStyle w:val="P68B1DB1-Normal3"/>
        <w:spacing w:before="40" w:after="120" w:line="259" w:lineRule="auto"/>
        <w:ind w:left="130" w:firstLine="720"/>
        <w:jc w:val="both"/>
        <w:outlineLvl w:val="2"/>
        <w:rPr>
          <w:rFonts w:eastAsiaTheme="minorEastAsia" w:cs="Times New Roman"/>
          <w:noProof/>
        </w:rPr>
      </w:pPr>
      <w:r>
        <w:rPr>
          <w:noProof/>
        </w:rPr>
        <w:t>F.3. Opis reform in naložb za posojilo</w:t>
      </w:r>
    </w:p>
    <w:p w14:paraId="4E706AE3" w14:textId="4F5820BE" w:rsidR="00F24946" w:rsidRDefault="00613B06">
      <w:pPr>
        <w:pStyle w:val="P68B1DB1-Heading214"/>
        <w:rPr>
          <w:noProof/>
        </w:rPr>
      </w:pPr>
      <w:bookmarkStart w:id="21" w:name="_Toc137472455"/>
      <w:r>
        <w:rPr>
          <w:noProof/>
        </w:rPr>
        <w:t>Naložba RE-C06-i09: Nove ali prenovljene šole</w:t>
      </w:r>
      <w:bookmarkEnd w:id="21"/>
    </w:p>
    <w:p w14:paraId="49C17223" w14:textId="77777777" w:rsidR="00F24946" w:rsidRDefault="00613B06">
      <w:pPr>
        <w:pStyle w:val="P68B1DB1-Normal4"/>
        <w:spacing w:after="0" w:line="259" w:lineRule="auto"/>
        <w:jc w:val="both"/>
        <w:rPr>
          <w:rFonts w:cs="Times New Roman"/>
          <w:noProof/>
        </w:rPr>
      </w:pPr>
      <w:r>
        <w:rPr>
          <w:noProof/>
        </w:rPr>
        <w:t>Cilj ukrepa je zagotoviti enak dostop do kakovostnih javnih šol, s tem pa povečati njihovo privlačnost in vključenost ter zmanjšati teritorialne razlike.</w:t>
      </w:r>
    </w:p>
    <w:p w14:paraId="1D44833B" w14:textId="597CE0EA" w:rsidR="00F24946" w:rsidRDefault="00613B06">
      <w:pPr>
        <w:pStyle w:val="P68B1DB1-Normal4"/>
        <w:spacing w:after="0" w:line="259" w:lineRule="auto"/>
        <w:jc w:val="both"/>
        <w:rPr>
          <w:rFonts w:cs="Times New Roman"/>
          <w:noProof/>
        </w:rPr>
      </w:pPr>
      <w:r>
        <w:rPr>
          <w:noProof/>
        </w:rPr>
        <w:t xml:space="preserve">Naložba zajema gradnjo novih šol ali obnovo obstoječih šol. Naložbe se osredotočajo na 75 osnovnih in srednjih šol, za katere je bilo ugotovljeno, da potrebujejo prednostni ukrep. </w:t>
      </w:r>
    </w:p>
    <w:p w14:paraId="4983461D" w14:textId="77777777" w:rsidR="00F24946" w:rsidRDefault="00613B06">
      <w:pPr>
        <w:pStyle w:val="P68B1DB1-Normal4"/>
        <w:spacing w:after="0" w:line="259" w:lineRule="auto"/>
        <w:jc w:val="both"/>
        <w:rPr>
          <w:rFonts w:cs="Times New Roman"/>
          <w:noProof/>
        </w:rPr>
        <w:sectPr w:rsidR="00F24946" w:rsidSect="00E00EDD">
          <w:headerReference w:type="even" r:id="rId132"/>
          <w:headerReference w:type="default" r:id="rId133"/>
          <w:footerReference w:type="even" r:id="rId134"/>
          <w:footerReference w:type="default" r:id="rId135"/>
          <w:headerReference w:type="first" r:id="rId136"/>
          <w:footerReference w:type="first" r:id="rId137"/>
          <w:pgSz w:w="11907" w:h="16839"/>
          <w:pgMar w:top="1134" w:right="1134" w:bottom="1134" w:left="1134" w:header="567" w:footer="567" w:gutter="0"/>
          <w:cols w:space="720"/>
          <w:docGrid w:linePitch="360"/>
        </w:sectPr>
      </w:pPr>
      <w:r>
        <w:rPr>
          <w:noProof/>
        </w:rPr>
        <w:t>Naložba se izvede do 30. junija 2026.</w:t>
      </w:r>
    </w:p>
    <w:p w14:paraId="7558F518" w14:textId="06FC37A9" w:rsidR="00F24946" w:rsidRDefault="00613B06">
      <w:pPr>
        <w:pStyle w:val="P68B1DB1-Normal3"/>
        <w:spacing w:before="40" w:after="120" w:line="259" w:lineRule="auto"/>
        <w:ind w:left="130" w:firstLine="720"/>
        <w:jc w:val="both"/>
        <w:outlineLvl w:val="2"/>
        <w:rPr>
          <w:rFonts w:eastAsiaTheme="minorEastAsia" w:cs="Times New Roman"/>
          <w:noProof/>
        </w:rPr>
      </w:pPr>
      <w:r>
        <w:rPr>
          <w:noProof/>
        </w:rPr>
        <w:t>F.4. Mejniki, cilji, kazalniki in časovni razpored za spremljanje in izvajanje posojila</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F24946" w14:paraId="35CBC765" w14:textId="77777777">
        <w:trPr>
          <w:trHeight w:val="910"/>
        </w:trPr>
        <w:tc>
          <w:tcPr>
            <w:tcW w:w="1135" w:type="dxa"/>
            <w:vMerge w:val="restart"/>
            <w:shd w:val="clear" w:color="auto" w:fill="BDD6EE"/>
            <w:vAlign w:val="center"/>
            <w:hideMark/>
          </w:tcPr>
          <w:p w14:paraId="1828903B"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6731E7DF"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009937F2"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110401E7"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61C9BD3B"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835" w:type="dxa"/>
            <w:gridSpan w:val="3"/>
            <w:shd w:val="clear" w:color="auto" w:fill="BDD6EE"/>
            <w:vAlign w:val="center"/>
            <w:hideMark/>
          </w:tcPr>
          <w:p w14:paraId="136D5C43"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65792DA3"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395" w:type="dxa"/>
            <w:vMerge w:val="restart"/>
            <w:shd w:val="clear" w:color="auto" w:fill="BDD6EE"/>
            <w:noWrap/>
            <w:vAlign w:val="center"/>
            <w:hideMark/>
          </w:tcPr>
          <w:p w14:paraId="74D8A200"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0BB373E4" w14:textId="77777777">
        <w:trPr>
          <w:trHeight w:val="470"/>
        </w:trPr>
        <w:tc>
          <w:tcPr>
            <w:tcW w:w="1135" w:type="dxa"/>
            <w:vMerge/>
            <w:vAlign w:val="center"/>
            <w:hideMark/>
          </w:tcPr>
          <w:p w14:paraId="65AD4F05"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44BD7125"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32AA7BB9" w14:textId="77777777"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1593588"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66678DA0"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2DB1308E"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01A093FA"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50" w:type="dxa"/>
            <w:shd w:val="clear" w:color="auto" w:fill="BDD6EE"/>
            <w:vAlign w:val="center"/>
            <w:hideMark/>
          </w:tcPr>
          <w:p w14:paraId="08598FE0"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6EF144BD"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8E6ED20" w14:textId="77777777" w:rsidR="00F24946" w:rsidRDefault="00613B06">
            <w:pPr>
              <w:pStyle w:val="P68B1DB1-Normal6"/>
              <w:spacing w:after="0" w:line="240" w:lineRule="auto"/>
              <w:jc w:val="center"/>
              <w:rPr>
                <w:rFonts w:eastAsia="Times New Roman" w:cs="Times New Roman"/>
                <w:noProof/>
              </w:rPr>
            </w:pPr>
            <w:r>
              <w:rPr>
                <w:noProof/>
              </w:rPr>
              <w:t>Leto</w:t>
            </w:r>
          </w:p>
        </w:tc>
        <w:tc>
          <w:tcPr>
            <w:tcW w:w="4395" w:type="dxa"/>
            <w:vMerge/>
            <w:vAlign w:val="center"/>
            <w:hideMark/>
          </w:tcPr>
          <w:p w14:paraId="0E23BA6C" w14:textId="77777777" w:rsidR="00F24946" w:rsidRDefault="00F24946">
            <w:pPr>
              <w:spacing w:after="0" w:line="240" w:lineRule="auto"/>
              <w:rPr>
                <w:rFonts w:ascii="Times New Roman" w:eastAsia="Times New Roman" w:hAnsi="Times New Roman" w:cs="Times New Roman"/>
                <w:b/>
                <w:noProof/>
                <w:sz w:val="18"/>
              </w:rPr>
            </w:pPr>
          </w:p>
        </w:tc>
      </w:tr>
      <w:tr w:rsidR="00F24946" w14:paraId="3D20A5EA" w14:textId="77777777">
        <w:trPr>
          <w:trHeight w:val="640"/>
        </w:trPr>
        <w:tc>
          <w:tcPr>
            <w:tcW w:w="1135" w:type="dxa"/>
            <w:shd w:val="clear" w:color="auto" w:fill="C5EFCE"/>
            <w:vAlign w:val="center"/>
          </w:tcPr>
          <w:p w14:paraId="6A531982" w14:textId="77777777" w:rsidR="00F24946" w:rsidRDefault="00613B06">
            <w:pPr>
              <w:pStyle w:val="P68B1DB1-Normal11"/>
              <w:spacing w:after="0" w:line="240" w:lineRule="auto"/>
              <w:jc w:val="center"/>
              <w:rPr>
                <w:noProof/>
              </w:rPr>
            </w:pPr>
            <w:r>
              <w:rPr>
                <w:noProof/>
              </w:rPr>
              <w:t>6.28</w:t>
            </w:r>
          </w:p>
        </w:tc>
        <w:tc>
          <w:tcPr>
            <w:tcW w:w="1276" w:type="dxa"/>
            <w:shd w:val="clear" w:color="auto" w:fill="C4EFCE"/>
            <w:noWrap/>
            <w:vAlign w:val="center"/>
          </w:tcPr>
          <w:p w14:paraId="110672C3" w14:textId="77777777" w:rsidR="00F24946" w:rsidRDefault="00613B06">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3F6D50D9" w14:textId="77777777" w:rsidR="00F24946" w:rsidRDefault="00613B06">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5FC35C89" w14:textId="77777777" w:rsidR="00F24946" w:rsidRDefault="00613B06">
            <w:pPr>
              <w:pStyle w:val="P68B1DB1-Normal12"/>
              <w:spacing w:after="0" w:line="240" w:lineRule="auto"/>
              <w:jc w:val="center"/>
              <w:rPr>
                <w:noProof/>
              </w:rPr>
            </w:pPr>
            <w:r>
              <w:rPr>
                <w:noProof/>
              </w:rPr>
              <w:t>Podpis pogodb o gradnji in prenovi javnih šol</w:t>
            </w:r>
          </w:p>
        </w:tc>
        <w:tc>
          <w:tcPr>
            <w:tcW w:w="1275" w:type="dxa"/>
            <w:shd w:val="clear" w:color="auto" w:fill="C4EFCE"/>
            <w:noWrap/>
            <w:vAlign w:val="center"/>
          </w:tcPr>
          <w:p w14:paraId="64C1ED73" w14:textId="77777777" w:rsidR="00F24946" w:rsidRDefault="00613B06">
            <w:pPr>
              <w:pStyle w:val="P68B1DB1-Normal12"/>
              <w:spacing w:after="0" w:line="240" w:lineRule="auto"/>
              <w:jc w:val="center"/>
              <w:rPr>
                <w:noProof/>
              </w:rPr>
            </w:pPr>
            <w:r>
              <w:rPr>
                <w:noProof/>
              </w:rPr>
              <w:t xml:space="preserve"> Podpisane pogodbe </w:t>
            </w:r>
          </w:p>
        </w:tc>
        <w:tc>
          <w:tcPr>
            <w:tcW w:w="993" w:type="dxa"/>
            <w:shd w:val="clear" w:color="auto" w:fill="C4EFCE"/>
            <w:noWrap/>
            <w:vAlign w:val="center"/>
          </w:tcPr>
          <w:p w14:paraId="7EBF5460" w14:textId="77777777" w:rsidR="00F24946" w:rsidRDefault="00613B06">
            <w:pPr>
              <w:pStyle w:val="P68B1DB1-Normal12"/>
              <w:spacing w:after="0" w:line="240" w:lineRule="auto"/>
              <w:jc w:val="center"/>
              <w:rPr>
                <w:noProof/>
              </w:rPr>
            </w:pPr>
            <w:r>
              <w:rPr>
                <w:noProof/>
              </w:rPr>
              <w:t>Število</w:t>
            </w:r>
          </w:p>
        </w:tc>
        <w:tc>
          <w:tcPr>
            <w:tcW w:w="992" w:type="dxa"/>
            <w:shd w:val="clear" w:color="auto" w:fill="C4EFCE"/>
            <w:noWrap/>
            <w:vAlign w:val="center"/>
          </w:tcPr>
          <w:p w14:paraId="0D14F3E5" w14:textId="77777777" w:rsidR="00F24946" w:rsidRDefault="00613B06">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77DD45F8" w14:textId="77777777" w:rsidR="00F24946" w:rsidRDefault="00613B06">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ED23A9E" w14:textId="77777777" w:rsidR="00F24946" w:rsidRDefault="00613B06">
            <w:pPr>
              <w:pStyle w:val="P68B1DB1-Normal12"/>
              <w:spacing w:after="0" w:line="240" w:lineRule="auto"/>
              <w:jc w:val="center"/>
              <w:rPr>
                <w:rFonts w:cstheme="minorHAnsi"/>
                <w:noProof/>
              </w:rPr>
            </w:pPr>
            <w:r>
              <w:rPr>
                <w:noProof/>
              </w:rPr>
              <w:t>Q4</w:t>
            </w:r>
          </w:p>
        </w:tc>
        <w:tc>
          <w:tcPr>
            <w:tcW w:w="708" w:type="dxa"/>
            <w:shd w:val="clear" w:color="auto" w:fill="C4EFCE"/>
            <w:noWrap/>
            <w:vAlign w:val="center"/>
          </w:tcPr>
          <w:p w14:paraId="621FC598" w14:textId="77777777" w:rsidR="00F24946" w:rsidRDefault="00613B06">
            <w:pPr>
              <w:pStyle w:val="P68B1DB1-Normal12"/>
              <w:spacing w:after="0" w:line="240" w:lineRule="auto"/>
              <w:jc w:val="center"/>
              <w:rPr>
                <w:rFonts w:cstheme="minorHAnsi"/>
                <w:noProof/>
              </w:rPr>
            </w:pPr>
            <w:r>
              <w:rPr>
                <w:noProof/>
              </w:rPr>
              <w:t>2024</w:t>
            </w:r>
          </w:p>
        </w:tc>
        <w:tc>
          <w:tcPr>
            <w:tcW w:w="4395" w:type="dxa"/>
            <w:shd w:val="clear" w:color="auto" w:fill="C4EFCE"/>
          </w:tcPr>
          <w:p w14:paraId="77EC3E58" w14:textId="26CD502B" w:rsidR="00F24946" w:rsidRDefault="00613B06">
            <w:pPr>
              <w:pStyle w:val="P68B1DB1-Bodytext1013"/>
              <w:spacing w:after="0" w:line="240" w:lineRule="auto"/>
              <w:jc w:val="both"/>
              <w:rPr>
                <w:rFonts w:cstheme="minorBidi"/>
                <w:noProof/>
              </w:rPr>
            </w:pPr>
            <w:r>
              <w:rPr>
                <w:noProof/>
              </w:rPr>
              <w:t xml:space="preserve">Podpišejo se pogodbe za gradnjo ali prenovo osnovnih in srednjih javnih šol. Izbira, katere šole bodo prenovile in kje so potrebne nove šole, temelji na oceni potreb.  </w:t>
            </w:r>
          </w:p>
        </w:tc>
      </w:tr>
      <w:tr w:rsidR="00F24946" w14:paraId="37FA4D82" w14:textId="77777777">
        <w:trPr>
          <w:trHeight w:val="640"/>
        </w:trPr>
        <w:tc>
          <w:tcPr>
            <w:tcW w:w="1135" w:type="dxa"/>
            <w:shd w:val="clear" w:color="auto" w:fill="C5EFCE"/>
            <w:vAlign w:val="center"/>
          </w:tcPr>
          <w:p w14:paraId="2889C3DF" w14:textId="77777777" w:rsidR="00F24946" w:rsidRDefault="00613B06">
            <w:pPr>
              <w:pStyle w:val="P68B1DB1-Normal11"/>
              <w:spacing w:after="0" w:line="240" w:lineRule="auto"/>
              <w:jc w:val="center"/>
              <w:rPr>
                <w:noProof/>
              </w:rPr>
            </w:pPr>
            <w:r>
              <w:rPr>
                <w:noProof/>
              </w:rPr>
              <w:t>6.29</w:t>
            </w:r>
          </w:p>
        </w:tc>
        <w:tc>
          <w:tcPr>
            <w:tcW w:w="1276" w:type="dxa"/>
            <w:shd w:val="clear" w:color="auto" w:fill="C4EFCE"/>
            <w:noWrap/>
            <w:vAlign w:val="center"/>
          </w:tcPr>
          <w:p w14:paraId="482C0EE3" w14:textId="77777777" w:rsidR="00F24946" w:rsidRDefault="00613B06">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5D44023D" w14:textId="77777777" w:rsidR="00F24946" w:rsidRDefault="00613B06">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1516CDF5" w14:textId="77777777" w:rsidR="00F24946" w:rsidRDefault="00613B06">
            <w:pPr>
              <w:pStyle w:val="P68B1DB1-Normal12"/>
              <w:spacing w:after="0" w:line="240" w:lineRule="auto"/>
              <w:jc w:val="center"/>
              <w:rPr>
                <w:rFonts w:cstheme="minorHAnsi"/>
                <w:noProof/>
              </w:rPr>
            </w:pPr>
            <w:r>
              <w:rPr>
                <w:noProof/>
              </w:rPr>
              <w:t>Zgrajene ali prenovljene šole</w:t>
            </w:r>
          </w:p>
        </w:tc>
        <w:tc>
          <w:tcPr>
            <w:tcW w:w="1275" w:type="dxa"/>
            <w:shd w:val="clear" w:color="auto" w:fill="C4EFCE"/>
            <w:noWrap/>
            <w:vAlign w:val="center"/>
          </w:tcPr>
          <w:p w14:paraId="26E7E3C8" w14:textId="77777777" w:rsidR="00F24946" w:rsidRDefault="00F24946">
            <w:pPr>
              <w:spacing w:after="0" w:line="240" w:lineRule="auto"/>
              <w:jc w:val="center"/>
              <w:rPr>
                <w:rFonts w:cstheme="minorHAnsi"/>
                <w:noProof/>
                <w:sz w:val="16"/>
              </w:rPr>
            </w:pPr>
          </w:p>
        </w:tc>
        <w:tc>
          <w:tcPr>
            <w:tcW w:w="993" w:type="dxa"/>
            <w:shd w:val="clear" w:color="auto" w:fill="C4EFCE"/>
            <w:noWrap/>
            <w:vAlign w:val="center"/>
          </w:tcPr>
          <w:p w14:paraId="291A36D7" w14:textId="0D94A62A" w:rsidR="00F24946" w:rsidRDefault="00613B06">
            <w:pPr>
              <w:pStyle w:val="P68B1DB1-Normal12"/>
              <w:spacing w:after="0" w:line="240" w:lineRule="auto"/>
              <w:jc w:val="center"/>
              <w:rPr>
                <w:rFonts w:cstheme="minorHAnsi"/>
                <w:noProof/>
              </w:rPr>
            </w:pPr>
            <w:r>
              <w:rPr>
                <w:noProof/>
              </w:rPr>
              <w:t>Število zgrajenih ali prenovljenih šol</w:t>
            </w:r>
          </w:p>
        </w:tc>
        <w:tc>
          <w:tcPr>
            <w:tcW w:w="992" w:type="dxa"/>
            <w:shd w:val="clear" w:color="auto" w:fill="C4EFCE"/>
            <w:noWrap/>
            <w:vAlign w:val="center"/>
          </w:tcPr>
          <w:p w14:paraId="6DB69F02" w14:textId="77777777" w:rsidR="00F24946" w:rsidRDefault="00613B06">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11FF05D1" w14:textId="77777777" w:rsidR="00F24946" w:rsidRDefault="00613B06">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F8EE097" w14:textId="77777777" w:rsidR="00F24946" w:rsidRDefault="00613B06">
            <w:pPr>
              <w:pStyle w:val="P68B1DB1-Normal12"/>
              <w:spacing w:after="0" w:line="240" w:lineRule="auto"/>
              <w:jc w:val="center"/>
              <w:rPr>
                <w:rFonts w:cstheme="minorHAnsi"/>
                <w:noProof/>
              </w:rPr>
            </w:pPr>
            <w:r>
              <w:rPr>
                <w:noProof/>
              </w:rPr>
              <w:t>Q2</w:t>
            </w:r>
          </w:p>
        </w:tc>
        <w:tc>
          <w:tcPr>
            <w:tcW w:w="708" w:type="dxa"/>
            <w:shd w:val="clear" w:color="auto" w:fill="C4EFCE"/>
            <w:noWrap/>
            <w:vAlign w:val="center"/>
          </w:tcPr>
          <w:p w14:paraId="274AED81" w14:textId="77777777" w:rsidR="00F24946" w:rsidRDefault="00613B06">
            <w:pPr>
              <w:pStyle w:val="P68B1DB1-Normal12"/>
              <w:spacing w:after="0" w:line="240" w:lineRule="auto"/>
              <w:jc w:val="center"/>
              <w:rPr>
                <w:rFonts w:cstheme="minorHAnsi"/>
                <w:noProof/>
              </w:rPr>
            </w:pPr>
            <w:r>
              <w:rPr>
                <w:noProof/>
              </w:rPr>
              <w:t>2026</w:t>
            </w:r>
          </w:p>
        </w:tc>
        <w:tc>
          <w:tcPr>
            <w:tcW w:w="4395" w:type="dxa"/>
            <w:shd w:val="clear" w:color="auto" w:fill="C4EFCE"/>
          </w:tcPr>
          <w:p w14:paraId="00863007" w14:textId="60A9DB36" w:rsidR="00F24946" w:rsidRDefault="00613B06">
            <w:pPr>
              <w:pStyle w:val="P68B1DB1-Bodytext1013"/>
              <w:spacing w:after="0" w:line="240" w:lineRule="auto"/>
              <w:jc w:val="both"/>
              <w:rPr>
                <w:rFonts w:cstheme="minorBidi"/>
                <w:noProof/>
              </w:rPr>
            </w:pPr>
            <w:r>
              <w:rPr>
                <w:noProof/>
              </w:rPr>
              <w:t xml:space="preserve">Zgrajenih ali obnovljenih je 75 javnih šol, ki so pripravljene za uporabo. To vključuje nakup opreme, kot so digitalni mediji, ki so potrebni za delovanje novih/prenovljenih šol. </w:t>
            </w:r>
          </w:p>
          <w:p w14:paraId="36ED3EEE" w14:textId="41AE783C" w:rsidR="00F24946" w:rsidRDefault="00613B06">
            <w:pPr>
              <w:pStyle w:val="P68B1DB1-Bodytext1013"/>
              <w:spacing w:after="0" w:line="240" w:lineRule="auto"/>
              <w:jc w:val="both"/>
              <w:rPr>
                <w:rFonts w:cstheme="minorHAnsi"/>
                <w:noProof/>
              </w:rPr>
            </w:pPr>
            <w:r>
              <w:rPr>
                <w:noProof/>
              </w:rPr>
              <w:t xml:space="preserve">Potrebe po primarni energiji za nove stavbe so za vsaj 20 % nižje od potreb stavb s skoraj nično porabo energije. </w:t>
            </w:r>
          </w:p>
          <w:p w14:paraId="469407C1" w14:textId="77777777" w:rsidR="00F24946" w:rsidRDefault="00613B06">
            <w:pPr>
              <w:pStyle w:val="P68B1DB1-Bodytext1013"/>
              <w:spacing w:after="0" w:line="240" w:lineRule="auto"/>
              <w:jc w:val="both"/>
              <w:rPr>
                <w:rFonts w:cstheme="minorHAnsi"/>
                <w:noProof/>
              </w:rPr>
            </w:pPr>
            <w:r>
              <w:rPr>
                <w:noProof/>
              </w:rPr>
              <w:t>Prenove v povprečju dosežejo vsaj srednje poglobljene prenove, opredeljene v Priporočilu Komisije o prenovi stavb (EU) 2019/786.</w:t>
            </w:r>
          </w:p>
        </w:tc>
      </w:tr>
    </w:tbl>
    <w:p w14:paraId="710B72CF" w14:textId="77777777" w:rsidR="00F24946" w:rsidRDefault="00F24946">
      <w:pPr>
        <w:spacing w:before="40" w:after="0" w:line="259" w:lineRule="auto"/>
        <w:jc w:val="both"/>
        <w:outlineLvl w:val="2"/>
        <w:rPr>
          <w:rFonts w:ascii="Times New Roman" w:eastAsiaTheme="minorEastAsia" w:hAnsi="Times New Roman" w:cs="Times New Roman"/>
          <w:b/>
          <w:noProof/>
          <w:sz w:val="24"/>
          <w:u w:val="single"/>
        </w:rPr>
      </w:pPr>
    </w:p>
    <w:p w14:paraId="4D8543A1" w14:textId="77777777" w:rsidR="00F24946" w:rsidRDefault="00F24946">
      <w:pPr>
        <w:keepNext/>
        <w:spacing w:before="40" w:after="0" w:line="259" w:lineRule="auto"/>
        <w:jc w:val="both"/>
        <w:outlineLvl w:val="1"/>
        <w:rPr>
          <w:rFonts w:ascii="Times New Roman" w:eastAsiaTheme="minorEastAsia" w:hAnsi="Times New Roman" w:cs="Times New Roman"/>
          <w:b/>
          <w:noProof/>
          <w:sz w:val="24"/>
          <w:u w:val="single"/>
        </w:rPr>
        <w:sectPr w:rsidR="00F24946" w:rsidSect="00EE3DC7">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1134" w:right="1134" w:bottom="1134" w:left="1134" w:header="567" w:footer="567" w:gutter="0"/>
          <w:cols w:space="720"/>
          <w:docGrid w:linePitch="360"/>
        </w:sectPr>
      </w:pPr>
    </w:p>
    <w:p w14:paraId="20600E2D" w14:textId="15EE7507" w:rsidR="00F24946" w:rsidRDefault="00613B06">
      <w:pPr>
        <w:pStyle w:val="P68B1DB1-Normal3"/>
        <w:keepNext/>
        <w:spacing w:before="40" w:after="0" w:line="259" w:lineRule="auto"/>
        <w:ind w:left="130" w:firstLine="720"/>
        <w:jc w:val="both"/>
        <w:outlineLvl w:val="1"/>
        <w:rPr>
          <w:rFonts w:eastAsiaTheme="minorEastAsia" w:cs="Times New Roman"/>
          <w:smallCaps/>
          <w:noProof/>
        </w:rPr>
      </w:pPr>
      <w:r>
        <w:rPr>
          <w:noProof/>
        </w:rPr>
        <w:t xml:space="preserve">G. KOMPONENTA 7: Infrastruktura </w:t>
      </w:r>
    </w:p>
    <w:p w14:paraId="200CA25A" w14:textId="77777777" w:rsidR="00F24946" w:rsidRDefault="00613B06">
      <w:pPr>
        <w:pStyle w:val="P68B1DB1-Normal4"/>
        <w:keepNext/>
        <w:spacing w:before="40" w:after="0" w:line="259" w:lineRule="auto"/>
        <w:jc w:val="both"/>
        <w:rPr>
          <w:rFonts w:eastAsiaTheme="minorEastAsia" w:cs="Times New Roman"/>
          <w:noProof/>
        </w:rPr>
      </w:pPr>
      <w:r>
        <w:rPr>
          <w:noProof/>
        </w:rPr>
        <w:t>Ta</w:t>
      </w:r>
      <w:r>
        <w:rPr>
          <w:i/>
          <w:noProof/>
        </w:rPr>
        <w:t xml:space="preserve"> </w:t>
      </w:r>
      <w:r>
        <w:rPr>
          <w:noProof/>
        </w:rPr>
        <w:t>komponenta portugalskega načrta za okrevanje in odpornost</w:t>
      </w:r>
      <w:r>
        <w:rPr>
          <w:i/>
          <w:noProof/>
        </w:rPr>
        <w:t xml:space="preserve"> </w:t>
      </w:r>
      <w:r>
        <w:rPr>
          <w:noProof/>
        </w:rPr>
        <w:t xml:space="preserve">obravnava izziv nizke teritorialne kohezije in nizke konkurenčnosti podjetij v celinskih regijah, ki ju povzročajo neustrezne povezave s cestnim omrežjem. To podjetjem povzroča stroške, povezane s kontekstom, kot so stroški prevoza zaradi nizke cestne povezljivosti ali težave pri privabljanju usposobljenega osebja. Še en izziv je potreba po zmanjšanju emisij v prometnem sektorju in poslovnih parkih. </w:t>
      </w:r>
    </w:p>
    <w:p w14:paraId="1FBD0D8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komponente je povečati teritorialno kohezijo in izboljšati konkurenčnost, da se spodbudi gospodarski razvoj celinskih regij. Njegov cilj je z uvedbo polnilnih postaj spodbujati razogljičenje cestnega prometa. </w:t>
      </w:r>
    </w:p>
    <w:p w14:paraId="32BD65D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V ta namen je cilj komponente zagotoviti bolj trajnostne in digitalne poslovne parke ter jim zagotoviti boljši dostop do cestnega omrežja. Njegov namen je tudi izboljšati povezljivost cestnega prometa z razširitvijo cestnega omrežja, npr. z obravnavanjem manjkajočih povezav, tudi na Azorih, in zagotavljanjem štirih čezmejnih povezav. Pričakuje se, da bo pospešitev širitve omrežja javno dostopnih polnilnih postaj za električna vozila pripomogla k zmanjšanju ogljičnega odtisa sektorja cestnega prometa na Portugalskem in k njegovi večji trajnosti. Ta naložba je spremljevalni ukrep za razširitev cestne infrastrukture v skladu s tehničnimi smernicami Komisije za nebistveno škodovanje (2021/C58/01). </w:t>
      </w:r>
    </w:p>
    <w:p w14:paraId="26F8A281" w14:textId="77777777" w:rsidR="00F24946" w:rsidRDefault="00613B06">
      <w:pPr>
        <w:pStyle w:val="P68B1DB1-Normal4"/>
        <w:keepNext/>
        <w:spacing w:before="40" w:after="0" w:line="259" w:lineRule="auto"/>
        <w:jc w:val="both"/>
        <w:rPr>
          <w:rFonts w:eastAsiaTheme="minorEastAsia" w:cs="Times New Roman"/>
          <w:noProof/>
        </w:rPr>
      </w:pPr>
      <w:r>
        <w:rPr>
          <w:noProof/>
        </w:rPr>
        <w:t>Komponenta podpira obravnavanje priporočila za posamezne države o osredotočanju naložb na zeleni prehod, pri čemer se upoštevajo regionalne razlike (priporočilo za posamezno državo št. 3 2019 in priporočilo za posamezno državo št. 3 2020) ter podpora uporabi digitalnih tehnologij za spodbujanje konkurenčnosti podjetij (priporočilo za posamezno državo št. 2 2020).</w:t>
      </w:r>
    </w:p>
    <w:p w14:paraId="2B7EE79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3E872C3A"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62B87287" w14:textId="77777777" w:rsidR="00F24946" w:rsidRDefault="00613B06">
      <w:pPr>
        <w:keepNext/>
        <w:spacing w:before="40" w:after="0" w:line="259" w:lineRule="auto"/>
        <w:ind w:left="130" w:firstLine="720"/>
        <w:jc w:val="both"/>
        <w:outlineLvl w:val="2"/>
        <w:rPr>
          <w:rFonts w:ascii="Times New Roman" w:eastAsiaTheme="minorEastAsia" w:hAnsi="Times New Roman" w:cs="Times New Roman"/>
          <w:b/>
          <w:i/>
          <w:noProof/>
          <w:sz w:val="24"/>
          <w:u w:val="single"/>
        </w:rPr>
      </w:pPr>
      <w:r>
        <w:rPr>
          <w:rFonts w:ascii="Times New Roman" w:hAnsi="Times New Roman"/>
          <w:b/>
          <w:noProof/>
          <w:sz w:val="24"/>
          <w:u w:val="single"/>
        </w:rPr>
        <w:t xml:space="preserve">G.1. </w:t>
      </w:r>
      <w:r>
        <w:rPr>
          <w:noProof/>
        </w:rPr>
        <w:tab/>
      </w:r>
      <w:r>
        <w:rPr>
          <w:rFonts w:ascii="Times New Roman" w:hAnsi="Times New Roman"/>
          <w:b/>
          <w:noProof/>
          <w:sz w:val="24"/>
          <w:u w:val="single"/>
        </w:rPr>
        <w:t>Opis reform in naložb za nepovratno finančno podporo</w:t>
      </w:r>
    </w:p>
    <w:p w14:paraId="590E8D7E"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RE-C07-i00: Razširitev omrežja za polnjenje električnih vozil</w:t>
      </w:r>
    </w:p>
    <w:p w14:paraId="1E56FC8F"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ukrepa je pospešiti razogljičenje cestnega prometa s spodbujanjem električne mobilnosti. </w:t>
      </w:r>
    </w:p>
    <w:p w14:paraId="0A23AF01" w14:textId="62EBFE78" w:rsidR="00F24946" w:rsidRDefault="00613B06">
      <w:pPr>
        <w:pStyle w:val="P68B1DB1-Normal4"/>
        <w:keepNext/>
        <w:spacing w:before="40" w:after="0" w:line="259" w:lineRule="auto"/>
        <w:jc w:val="both"/>
        <w:rPr>
          <w:rFonts w:eastAsiaTheme="minorEastAsia" w:cs="Times New Roman"/>
          <w:noProof/>
        </w:rPr>
      </w:pPr>
      <w:r>
        <w:rPr>
          <w:noProof/>
        </w:rPr>
        <w:t>Naložba vključuje zagotovitev, da na Portugalskem deluje 15000 javno dostopnih polnilnih mest. Gre za spremljevalni ukrep za naložbe v cestno infrastrukturo v C07-I02, I03, I04 in I05, da se zagotovi skladnost z načelom, da se ne škoduje bistveno, kar zadeva cilja blažitve podnebnih sprememb ter preprečevanja in nadzorovanja onesnaževanja. Zasebni subjekti so postali glavni akterji pri širitvi mreže. Portugalska država svojo naložbo osredotoči na platformo za upravljanje omrežja Mobi.E in na pokrivanje nedelovanja trga s podpiranjem naložb v regijah, kjer zasebni sektor ne zagotavlja potrebne pokritosti.</w:t>
      </w:r>
    </w:p>
    <w:p w14:paraId="15FD5D8E"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31. decembra 2025. </w:t>
      </w:r>
    </w:p>
    <w:p w14:paraId="33FAE029"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RE-C07-i01: Področja za sprejem podjetij</w:t>
      </w:r>
    </w:p>
    <w:p w14:paraId="3A765AFD"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posodobiti območja za sprejem podjetij, ki so zemljišče, razvito kot lokacija za pisarne, tovarne in druga podjetja. Posodobitev poslovnih parkov je opredeljena tudi kot potreba po naložbah v portugalskem nacionalnem infrastrukturnem načrtu za leto 2030 (PNI 2030).</w:t>
      </w:r>
    </w:p>
    <w:p w14:paraId="698D6A6F"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intervencije v izbranih poslovnih parkih, ki vključujejo spodbujanje sistemov za proizvodnjo in shranjevanje energije iz obnovljivih virov, pilotne intervencije za izboljšanje energetske stabilnosti, namestitev polnilnih postaj za električno energijo in vodik, večjo pokritost z omrežjem 5G in aktivne ukrepe za preprečevanje požarov. Ti ukrepi za okoljsko trajnostnost in digitalizacijo se izvajajo na 10 področjih za sprejem podjetij, izbranih na podlagi javnega razpisa. </w:t>
      </w:r>
    </w:p>
    <w:p w14:paraId="71390BF3" w14:textId="77777777" w:rsidR="00F24946" w:rsidRDefault="00613B06">
      <w:pPr>
        <w:pStyle w:val="P68B1DB1-Normal4"/>
        <w:keepNext/>
        <w:spacing w:before="40" w:after="0" w:line="259" w:lineRule="auto"/>
        <w:jc w:val="both"/>
        <w:rPr>
          <w:rFonts w:eastAsiaTheme="minorEastAsia" w:cs="Times New Roman"/>
          <w:noProof/>
        </w:rPr>
      </w:pPr>
      <w:r>
        <w:rPr>
          <w:noProof/>
        </w:rPr>
        <w:t>Naložba naj bi bila izvedena do 31. decembra 2025.</w:t>
      </w:r>
    </w:p>
    <w:p w14:paraId="348C4B22"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RE-C07-i02: Manjkajoče povezave in povečanje zmogljivosti mreže</w:t>
      </w:r>
    </w:p>
    <w:p w14:paraId="052B39E3"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izboljšati teritorialno kohezijo in konkurenčnost z obravnavanjem manjkajočih povezav v cestnem omrežju. Te manjkajoče povezave zmanjšujejo zmogljivost cestnega omrežja in vodijo v izgubo konkurenčnosti podjetij. Cilj naložbe je tudi obravnavati zastoje, izboljšati varnost v cestnem prometu in kakovost zraka ter zmanjšati hrup na lokacijah blizu cest.</w:t>
      </w:r>
    </w:p>
    <w:p w14:paraId="66586778"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gradnjo in nadgradnjo cest. Ukrepi vključujejo odpravo mestnih prehodov in zagotavljanje ustreznosti zmogljivosti tirov, povečanje dostopnosti glavnih prometnih koridorjev in multimodalnih vmesnikov. Intervencije vključujejo posodobitev cest, ki so del omrežja TEN-T, kot je vzhodna obvoznica IP2 Évora, ali naložbe v IP8. </w:t>
      </w:r>
    </w:p>
    <w:p w14:paraId="688654A9"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Skladnost z načelom, da se ne škoduje bistveno, se zlasti zagotavlja z naložbo C07-I0 (razširitev omrežja za polnjenje električnih vozil) kot spremljevalni ukrep. Za vsak cestni projekt, ki bi lahko imel znatne negativne vplive na okolje, je treba opraviti presojo vplivov na okolje v skladu z Direktivo 2011/92/EU, da se zagotovi, da je skladnost z načelom, da se ne škoduje bistveno, vključena v projekt in dosledno upoštevana v fazah gradnje, delovanja in razgradnje infrastrukture.</w:t>
      </w:r>
    </w:p>
    <w:p w14:paraId="046AD115" w14:textId="79CA9C50" w:rsidR="00F24946" w:rsidRDefault="00613B06">
      <w:pPr>
        <w:pStyle w:val="P68B1DB1-Normal4"/>
        <w:keepNext/>
        <w:spacing w:before="40" w:after="0" w:line="259" w:lineRule="auto"/>
        <w:jc w:val="both"/>
        <w:rPr>
          <w:rFonts w:eastAsiaTheme="minorEastAsia" w:cs="Times New Roman"/>
          <w:noProof/>
        </w:rPr>
      </w:pPr>
      <w:r>
        <w:rPr>
          <w:noProof/>
        </w:rPr>
        <w:t xml:space="preserve">Od navedenih cest se 111 kilometrov zgradi ali nadgradi: </w:t>
      </w:r>
    </w:p>
    <w:p w14:paraId="10E3C582"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cestni/železniški vmesnik v Trofi/Santani, vključno z novim mostom čez reko Ave; </w:t>
      </w:r>
    </w:p>
    <w:p w14:paraId="0D1CCC85"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Maia (Via Diagonal)/cestni/železniški vmesnik v Trofi; </w:t>
      </w:r>
    </w:p>
    <w:p w14:paraId="24DEB7F3"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EN4: Obvoznica Atalaia; </w:t>
      </w:r>
    </w:p>
    <w:p w14:paraId="0F43B082"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Penafiel (EN15)/Rans; </w:t>
      </w:r>
    </w:p>
    <w:p w14:paraId="32D72CCA"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Reje/Entre-os Rios; </w:t>
      </w:r>
    </w:p>
    <w:p w14:paraId="03DE18C1"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IP2: Vzhodno obvoznico Évora; </w:t>
      </w:r>
    </w:p>
    <w:p w14:paraId="7A684FA5"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Povezava med Baiãom in mostom Ermida; </w:t>
      </w:r>
    </w:p>
    <w:p w14:paraId="0EC45B3D"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Cestna os Aveiro – Águeda; </w:t>
      </w:r>
    </w:p>
    <w:p w14:paraId="1DECF506"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EN344: km 67 do km 75 – Pampilhosa da Serra; </w:t>
      </w:r>
    </w:p>
    <w:p w14:paraId="2680B40F"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EN125: Vzhodna obvoznica Olhão; </w:t>
      </w:r>
    </w:p>
    <w:p w14:paraId="328864DD"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IC2 (EN1): Meirinhas (km 136)/Pombal (km 148); </w:t>
      </w:r>
    </w:p>
    <w:p w14:paraId="35923BB7"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(EN121): Ferreira do Alentejo/Beja, vključno z obvoznico Beringel; </w:t>
      </w:r>
    </w:p>
    <w:p w14:paraId="4609B59F"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(EN259): STA. Margarida do Sado/Ferreira do Alentejo, vključno z obvoznico Figueira de Cavaleiros; </w:t>
      </w:r>
    </w:p>
    <w:p w14:paraId="7D895BF1"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(A26): Povečanje zmogljivosti povezave med Sinesom in A2; </w:t>
      </w:r>
    </w:p>
    <w:p w14:paraId="19991BD2" w14:textId="77777777" w:rsidR="00F24946" w:rsidRDefault="00613B06">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En211 – Obvoznica Quintã/Mesquinhata. </w:t>
      </w:r>
    </w:p>
    <w:p w14:paraId="21CD1717"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4CD69178"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RE-C07-i05-RAA: Logistična vezja – regionalna mreža Azorov</w:t>
      </w:r>
    </w:p>
    <w:p w14:paraId="5E978CC5"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ustvariti pogoje za bolj uravnotežen gospodarski razvoj s spodbujanjem gospodarskih subjektov zunaj večjih mestnih središč. Ukrepi so namenjeni tudi skrajšanju potovalnih razdalj, časa potovanja in prometnih zastojev.</w:t>
      </w:r>
    </w:p>
    <w:p w14:paraId="77005C25"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razširitev in nadgradnjo cestne infrastrukture na Azorih. Njen cilj je izboljšati dostopnost do središč prebivalstva in vozlišč gospodarske dejavnosti ter glavne vstopne infrastrukture na vsakem otoku. Njegov cilj je tudi posredovati pri gradnji krožnih cest do glavnih mestnih središč z zmanjšanjem števila mestnih prehodov. </w:t>
      </w:r>
    </w:p>
    <w:p w14:paraId="63DBFDF0"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Skladnost z načelom, da se ne škoduje bistveno, se zlasti zagotavlja z naložbo C07-I0 (razširitev omrežja za polnjenje električnih vozil) kot spremljevalni ukrep. Za vsak cestni projekt, ki bi lahko imel znatne negativne vplive na okolje, je treba opraviti presojo vplivov na okolje v skladu z Direktivo 2011/92/EU, da se zagotovi, da je skladnost z načelom, da se ne škoduje bistveno, vključena v projekt in dosledno upoštevana v fazah gradnje, delovanja in razgradnje infrastrukture. Skupno se zgradi ali nadgradi 34 kilometrov cest. Načrtovani so naslednji cestni posegi:</w:t>
      </w:r>
    </w:p>
    <w:p w14:paraId="09A9BBD4"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Santa Maria</w:t>
      </w:r>
    </w:p>
    <w:p w14:paraId="4F976D1C"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Obvoznica Vila do Porto</w:t>
      </w:r>
    </w:p>
    <w:p w14:paraId="7F41B4BE"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Miguel</w:t>
      </w:r>
    </w:p>
    <w:p w14:paraId="16BFDA9B"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Izboljšanje dostopnosti Furnas/Povoação – 1</w:t>
      </w:r>
      <w:r>
        <w:rPr>
          <w:noProof/>
          <w:vertAlign w:val="superscript"/>
        </w:rPr>
        <w:t>st</w:t>
      </w:r>
      <w:r>
        <w:rPr>
          <w:noProof/>
        </w:rPr>
        <w:t xml:space="preserve"> faza: Obvoznica Furnasa</w:t>
      </w:r>
    </w:p>
    <w:p w14:paraId="59323044"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Obvoznica Capelasa</w:t>
      </w:r>
    </w:p>
    <w:p w14:paraId="7572973D"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Obvoznica São Roque</w:t>
      </w:r>
    </w:p>
    <w:p w14:paraId="4820E6A3"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Portal do Vento obvoznice</w:t>
      </w:r>
    </w:p>
    <w:p w14:paraId="313CCF36"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Terceira</w:t>
      </w:r>
    </w:p>
    <w:p w14:paraId="04E615D9"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Spodbujanje dostopnosti, mobilnosti in pogojev za varnost v cestnem prometu – povezava med okrožnico Via Vitorino Nemésio in Angra</w:t>
      </w:r>
    </w:p>
    <w:p w14:paraId="09E0E766"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Graciosa</w:t>
      </w:r>
    </w:p>
    <w:p w14:paraId="1419E510"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Povezava med E.R. 3–2И in E.R. 4–2;</w:t>
      </w:r>
    </w:p>
    <w:p w14:paraId="40754259"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Jorge</w:t>
      </w:r>
    </w:p>
    <w:p w14:paraId="6D7F1843"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Spodbujanje dostopnosti, mobilnosti in pogojev za varnost v cestnem prometu – povezava sever-jug</w:t>
      </w:r>
    </w:p>
    <w:p w14:paraId="3FD2AA91"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Ilha do Pico </w:t>
      </w:r>
    </w:p>
    <w:p w14:paraId="0FE649A1"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Izgradnja krožne ceste do Vile da Madalena</w:t>
      </w:r>
    </w:p>
    <w:p w14:paraId="10A36DDF"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Ilha do Faial</w:t>
      </w:r>
    </w:p>
    <w:p w14:paraId="68BAC951" w14:textId="77777777" w:rsidR="00F24946" w:rsidRDefault="00613B06">
      <w:pPr>
        <w:pStyle w:val="P68B1DB1-Normal4"/>
        <w:keepNext/>
        <w:numPr>
          <w:ilvl w:val="1"/>
          <w:numId w:val="25"/>
        </w:numPr>
        <w:spacing w:before="40" w:after="160" w:line="259" w:lineRule="auto"/>
        <w:contextualSpacing/>
        <w:jc w:val="both"/>
        <w:rPr>
          <w:rFonts w:eastAsiaTheme="minorEastAsia" w:cs="Times New Roman"/>
          <w:noProof/>
        </w:rPr>
      </w:pPr>
      <w:r>
        <w:rPr>
          <w:noProof/>
        </w:rPr>
        <w:t>Gradnja druge</w:t>
      </w:r>
      <w:r>
        <w:rPr>
          <w:noProof/>
          <w:vertAlign w:val="superscript"/>
        </w:rPr>
        <w:t>faze</w:t>
      </w:r>
      <w:r>
        <w:rPr>
          <w:noProof/>
        </w:rPr>
        <w:t xml:space="preserve"> obvoznice Cidade da Horta</w:t>
      </w:r>
    </w:p>
    <w:p w14:paraId="5A803078" w14:textId="21946209" w:rsidR="00F24946" w:rsidRDefault="00613B06">
      <w:pPr>
        <w:pStyle w:val="P68B1DB1-Normal4"/>
        <w:keepNext/>
        <w:spacing w:before="40" w:after="0" w:line="259" w:lineRule="auto"/>
        <w:jc w:val="both"/>
        <w:rPr>
          <w:rFonts w:eastAsiaTheme="minorEastAsia" w:cs="Times New Roman"/>
          <w:noProof/>
        </w:rPr>
        <w:sectPr w:rsidR="00F24946" w:rsidSect="00E00EDD">
          <w:headerReference w:type="even" r:id="rId144"/>
          <w:headerReference w:type="default" r:id="rId145"/>
          <w:footerReference w:type="even" r:id="rId146"/>
          <w:footerReference w:type="default" r:id="rId147"/>
          <w:headerReference w:type="first" r:id="rId148"/>
          <w:footerReference w:type="first" r:id="rId149"/>
          <w:pgSz w:w="11907" w:h="16839"/>
          <w:pgMar w:top="1134" w:right="1134" w:bottom="1134" w:left="1134" w:header="567" w:footer="567" w:gutter="0"/>
          <w:cols w:space="720"/>
          <w:docGrid w:linePitch="360"/>
        </w:sectPr>
      </w:pPr>
      <w:r>
        <w:rPr>
          <w:noProof/>
        </w:rPr>
        <w:t>Naložba se izvede do 30. junija 2026.</w:t>
      </w:r>
    </w:p>
    <w:p w14:paraId="02D059F8"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E182190" w14:textId="77777777" w:rsidR="00F24946" w:rsidRDefault="00613B06">
      <w:pPr>
        <w:pStyle w:val="P68B1DB1-Normal3"/>
        <w:keepNext/>
        <w:spacing w:before="40" w:after="120" w:line="259" w:lineRule="auto"/>
        <w:ind w:left="130" w:firstLine="720"/>
        <w:jc w:val="both"/>
        <w:outlineLvl w:val="2"/>
        <w:rPr>
          <w:rFonts w:eastAsiaTheme="minorEastAsia" w:cs="Times New Roman"/>
          <w:noProof/>
        </w:rPr>
      </w:pPr>
      <w:r>
        <w:rPr>
          <w:noProof/>
        </w:rPr>
        <w:t xml:space="preserve">G.2. </w:t>
      </w:r>
      <w:r>
        <w:rPr>
          <w:noProof/>
        </w:rPr>
        <w:tab/>
        <w:t>Mejniki, cilji, kazalniki in časovni razpored za spremljanje in izvajanje nepovratne finančne podpore Naslednje;</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76204668" w14:textId="77777777">
        <w:trPr>
          <w:trHeight w:val="910"/>
          <w:tblHeader/>
        </w:trPr>
        <w:tc>
          <w:tcPr>
            <w:tcW w:w="1135" w:type="dxa"/>
            <w:vMerge w:val="restart"/>
            <w:shd w:val="clear" w:color="auto" w:fill="BDD6EE"/>
            <w:vAlign w:val="center"/>
            <w:hideMark/>
          </w:tcPr>
          <w:p w14:paraId="10A83D55"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2145A2B9"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07805992" w14:textId="7DA60548"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61F8D8A7"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229C7BBA"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vAlign w:val="center"/>
            <w:hideMark/>
          </w:tcPr>
          <w:p w14:paraId="6843481D"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78326D8D"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41A1C571"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76EB62E6" w14:textId="77777777">
        <w:trPr>
          <w:trHeight w:val="470"/>
          <w:tblHeader/>
        </w:trPr>
        <w:tc>
          <w:tcPr>
            <w:tcW w:w="1135" w:type="dxa"/>
            <w:vMerge/>
            <w:vAlign w:val="center"/>
            <w:hideMark/>
          </w:tcPr>
          <w:p w14:paraId="4F39F320"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7D30E977"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58796813" w14:textId="7999AEB8" w:rsidR="00F24946" w:rsidRDefault="00F2494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449A85D5"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770D098D"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A3469DF"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57CE6F65"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vAlign w:val="center"/>
            <w:hideMark/>
          </w:tcPr>
          <w:p w14:paraId="2594584D"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470C36F2"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AA4CBDD"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5F2DB0FA" w14:textId="77777777" w:rsidR="00F24946" w:rsidRDefault="00F24946">
            <w:pPr>
              <w:spacing w:after="0" w:line="240" w:lineRule="auto"/>
              <w:rPr>
                <w:rFonts w:ascii="Times New Roman" w:eastAsia="Times New Roman" w:hAnsi="Times New Roman" w:cs="Times New Roman"/>
                <w:b/>
                <w:noProof/>
                <w:sz w:val="18"/>
              </w:rPr>
            </w:pPr>
          </w:p>
        </w:tc>
      </w:tr>
      <w:tr w:rsidR="00F24946" w14:paraId="7CFEA922" w14:textId="77777777">
        <w:trPr>
          <w:trHeight w:val="300"/>
        </w:trPr>
        <w:tc>
          <w:tcPr>
            <w:tcW w:w="1135" w:type="dxa"/>
            <w:shd w:val="clear" w:color="auto" w:fill="C4EFCE"/>
            <w:vAlign w:val="center"/>
            <w:hideMark/>
          </w:tcPr>
          <w:p w14:paraId="3F3E09F7" w14:textId="77777777" w:rsidR="00F24946" w:rsidRDefault="00613B06">
            <w:pPr>
              <w:pStyle w:val="P68B1DB1-Normal7"/>
              <w:spacing w:after="0" w:line="240" w:lineRule="auto"/>
              <w:jc w:val="center"/>
              <w:rPr>
                <w:rFonts w:eastAsia="Times New Roman" w:cs="Calibri"/>
                <w:noProof/>
              </w:rPr>
            </w:pPr>
            <w:r>
              <w:rPr>
                <w:noProof/>
              </w:rPr>
              <w:t>7.1</w:t>
            </w:r>
          </w:p>
        </w:tc>
        <w:tc>
          <w:tcPr>
            <w:tcW w:w="1276" w:type="dxa"/>
            <w:shd w:val="clear" w:color="auto" w:fill="C4EFCE"/>
            <w:noWrap/>
            <w:vAlign w:val="center"/>
            <w:hideMark/>
          </w:tcPr>
          <w:p w14:paraId="4A111EAC" w14:textId="77777777" w:rsidR="00F24946" w:rsidRDefault="00613B06">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0DD29370"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26EF931" w14:textId="10CF120E" w:rsidR="00F24946" w:rsidRDefault="00613B06">
            <w:pPr>
              <w:pStyle w:val="P68B1DB1-Normal8"/>
              <w:spacing w:after="0" w:line="240" w:lineRule="auto"/>
              <w:jc w:val="center"/>
              <w:rPr>
                <w:rFonts w:eastAsia="Times New Roman" w:cs="Calibri"/>
                <w:noProof/>
              </w:rPr>
            </w:pPr>
            <w:r>
              <w:rPr>
                <w:noProof/>
              </w:rPr>
              <w:t>Javno dostopna polnilna mesta za električna vozila</w:t>
            </w:r>
          </w:p>
        </w:tc>
        <w:tc>
          <w:tcPr>
            <w:tcW w:w="1275" w:type="dxa"/>
            <w:shd w:val="clear" w:color="auto" w:fill="C4EFCE"/>
            <w:noWrap/>
            <w:vAlign w:val="center"/>
            <w:hideMark/>
          </w:tcPr>
          <w:p w14:paraId="565AADE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CE86B4"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92" w:type="dxa"/>
            <w:shd w:val="clear" w:color="auto" w:fill="C4EFCE"/>
            <w:noWrap/>
            <w:vAlign w:val="center"/>
            <w:hideMark/>
          </w:tcPr>
          <w:p w14:paraId="61129708" w14:textId="77777777" w:rsidR="00F24946" w:rsidRDefault="00613B06">
            <w:pPr>
              <w:pStyle w:val="P68B1DB1-Normal8"/>
              <w:spacing w:after="0" w:line="240" w:lineRule="auto"/>
              <w:jc w:val="center"/>
              <w:rPr>
                <w:rFonts w:eastAsia="Times New Roman" w:cs="Calibri"/>
                <w:noProof/>
              </w:rPr>
            </w:pPr>
            <w:r>
              <w:rPr>
                <w:noProof/>
              </w:rPr>
              <w:t>3 520</w:t>
            </w:r>
          </w:p>
        </w:tc>
        <w:tc>
          <w:tcPr>
            <w:tcW w:w="709" w:type="dxa"/>
            <w:shd w:val="clear" w:color="auto" w:fill="C4EFCE"/>
            <w:noWrap/>
            <w:vAlign w:val="center"/>
            <w:hideMark/>
          </w:tcPr>
          <w:p w14:paraId="213900A0" w14:textId="77777777" w:rsidR="00F24946" w:rsidRDefault="00613B06">
            <w:pPr>
              <w:pStyle w:val="P68B1DB1-Normal8"/>
              <w:spacing w:after="0" w:line="240" w:lineRule="auto"/>
              <w:jc w:val="center"/>
              <w:rPr>
                <w:rFonts w:eastAsia="Times New Roman" w:cs="Calibri"/>
                <w:noProof/>
              </w:rPr>
            </w:pPr>
            <w:r>
              <w:rPr>
                <w:noProof/>
              </w:rPr>
              <w:t>5 250</w:t>
            </w:r>
          </w:p>
        </w:tc>
        <w:tc>
          <w:tcPr>
            <w:tcW w:w="567" w:type="dxa"/>
            <w:shd w:val="clear" w:color="auto" w:fill="C4EFCE"/>
            <w:noWrap/>
            <w:vAlign w:val="center"/>
            <w:hideMark/>
          </w:tcPr>
          <w:p w14:paraId="22D9B120"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46CD88B"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EBBFDA7" w14:textId="72F46DC9" w:rsidR="00F24946" w:rsidRDefault="00613B06">
            <w:pPr>
              <w:pStyle w:val="P68B1DB1-Normal8"/>
              <w:spacing w:after="0" w:line="240" w:lineRule="auto"/>
              <w:jc w:val="both"/>
              <w:rPr>
                <w:rFonts w:eastAsia="Times New Roman" w:cs="Calibri"/>
                <w:noProof/>
              </w:rPr>
            </w:pPr>
            <w:r>
              <w:rPr>
                <w:noProof/>
              </w:rPr>
              <w:t>Število javno dostopnih polnilnih mest za električna vozila (v primerjavi z izhodiščem za četrto četrtletje leta 2021)</w:t>
            </w:r>
          </w:p>
        </w:tc>
      </w:tr>
      <w:tr w:rsidR="00F24946" w14:paraId="411748AE" w14:textId="77777777">
        <w:trPr>
          <w:trHeight w:val="300"/>
        </w:trPr>
        <w:tc>
          <w:tcPr>
            <w:tcW w:w="1135" w:type="dxa"/>
            <w:shd w:val="clear" w:color="auto" w:fill="C4EFCE"/>
            <w:vAlign w:val="center"/>
            <w:hideMark/>
          </w:tcPr>
          <w:p w14:paraId="50AB89C4" w14:textId="77777777" w:rsidR="00F24946" w:rsidRDefault="00613B06">
            <w:pPr>
              <w:pStyle w:val="P68B1DB1-Normal7"/>
              <w:spacing w:after="0" w:line="240" w:lineRule="auto"/>
              <w:jc w:val="center"/>
              <w:rPr>
                <w:rFonts w:eastAsia="Times New Roman" w:cs="Calibri"/>
                <w:noProof/>
              </w:rPr>
            </w:pPr>
            <w:r>
              <w:rPr>
                <w:noProof/>
              </w:rPr>
              <w:t>7.2</w:t>
            </w:r>
          </w:p>
        </w:tc>
        <w:tc>
          <w:tcPr>
            <w:tcW w:w="1276" w:type="dxa"/>
            <w:shd w:val="clear" w:color="auto" w:fill="C4EFCE"/>
            <w:noWrap/>
            <w:vAlign w:val="center"/>
            <w:hideMark/>
          </w:tcPr>
          <w:p w14:paraId="5FD10D53" w14:textId="77777777" w:rsidR="00F24946" w:rsidRDefault="00613B06">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71F92348"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DCB8434" w14:textId="6A490E0A" w:rsidR="00F24946" w:rsidRDefault="00613B06">
            <w:pPr>
              <w:pStyle w:val="P68B1DB1-Normal8"/>
              <w:spacing w:after="0" w:line="240" w:lineRule="auto"/>
              <w:jc w:val="center"/>
              <w:rPr>
                <w:rFonts w:eastAsia="Times New Roman" w:cs="Calibri"/>
                <w:noProof/>
              </w:rPr>
            </w:pPr>
            <w:r>
              <w:rPr>
                <w:noProof/>
              </w:rPr>
              <w:t>Javno dostopna polnilna mesta za električna vozila</w:t>
            </w:r>
          </w:p>
        </w:tc>
        <w:tc>
          <w:tcPr>
            <w:tcW w:w="1275" w:type="dxa"/>
            <w:shd w:val="clear" w:color="auto" w:fill="C4EFCE"/>
            <w:noWrap/>
            <w:vAlign w:val="center"/>
            <w:hideMark/>
          </w:tcPr>
          <w:p w14:paraId="039BB342"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738A1E7"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92" w:type="dxa"/>
            <w:shd w:val="clear" w:color="auto" w:fill="C4EFCE"/>
            <w:noWrap/>
            <w:vAlign w:val="center"/>
            <w:hideMark/>
          </w:tcPr>
          <w:p w14:paraId="22A7D3DE" w14:textId="77777777" w:rsidR="00F24946" w:rsidRDefault="00613B06">
            <w:pPr>
              <w:pStyle w:val="P68B1DB1-Normal8"/>
              <w:spacing w:after="0" w:line="240" w:lineRule="auto"/>
              <w:jc w:val="center"/>
              <w:rPr>
                <w:rFonts w:eastAsia="Times New Roman" w:cs="Calibri"/>
                <w:noProof/>
              </w:rPr>
            </w:pPr>
            <w:r>
              <w:rPr>
                <w:noProof/>
              </w:rPr>
              <w:t>5 250</w:t>
            </w:r>
          </w:p>
        </w:tc>
        <w:tc>
          <w:tcPr>
            <w:tcW w:w="709" w:type="dxa"/>
            <w:shd w:val="clear" w:color="auto" w:fill="C4EFCE"/>
            <w:noWrap/>
            <w:vAlign w:val="center"/>
            <w:hideMark/>
          </w:tcPr>
          <w:p w14:paraId="1B77A0ED" w14:textId="77777777" w:rsidR="00F24946" w:rsidRDefault="00613B06">
            <w:pPr>
              <w:pStyle w:val="P68B1DB1-Normal8"/>
              <w:spacing w:after="0" w:line="240" w:lineRule="auto"/>
              <w:jc w:val="center"/>
              <w:rPr>
                <w:rFonts w:eastAsia="Times New Roman" w:cs="Calibri"/>
                <w:noProof/>
              </w:rPr>
            </w:pPr>
            <w:r>
              <w:rPr>
                <w:noProof/>
              </w:rPr>
              <w:t>10 450</w:t>
            </w:r>
          </w:p>
        </w:tc>
        <w:tc>
          <w:tcPr>
            <w:tcW w:w="567" w:type="dxa"/>
            <w:shd w:val="clear" w:color="auto" w:fill="C4EFCE"/>
            <w:noWrap/>
            <w:vAlign w:val="center"/>
            <w:hideMark/>
          </w:tcPr>
          <w:p w14:paraId="57655D3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66B50A5F"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A5BDC17" w14:textId="0FAC8B46" w:rsidR="00F24946" w:rsidRDefault="00613B06">
            <w:pPr>
              <w:pStyle w:val="P68B1DB1-Normal8"/>
              <w:spacing w:after="0" w:line="240" w:lineRule="auto"/>
              <w:jc w:val="both"/>
              <w:rPr>
                <w:rFonts w:eastAsia="Times New Roman" w:cs="Calibri"/>
                <w:noProof/>
              </w:rPr>
            </w:pPr>
            <w:r>
              <w:rPr>
                <w:noProof/>
              </w:rPr>
              <w:t>Število javno dostopnih polnilnih mest za električna vozila (v primerjavi z izhodiščem za četrto četrtletje leta 2022)</w:t>
            </w:r>
          </w:p>
        </w:tc>
      </w:tr>
      <w:tr w:rsidR="00F24946" w14:paraId="0EAF8566" w14:textId="77777777">
        <w:trPr>
          <w:trHeight w:val="300"/>
        </w:trPr>
        <w:tc>
          <w:tcPr>
            <w:tcW w:w="1135" w:type="dxa"/>
            <w:shd w:val="clear" w:color="auto" w:fill="C4EFCE"/>
            <w:vAlign w:val="center"/>
            <w:hideMark/>
          </w:tcPr>
          <w:p w14:paraId="354C0B63" w14:textId="77777777" w:rsidR="00F24946" w:rsidRDefault="00613B06">
            <w:pPr>
              <w:pStyle w:val="P68B1DB1-Normal7"/>
              <w:spacing w:after="0" w:line="240" w:lineRule="auto"/>
              <w:jc w:val="center"/>
              <w:rPr>
                <w:rFonts w:eastAsia="Times New Roman" w:cs="Calibri"/>
                <w:noProof/>
              </w:rPr>
            </w:pPr>
            <w:r>
              <w:rPr>
                <w:noProof/>
              </w:rPr>
              <w:t>7.3</w:t>
            </w:r>
          </w:p>
        </w:tc>
        <w:tc>
          <w:tcPr>
            <w:tcW w:w="1276" w:type="dxa"/>
            <w:shd w:val="clear" w:color="auto" w:fill="C4EFCE"/>
            <w:noWrap/>
            <w:vAlign w:val="center"/>
            <w:hideMark/>
          </w:tcPr>
          <w:p w14:paraId="415D9614" w14:textId="77777777" w:rsidR="00F24946" w:rsidRDefault="00613B06">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3E535130"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D5E62B3" w14:textId="4AD6DD50" w:rsidR="00F24946" w:rsidRDefault="00613B06">
            <w:pPr>
              <w:pStyle w:val="P68B1DB1-Normal8"/>
              <w:spacing w:after="0" w:line="240" w:lineRule="auto"/>
              <w:jc w:val="center"/>
              <w:rPr>
                <w:rFonts w:eastAsia="Times New Roman" w:cs="Calibri"/>
                <w:noProof/>
              </w:rPr>
            </w:pPr>
            <w:r>
              <w:rPr>
                <w:noProof/>
              </w:rPr>
              <w:t>Javno dostopna polnilna mesta za električna vozila</w:t>
            </w:r>
          </w:p>
        </w:tc>
        <w:tc>
          <w:tcPr>
            <w:tcW w:w="1275" w:type="dxa"/>
            <w:shd w:val="clear" w:color="auto" w:fill="C4EFCE"/>
            <w:noWrap/>
            <w:vAlign w:val="center"/>
            <w:hideMark/>
          </w:tcPr>
          <w:p w14:paraId="48FD32B6"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48F471C"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92" w:type="dxa"/>
            <w:shd w:val="clear" w:color="auto" w:fill="C4EFCE"/>
            <w:noWrap/>
            <w:vAlign w:val="center"/>
            <w:hideMark/>
          </w:tcPr>
          <w:p w14:paraId="77A7D296" w14:textId="77777777" w:rsidR="00F24946" w:rsidRDefault="00613B06">
            <w:pPr>
              <w:pStyle w:val="P68B1DB1-Normal8"/>
              <w:spacing w:after="0" w:line="240" w:lineRule="auto"/>
              <w:jc w:val="center"/>
              <w:rPr>
                <w:rFonts w:eastAsia="Times New Roman" w:cs="Calibri"/>
                <w:noProof/>
              </w:rPr>
            </w:pPr>
            <w:r>
              <w:rPr>
                <w:noProof/>
              </w:rPr>
              <w:t>10 450</w:t>
            </w:r>
          </w:p>
        </w:tc>
        <w:tc>
          <w:tcPr>
            <w:tcW w:w="709" w:type="dxa"/>
            <w:shd w:val="clear" w:color="auto" w:fill="C4EFCE"/>
            <w:noWrap/>
            <w:vAlign w:val="center"/>
            <w:hideMark/>
          </w:tcPr>
          <w:p w14:paraId="7C46C763" w14:textId="77777777" w:rsidR="00F24946" w:rsidRDefault="00613B06">
            <w:pPr>
              <w:pStyle w:val="P68B1DB1-Normal8"/>
              <w:spacing w:after="0" w:line="240" w:lineRule="auto"/>
              <w:jc w:val="center"/>
              <w:rPr>
                <w:rFonts w:eastAsia="Times New Roman" w:cs="Calibri"/>
                <w:noProof/>
              </w:rPr>
            </w:pPr>
            <w:r>
              <w:rPr>
                <w:noProof/>
              </w:rPr>
              <w:t>15 000</w:t>
            </w:r>
          </w:p>
        </w:tc>
        <w:tc>
          <w:tcPr>
            <w:tcW w:w="567" w:type="dxa"/>
            <w:shd w:val="clear" w:color="auto" w:fill="C4EFCE"/>
            <w:noWrap/>
            <w:vAlign w:val="center"/>
            <w:hideMark/>
          </w:tcPr>
          <w:p w14:paraId="425C2DC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65542AA4"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8F4B423" w14:textId="2FF52C31" w:rsidR="00F24946" w:rsidRDefault="00613B06">
            <w:pPr>
              <w:pStyle w:val="P68B1DB1-Normal8"/>
              <w:spacing w:after="0" w:line="240" w:lineRule="auto"/>
              <w:jc w:val="both"/>
              <w:rPr>
                <w:rFonts w:eastAsia="Times New Roman" w:cs="Calibri"/>
                <w:noProof/>
              </w:rPr>
            </w:pPr>
            <w:r>
              <w:rPr>
                <w:noProof/>
              </w:rPr>
              <w:t>Število javno dostopnih polnilnih mest za električna vozila (v primerjavi z izhodiščem za četrto četrtletje leta 2024)</w:t>
            </w:r>
          </w:p>
        </w:tc>
      </w:tr>
      <w:tr w:rsidR="00F24946" w14:paraId="6CDEF770" w14:textId="77777777">
        <w:trPr>
          <w:trHeight w:val="640"/>
        </w:trPr>
        <w:tc>
          <w:tcPr>
            <w:tcW w:w="1135" w:type="dxa"/>
            <w:shd w:val="clear" w:color="auto" w:fill="C4EFCE"/>
            <w:vAlign w:val="center"/>
            <w:hideMark/>
          </w:tcPr>
          <w:p w14:paraId="7E9D55FE" w14:textId="77777777" w:rsidR="00F24946" w:rsidRDefault="00613B06">
            <w:pPr>
              <w:pStyle w:val="P68B1DB1-Normal7"/>
              <w:spacing w:after="0" w:line="240" w:lineRule="auto"/>
              <w:jc w:val="center"/>
              <w:rPr>
                <w:rFonts w:eastAsia="Times New Roman" w:cs="Calibri"/>
                <w:noProof/>
              </w:rPr>
            </w:pPr>
            <w:r>
              <w:rPr>
                <w:noProof/>
              </w:rPr>
              <w:t>7.4</w:t>
            </w:r>
          </w:p>
        </w:tc>
        <w:tc>
          <w:tcPr>
            <w:tcW w:w="1276" w:type="dxa"/>
            <w:shd w:val="clear" w:color="auto" w:fill="C4EFCE"/>
            <w:noWrap/>
            <w:vAlign w:val="center"/>
            <w:hideMark/>
          </w:tcPr>
          <w:p w14:paraId="74F8FD76" w14:textId="77777777" w:rsidR="00F24946" w:rsidRDefault="00613B06">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0F209261"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F9C461D" w14:textId="77777777" w:rsidR="00F24946" w:rsidRDefault="00613B06">
            <w:pPr>
              <w:pStyle w:val="P68B1DB1-Normal8"/>
              <w:spacing w:after="0" w:line="240" w:lineRule="auto"/>
              <w:jc w:val="center"/>
              <w:rPr>
                <w:rFonts w:eastAsia="Times New Roman" w:cs="Calibri"/>
                <w:noProof/>
              </w:rPr>
            </w:pPr>
            <w:r>
              <w:rPr>
                <w:noProof/>
              </w:rPr>
              <w:t>Izbira področij za sprejem podjetij za ukrepe za izboljšanje okoljske trajnostnosti in digitalizacije</w:t>
            </w:r>
          </w:p>
        </w:tc>
        <w:tc>
          <w:tcPr>
            <w:tcW w:w="1275" w:type="dxa"/>
            <w:shd w:val="clear" w:color="auto" w:fill="C4EFCE"/>
            <w:noWrap/>
            <w:vAlign w:val="center"/>
            <w:hideMark/>
          </w:tcPr>
          <w:p w14:paraId="593AAD30" w14:textId="77777777" w:rsidR="00F24946" w:rsidRDefault="00613B06">
            <w:pPr>
              <w:pStyle w:val="P68B1DB1-Normal8"/>
              <w:spacing w:after="0" w:line="240" w:lineRule="auto"/>
              <w:jc w:val="center"/>
              <w:rPr>
                <w:rFonts w:eastAsia="Times New Roman" w:cs="Calibri"/>
                <w:noProof/>
              </w:rPr>
            </w:pPr>
            <w:r>
              <w:rPr>
                <w:noProof/>
              </w:rPr>
              <w:t>Podpis javnega protokola, ki potrjuje izbiro področij za sprejem podjetij</w:t>
            </w:r>
          </w:p>
        </w:tc>
        <w:tc>
          <w:tcPr>
            <w:tcW w:w="993" w:type="dxa"/>
            <w:shd w:val="clear" w:color="auto" w:fill="C4EFCE"/>
            <w:noWrap/>
            <w:vAlign w:val="center"/>
            <w:hideMark/>
          </w:tcPr>
          <w:p w14:paraId="3B12DE95"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DF1D34B"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2143C3EF"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FC05994" w14:textId="77777777"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51394D9E"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E6391D9" w14:textId="77777777" w:rsidR="00F24946" w:rsidRDefault="00613B06">
            <w:pPr>
              <w:pStyle w:val="P68B1DB1-Normal8"/>
              <w:spacing w:after="0" w:line="240" w:lineRule="auto"/>
              <w:jc w:val="both"/>
              <w:rPr>
                <w:rFonts w:eastAsia="Times New Roman" w:cs="Calibri"/>
                <w:noProof/>
              </w:rPr>
            </w:pPr>
            <w:r>
              <w:rPr>
                <w:noProof/>
              </w:rPr>
              <w:t xml:space="preserve">Področja za sprejem podjetij se izberejo s konkurenčnim razpisnim postopkom. Komisiji se predloži podpisan javni protokol, ki potrjuje, da je bil izbor poslovnih območij za sprejem zaključen, in opredeli izbrana področja za sprejem podjetij. </w:t>
            </w:r>
          </w:p>
        </w:tc>
      </w:tr>
      <w:tr w:rsidR="00F24946" w14:paraId="0512DFAB" w14:textId="77777777">
        <w:trPr>
          <w:trHeight w:val="420"/>
        </w:trPr>
        <w:tc>
          <w:tcPr>
            <w:tcW w:w="1135" w:type="dxa"/>
            <w:shd w:val="clear" w:color="auto" w:fill="C4EFCE"/>
            <w:vAlign w:val="center"/>
            <w:hideMark/>
          </w:tcPr>
          <w:p w14:paraId="40C77A13" w14:textId="77777777" w:rsidR="00F24946" w:rsidRDefault="00613B06">
            <w:pPr>
              <w:pStyle w:val="P68B1DB1-Normal7"/>
              <w:spacing w:after="0" w:line="240" w:lineRule="auto"/>
              <w:jc w:val="center"/>
              <w:rPr>
                <w:rFonts w:eastAsia="Times New Roman" w:cs="Calibri"/>
                <w:noProof/>
              </w:rPr>
            </w:pPr>
            <w:r>
              <w:rPr>
                <w:noProof/>
              </w:rPr>
              <w:t>7.5</w:t>
            </w:r>
          </w:p>
        </w:tc>
        <w:tc>
          <w:tcPr>
            <w:tcW w:w="1276" w:type="dxa"/>
            <w:shd w:val="clear" w:color="auto" w:fill="C4EFCE"/>
            <w:noWrap/>
            <w:vAlign w:val="center"/>
            <w:hideMark/>
          </w:tcPr>
          <w:p w14:paraId="3FA30471" w14:textId="77777777" w:rsidR="00F24946" w:rsidRDefault="00613B06">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6BEE3F36"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DFBE47E" w14:textId="77777777" w:rsidR="00F24946" w:rsidRDefault="00613B06">
            <w:pPr>
              <w:pStyle w:val="P68B1DB1-Normal8"/>
              <w:spacing w:after="0" w:line="240" w:lineRule="auto"/>
              <w:jc w:val="center"/>
              <w:rPr>
                <w:rFonts w:eastAsia="Times New Roman" w:cs="Calibri"/>
                <w:noProof/>
              </w:rPr>
            </w:pPr>
            <w:r>
              <w:rPr>
                <w:noProof/>
              </w:rPr>
              <w:t xml:space="preserve">Zaključek intervencij na izbranih poslovnih sprejemnih območjih </w:t>
            </w:r>
          </w:p>
        </w:tc>
        <w:tc>
          <w:tcPr>
            <w:tcW w:w="1275" w:type="dxa"/>
            <w:shd w:val="clear" w:color="auto" w:fill="C4EFCE"/>
            <w:noWrap/>
            <w:vAlign w:val="center"/>
            <w:hideMark/>
          </w:tcPr>
          <w:p w14:paraId="33798293"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7932235"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42943F2B"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4C482E62" w14:textId="77777777" w:rsidR="00F24946" w:rsidRDefault="00613B06">
            <w:pPr>
              <w:pStyle w:val="P68B1DB1-Normal8"/>
              <w:spacing w:after="0" w:line="240" w:lineRule="auto"/>
              <w:jc w:val="center"/>
              <w:rPr>
                <w:rFonts w:eastAsia="Times New Roman" w:cs="Calibri"/>
                <w:noProof/>
              </w:rPr>
            </w:pPr>
            <w:r>
              <w:rPr>
                <w:noProof/>
              </w:rPr>
              <w:t>10</w:t>
            </w:r>
          </w:p>
        </w:tc>
        <w:tc>
          <w:tcPr>
            <w:tcW w:w="567" w:type="dxa"/>
            <w:shd w:val="clear" w:color="auto" w:fill="C4EFCE"/>
            <w:noWrap/>
            <w:vAlign w:val="center"/>
            <w:hideMark/>
          </w:tcPr>
          <w:p w14:paraId="082856AC"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0E91BBA3"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C3A76A8" w14:textId="77777777" w:rsidR="00F24946" w:rsidRDefault="00613B06">
            <w:pPr>
              <w:pStyle w:val="P68B1DB1-Normal8"/>
              <w:spacing w:after="0" w:line="240" w:lineRule="auto"/>
              <w:jc w:val="both"/>
              <w:rPr>
                <w:rFonts w:eastAsia="Times New Roman" w:cs="Calibri"/>
                <w:noProof/>
              </w:rPr>
            </w:pPr>
            <w:r>
              <w:rPr>
                <w:noProof/>
              </w:rPr>
              <w:t xml:space="preserve">Število poslovnih sprejemnih območij z opravljenimi deli za izboljšanje njihove okoljske trajnostnosti in digitalizacije. </w:t>
            </w:r>
          </w:p>
          <w:p w14:paraId="07D803B5" w14:textId="10D8E79F" w:rsidR="00F24946" w:rsidRDefault="00613B06">
            <w:pPr>
              <w:pStyle w:val="P68B1DB1-Normal8"/>
              <w:spacing w:after="0" w:line="240" w:lineRule="auto"/>
              <w:jc w:val="both"/>
              <w:rPr>
                <w:rFonts w:eastAsia="Times New Roman" w:cs="Calibri"/>
                <w:noProof/>
              </w:rPr>
            </w:pPr>
            <w:r>
              <w:rPr>
                <w:noProof/>
              </w:rPr>
              <w:t>Področja za sprejem podjetij za posredovanje, izbrana v konkurenčnem razpisnem postopku.</w:t>
            </w:r>
          </w:p>
        </w:tc>
      </w:tr>
      <w:tr w:rsidR="00F24946" w14:paraId="10CFA4E1" w14:textId="77777777">
        <w:trPr>
          <w:trHeight w:val="420"/>
        </w:trPr>
        <w:tc>
          <w:tcPr>
            <w:tcW w:w="1135" w:type="dxa"/>
            <w:shd w:val="clear" w:color="auto" w:fill="C4EFCE"/>
            <w:vAlign w:val="center"/>
            <w:hideMark/>
          </w:tcPr>
          <w:p w14:paraId="6BA90D44" w14:textId="77777777" w:rsidR="00F24946" w:rsidRDefault="00613B06">
            <w:pPr>
              <w:pStyle w:val="P68B1DB1-Normal7"/>
              <w:spacing w:after="0" w:line="240" w:lineRule="auto"/>
              <w:jc w:val="center"/>
              <w:rPr>
                <w:rFonts w:eastAsia="Times New Roman" w:cs="Calibri"/>
                <w:noProof/>
              </w:rPr>
            </w:pPr>
            <w:r>
              <w:rPr>
                <w:noProof/>
              </w:rPr>
              <w:t>7.6</w:t>
            </w:r>
          </w:p>
        </w:tc>
        <w:tc>
          <w:tcPr>
            <w:tcW w:w="1276" w:type="dxa"/>
            <w:shd w:val="clear" w:color="auto" w:fill="C4EFCE"/>
            <w:noWrap/>
            <w:vAlign w:val="center"/>
            <w:hideMark/>
          </w:tcPr>
          <w:p w14:paraId="4F6EE5A3" w14:textId="77777777" w:rsidR="00F24946" w:rsidRDefault="00613B06">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6C6C701C"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715D078" w14:textId="77777777" w:rsidR="00F24946" w:rsidRDefault="00613B06">
            <w:pPr>
              <w:pStyle w:val="P68B1DB1-Normal8"/>
              <w:spacing w:after="0" w:line="240" w:lineRule="auto"/>
              <w:jc w:val="center"/>
              <w:rPr>
                <w:rFonts w:eastAsia="Times New Roman" w:cs="Calibri"/>
                <w:noProof/>
              </w:rPr>
            </w:pPr>
            <w:r>
              <w:rPr>
                <w:noProof/>
              </w:rPr>
              <w:t>Podpisana pogodba za 1 cestni projekt</w:t>
            </w:r>
          </w:p>
        </w:tc>
        <w:tc>
          <w:tcPr>
            <w:tcW w:w="1275" w:type="dxa"/>
            <w:shd w:val="clear" w:color="auto" w:fill="C4EFCE"/>
            <w:noWrap/>
            <w:vAlign w:val="center"/>
            <w:hideMark/>
          </w:tcPr>
          <w:p w14:paraId="3AEB4D75" w14:textId="77777777" w:rsidR="00F24946" w:rsidRDefault="00613B06">
            <w:pPr>
              <w:pStyle w:val="P68B1DB1-Normal8"/>
              <w:spacing w:after="0" w:line="240" w:lineRule="auto"/>
              <w:jc w:val="center"/>
              <w:rPr>
                <w:rFonts w:eastAsia="Times New Roman" w:cs="Calibri"/>
                <w:noProof/>
              </w:rPr>
            </w:pPr>
            <w:r>
              <w:rPr>
                <w:noProof/>
              </w:rPr>
              <w:t>Podpisana pogodba z izvajalcem za cestni projekt</w:t>
            </w:r>
          </w:p>
        </w:tc>
        <w:tc>
          <w:tcPr>
            <w:tcW w:w="993" w:type="dxa"/>
            <w:shd w:val="clear" w:color="auto" w:fill="C4EFCE"/>
            <w:noWrap/>
            <w:vAlign w:val="center"/>
            <w:hideMark/>
          </w:tcPr>
          <w:p w14:paraId="70074E61"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356C703"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31DADF6"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74A7711C"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6AB2898"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518505D" w14:textId="77777777" w:rsidR="00F24946" w:rsidRDefault="00613B06">
            <w:pPr>
              <w:pStyle w:val="P68B1DB1-Normal8"/>
              <w:spacing w:after="0" w:line="240" w:lineRule="auto"/>
              <w:jc w:val="both"/>
              <w:rPr>
                <w:rFonts w:eastAsia="Times New Roman" w:cs="Calibri"/>
                <w:noProof/>
              </w:rPr>
            </w:pPr>
            <w:r>
              <w:rPr>
                <w:noProof/>
              </w:rPr>
              <w:t>Podpis listine, ki ureja njihove obveznosti v zvezi z izvedbo gradenj, s strani strank po postopku javnega razpisa.</w:t>
            </w:r>
          </w:p>
        </w:tc>
      </w:tr>
      <w:tr w:rsidR="00F24946" w14:paraId="0CFF3903" w14:textId="77777777">
        <w:trPr>
          <w:trHeight w:val="420"/>
        </w:trPr>
        <w:tc>
          <w:tcPr>
            <w:tcW w:w="1135" w:type="dxa"/>
            <w:shd w:val="clear" w:color="auto" w:fill="C4EFCE"/>
            <w:vAlign w:val="center"/>
            <w:hideMark/>
          </w:tcPr>
          <w:p w14:paraId="65D7863A" w14:textId="77777777" w:rsidR="00F24946" w:rsidRDefault="00613B06">
            <w:pPr>
              <w:pStyle w:val="P68B1DB1-Normal7"/>
              <w:spacing w:after="0" w:line="240" w:lineRule="auto"/>
              <w:jc w:val="center"/>
              <w:rPr>
                <w:rFonts w:eastAsia="Times New Roman" w:cs="Calibri"/>
                <w:noProof/>
              </w:rPr>
            </w:pPr>
            <w:r>
              <w:rPr>
                <w:noProof/>
              </w:rPr>
              <w:t>7.7</w:t>
            </w:r>
          </w:p>
        </w:tc>
        <w:tc>
          <w:tcPr>
            <w:tcW w:w="1276" w:type="dxa"/>
            <w:shd w:val="clear" w:color="auto" w:fill="C4EFCE"/>
            <w:noWrap/>
            <w:vAlign w:val="center"/>
            <w:hideMark/>
          </w:tcPr>
          <w:p w14:paraId="184546E3" w14:textId="77777777" w:rsidR="00F24946" w:rsidRDefault="00613B06">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34BD2C29"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53F57D" w14:textId="77777777" w:rsidR="00F24946" w:rsidRDefault="00613B06">
            <w:pPr>
              <w:pStyle w:val="P68B1DB1-Normal8"/>
              <w:spacing w:after="0" w:line="240" w:lineRule="auto"/>
              <w:jc w:val="center"/>
              <w:rPr>
                <w:rFonts w:eastAsia="Times New Roman" w:cs="Calibri"/>
                <w:noProof/>
              </w:rPr>
            </w:pPr>
            <w:r>
              <w:rPr>
                <w:noProof/>
              </w:rPr>
              <w:t>Podpisana pogodba za dva cestna projekta</w:t>
            </w:r>
          </w:p>
        </w:tc>
        <w:tc>
          <w:tcPr>
            <w:tcW w:w="1275" w:type="dxa"/>
            <w:shd w:val="clear" w:color="auto" w:fill="C4EFCE"/>
            <w:noWrap/>
            <w:vAlign w:val="center"/>
            <w:hideMark/>
          </w:tcPr>
          <w:p w14:paraId="27FD9906" w14:textId="77777777" w:rsidR="00F24946" w:rsidRDefault="00613B06">
            <w:pPr>
              <w:pStyle w:val="P68B1DB1-Normal8"/>
              <w:spacing w:after="0" w:line="240" w:lineRule="auto"/>
              <w:jc w:val="center"/>
              <w:rPr>
                <w:rFonts w:eastAsia="Times New Roman" w:cs="Calibri"/>
                <w:noProof/>
              </w:rPr>
            </w:pPr>
            <w:r>
              <w:rPr>
                <w:noProof/>
              </w:rPr>
              <w:t>Podpisana pogodba z izvajalcem za cestne projekte</w:t>
            </w:r>
          </w:p>
        </w:tc>
        <w:tc>
          <w:tcPr>
            <w:tcW w:w="993" w:type="dxa"/>
            <w:shd w:val="clear" w:color="auto" w:fill="C4EFCE"/>
            <w:noWrap/>
            <w:vAlign w:val="center"/>
            <w:hideMark/>
          </w:tcPr>
          <w:p w14:paraId="46E44223"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DCA1314"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C4AC25B"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0ED99A"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73BEB9CA"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C5F3EF7" w14:textId="77777777" w:rsidR="00F24946" w:rsidRDefault="00613B06">
            <w:pPr>
              <w:pStyle w:val="P68B1DB1-Normal8"/>
              <w:spacing w:after="0" w:line="240" w:lineRule="auto"/>
              <w:jc w:val="both"/>
              <w:rPr>
                <w:rFonts w:eastAsia="Times New Roman" w:cs="Calibri"/>
                <w:noProof/>
              </w:rPr>
            </w:pPr>
            <w:r>
              <w:rPr>
                <w:noProof/>
              </w:rPr>
              <w:t>Podpis listine, ki ureja njihove obveznosti v zvezi z izvedbo gradenj, s strani strank po postopku javnega razpisa.</w:t>
            </w:r>
          </w:p>
        </w:tc>
      </w:tr>
      <w:tr w:rsidR="00F24946" w14:paraId="265A481C" w14:textId="77777777">
        <w:trPr>
          <w:trHeight w:val="420"/>
        </w:trPr>
        <w:tc>
          <w:tcPr>
            <w:tcW w:w="1135" w:type="dxa"/>
            <w:shd w:val="clear" w:color="auto" w:fill="C4EFCE"/>
            <w:vAlign w:val="center"/>
            <w:hideMark/>
          </w:tcPr>
          <w:p w14:paraId="5CB9830A" w14:textId="77777777" w:rsidR="00F24946" w:rsidRDefault="00613B06">
            <w:pPr>
              <w:pStyle w:val="P68B1DB1-Normal7"/>
              <w:spacing w:after="0" w:line="240" w:lineRule="auto"/>
              <w:jc w:val="center"/>
              <w:rPr>
                <w:rFonts w:eastAsia="Times New Roman" w:cs="Calibri"/>
                <w:noProof/>
              </w:rPr>
            </w:pPr>
            <w:r>
              <w:rPr>
                <w:noProof/>
              </w:rPr>
              <w:t>7.8</w:t>
            </w:r>
          </w:p>
        </w:tc>
        <w:tc>
          <w:tcPr>
            <w:tcW w:w="1276" w:type="dxa"/>
            <w:shd w:val="clear" w:color="auto" w:fill="C4EFCE"/>
            <w:noWrap/>
            <w:vAlign w:val="center"/>
            <w:hideMark/>
          </w:tcPr>
          <w:p w14:paraId="53E4F8B7" w14:textId="77777777" w:rsidR="00F24946" w:rsidRDefault="00613B06">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12265568"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3A730D9" w14:textId="77777777" w:rsidR="00F24946" w:rsidRDefault="00613B06">
            <w:pPr>
              <w:pStyle w:val="P68B1DB1-Normal8"/>
              <w:spacing w:after="0" w:line="240" w:lineRule="auto"/>
              <w:jc w:val="center"/>
              <w:rPr>
                <w:rFonts w:eastAsia="Times New Roman" w:cs="Calibri"/>
                <w:noProof/>
              </w:rPr>
            </w:pPr>
            <w:r>
              <w:rPr>
                <w:noProof/>
              </w:rPr>
              <w:t>Zgrajene ali obnovljene ceste</w:t>
            </w:r>
          </w:p>
        </w:tc>
        <w:tc>
          <w:tcPr>
            <w:tcW w:w="1275" w:type="dxa"/>
            <w:shd w:val="clear" w:color="auto" w:fill="C4EFCE"/>
            <w:noWrap/>
            <w:vAlign w:val="center"/>
            <w:hideMark/>
          </w:tcPr>
          <w:p w14:paraId="2009EC4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B9DB13"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01630BB"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58650E" w14:textId="77777777" w:rsidR="00F24946" w:rsidRDefault="00613B06">
            <w:pPr>
              <w:pStyle w:val="P68B1DB1-Normal8"/>
              <w:spacing w:after="0" w:line="240" w:lineRule="auto"/>
              <w:jc w:val="center"/>
              <w:rPr>
                <w:rFonts w:eastAsia="Times New Roman" w:cs="Calibri"/>
                <w:noProof/>
              </w:rPr>
            </w:pPr>
            <w:r>
              <w:rPr>
                <w:noProof/>
              </w:rPr>
              <w:t>111</w:t>
            </w:r>
          </w:p>
        </w:tc>
        <w:tc>
          <w:tcPr>
            <w:tcW w:w="567" w:type="dxa"/>
            <w:shd w:val="clear" w:color="auto" w:fill="C4EFCE"/>
            <w:noWrap/>
            <w:vAlign w:val="center"/>
            <w:hideMark/>
          </w:tcPr>
          <w:p w14:paraId="40298BF3"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4EAB628"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8015658" w14:textId="77777777" w:rsidR="00F24946" w:rsidRDefault="00613B06">
            <w:pPr>
              <w:pStyle w:val="P68B1DB1-Normal8"/>
              <w:spacing w:after="0" w:line="240" w:lineRule="auto"/>
              <w:jc w:val="both"/>
              <w:rPr>
                <w:rFonts w:eastAsia="Times New Roman" w:cs="Calibri"/>
                <w:noProof/>
              </w:rPr>
            </w:pPr>
            <w:r>
              <w:rPr>
                <w:noProof/>
              </w:rPr>
              <w:t>Km cest, zgrajenih ali obnovljenih v skladu s tehničnimi specifikacijami razpisa, ki v celoti vključujejo vse rezultate in pogoje iz presoje vplivov na okolje.</w:t>
            </w:r>
          </w:p>
        </w:tc>
      </w:tr>
      <w:tr w:rsidR="00F24946" w14:paraId="2261DAAD" w14:textId="77777777">
        <w:trPr>
          <w:trHeight w:val="420"/>
        </w:trPr>
        <w:tc>
          <w:tcPr>
            <w:tcW w:w="1135" w:type="dxa"/>
            <w:shd w:val="clear" w:color="auto" w:fill="C4EFCE"/>
            <w:vAlign w:val="center"/>
            <w:hideMark/>
          </w:tcPr>
          <w:p w14:paraId="4034FC64" w14:textId="77777777" w:rsidR="00F24946" w:rsidRDefault="00613B06">
            <w:pPr>
              <w:pStyle w:val="P68B1DB1-Normal7"/>
              <w:spacing w:after="0" w:line="240" w:lineRule="auto"/>
              <w:jc w:val="center"/>
              <w:rPr>
                <w:rFonts w:eastAsia="Times New Roman" w:cs="Calibri"/>
                <w:noProof/>
              </w:rPr>
            </w:pPr>
            <w:r>
              <w:rPr>
                <w:noProof/>
              </w:rPr>
              <w:t>7.13</w:t>
            </w:r>
          </w:p>
        </w:tc>
        <w:tc>
          <w:tcPr>
            <w:tcW w:w="1276" w:type="dxa"/>
            <w:shd w:val="clear" w:color="auto" w:fill="C4EFCE"/>
            <w:noWrap/>
            <w:vAlign w:val="center"/>
            <w:hideMark/>
          </w:tcPr>
          <w:p w14:paraId="4BC36517" w14:textId="77777777" w:rsidR="00F24946" w:rsidRDefault="00613B06">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209F84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385815E" w14:textId="77777777" w:rsidR="00F24946" w:rsidRDefault="00613B06">
            <w:pPr>
              <w:pStyle w:val="P68B1DB1-Normal8"/>
              <w:spacing w:after="0" w:line="240" w:lineRule="auto"/>
              <w:jc w:val="center"/>
              <w:rPr>
                <w:rFonts w:eastAsia="Times New Roman" w:cs="Calibri"/>
                <w:noProof/>
              </w:rPr>
            </w:pPr>
            <w:r>
              <w:rPr>
                <w:noProof/>
              </w:rPr>
              <w:t>Podpisana pogodba za dva cestna projekta</w:t>
            </w:r>
          </w:p>
        </w:tc>
        <w:tc>
          <w:tcPr>
            <w:tcW w:w="1275" w:type="dxa"/>
            <w:shd w:val="clear" w:color="auto" w:fill="C4EFCE"/>
            <w:noWrap/>
            <w:vAlign w:val="center"/>
            <w:hideMark/>
          </w:tcPr>
          <w:p w14:paraId="63C0F659" w14:textId="77777777" w:rsidR="00F24946" w:rsidRDefault="00613B06">
            <w:pPr>
              <w:pStyle w:val="P68B1DB1-Normal8"/>
              <w:spacing w:after="0" w:line="240" w:lineRule="auto"/>
              <w:jc w:val="center"/>
              <w:rPr>
                <w:rFonts w:eastAsia="Times New Roman" w:cs="Calibri"/>
                <w:noProof/>
              </w:rPr>
            </w:pPr>
            <w:r>
              <w:rPr>
                <w:noProof/>
              </w:rPr>
              <w:t xml:space="preserve">Pogodba, podpisana z izvajalcem za cestne projekte </w:t>
            </w:r>
          </w:p>
        </w:tc>
        <w:tc>
          <w:tcPr>
            <w:tcW w:w="993" w:type="dxa"/>
            <w:shd w:val="clear" w:color="auto" w:fill="C4EFCE"/>
            <w:noWrap/>
            <w:vAlign w:val="center"/>
            <w:hideMark/>
          </w:tcPr>
          <w:p w14:paraId="7CB79044"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9267C09"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4713E82"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777E7E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E0776BB"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6DA65D9A" w14:textId="77777777" w:rsidR="00F24946" w:rsidRDefault="00613B06">
            <w:pPr>
              <w:pStyle w:val="P68B1DB1-Normal8"/>
              <w:spacing w:after="0" w:line="240" w:lineRule="auto"/>
              <w:jc w:val="both"/>
              <w:rPr>
                <w:rFonts w:eastAsia="Times New Roman" w:cs="Calibri"/>
                <w:noProof/>
              </w:rPr>
            </w:pPr>
            <w:r>
              <w:rPr>
                <w:noProof/>
              </w:rPr>
              <w:t>Podpis listine, ki ureja njihove obveznosti v zvezi z izvedbo gradenj, po ceni, s strani strank po postopku javnega razpisa.</w:t>
            </w:r>
          </w:p>
        </w:tc>
      </w:tr>
      <w:tr w:rsidR="00F24946" w14:paraId="0682BEE4" w14:textId="77777777">
        <w:trPr>
          <w:trHeight w:val="401"/>
        </w:trPr>
        <w:tc>
          <w:tcPr>
            <w:tcW w:w="1135" w:type="dxa"/>
            <w:shd w:val="clear" w:color="auto" w:fill="C4EFCE"/>
            <w:vAlign w:val="center"/>
            <w:hideMark/>
          </w:tcPr>
          <w:p w14:paraId="1CA58A5D" w14:textId="77777777" w:rsidR="00F24946" w:rsidRDefault="00613B06">
            <w:pPr>
              <w:pStyle w:val="P68B1DB1-Normal7"/>
              <w:spacing w:after="0" w:line="240" w:lineRule="auto"/>
              <w:jc w:val="center"/>
              <w:rPr>
                <w:rFonts w:eastAsia="Times New Roman" w:cs="Calibri"/>
                <w:noProof/>
              </w:rPr>
            </w:pPr>
            <w:r>
              <w:rPr>
                <w:noProof/>
              </w:rPr>
              <w:t>7.14</w:t>
            </w:r>
          </w:p>
        </w:tc>
        <w:tc>
          <w:tcPr>
            <w:tcW w:w="1276" w:type="dxa"/>
            <w:shd w:val="clear" w:color="auto" w:fill="C4EFCE"/>
            <w:noWrap/>
            <w:vAlign w:val="center"/>
            <w:hideMark/>
          </w:tcPr>
          <w:p w14:paraId="15B9C650" w14:textId="77777777" w:rsidR="00F24946" w:rsidRDefault="00613B06">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12F9B6B5"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E2EC1A" w14:textId="77777777" w:rsidR="00F24946" w:rsidRDefault="00613B06">
            <w:pPr>
              <w:pStyle w:val="P68B1DB1-Normal8"/>
              <w:spacing w:after="0" w:line="240" w:lineRule="auto"/>
              <w:jc w:val="center"/>
              <w:rPr>
                <w:rFonts w:eastAsia="Times New Roman" w:cs="Calibri"/>
                <w:noProof/>
              </w:rPr>
            </w:pPr>
            <w:r>
              <w:rPr>
                <w:noProof/>
              </w:rPr>
              <w:t>Podpisana pogodba za 8 cestnih projektov</w:t>
            </w:r>
          </w:p>
        </w:tc>
        <w:tc>
          <w:tcPr>
            <w:tcW w:w="1275" w:type="dxa"/>
            <w:shd w:val="clear" w:color="auto" w:fill="C4EFCE"/>
            <w:noWrap/>
            <w:vAlign w:val="center"/>
            <w:hideMark/>
          </w:tcPr>
          <w:p w14:paraId="6C884EF6" w14:textId="77777777" w:rsidR="00F24946" w:rsidRDefault="00613B06">
            <w:pPr>
              <w:pStyle w:val="P68B1DB1-Normal8"/>
              <w:spacing w:after="0" w:line="240" w:lineRule="auto"/>
              <w:jc w:val="center"/>
              <w:rPr>
                <w:rFonts w:eastAsia="Times New Roman" w:cs="Calibri"/>
                <w:noProof/>
              </w:rPr>
            </w:pPr>
            <w:r>
              <w:rPr>
                <w:noProof/>
              </w:rPr>
              <w:t xml:space="preserve">Pogodba podpisana z izvajalcem cestnih projektov </w:t>
            </w:r>
          </w:p>
        </w:tc>
        <w:tc>
          <w:tcPr>
            <w:tcW w:w="993" w:type="dxa"/>
            <w:shd w:val="clear" w:color="auto" w:fill="C4EFCE"/>
            <w:noWrap/>
            <w:vAlign w:val="center"/>
            <w:hideMark/>
          </w:tcPr>
          <w:p w14:paraId="444A2DB0"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CC793F9"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3F84ABE5"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5FC35485" w14:textId="1E6AD43C"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638E5478" w14:textId="77777777" w:rsidR="00F24946" w:rsidRDefault="00613B0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927CA24" w14:textId="1065D024" w:rsidR="00F24946" w:rsidRDefault="00613B06">
            <w:pPr>
              <w:pStyle w:val="P68B1DB1-Normal8"/>
              <w:spacing w:after="0" w:line="240" w:lineRule="auto"/>
              <w:jc w:val="both"/>
              <w:rPr>
                <w:rFonts w:eastAsia="Times New Roman" w:cs="Calibri"/>
                <w:noProof/>
              </w:rPr>
            </w:pPr>
            <w:r>
              <w:rPr>
                <w:noProof/>
              </w:rPr>
              <w:t xml:space="preserve">Podpis listine, ki ureja njihove obveznosti v zvezi z izvedbo gradenj, po ceni, s strani strank po postopku javnega razpisa. </w:t>
            </w:r>
          </w:p>
        </w:tc>
      </w:tr>
      <w:tr w:rsidR="00F24946" w14:paraId="7B5B5CC1" w14:textId="77777777">
        <w:trPr>
          <w:trHeight w:val="420"/>
        </w:trPr>
        <w:tc>
          <w:tcPr>
            <w:tcW w:w="1135" w:type="dxa"/>
            <w:shd w:val="clear" w:color="auto" w:fill="C4EFCE"/>
            <w:vAlign w:val="center"/>
            <w:hideMark/>
          </w:tcPr>
          <w:p w14:paraId="700C397C" w14:textId="77777777" w:rsidR="00F24946" w:rsidRDefault="00613B06">
            <w:pPr>
              <w:pStyle w:val="P68B1DB1-Normal7"/>
              <w:spacing w:after="0" w:line="240" w:lineRule="auto"/>
              <w:jc w:val="center"/>
              <w:rPr>
                <w:rFonts w:eastAsia="Times New Roman" w:cs="Calibri"/>
                <w:noProof/>
              </w:rPr>
            </w:pPr>
            <w:r>
              <w:rPr>
                <w:noProof/>
              </w:rPr>
              <w:t>7.15</w:t>
            </w:r>
          </w:p>
        </w:tc>
        <w:tc>
          <w:tcPr>
            <w:tcW w:w="1276" w:type="dxa"/>
            <w:shd w:val="clear" w:color="auto" w:fill="C4EFCE"/>
            <w:noWrap/>
            <w:vAlign w:val="center"/>
            <w:hideMark/>
          </w:tcPr>
          <w:p w14:paraId="20063F9D" w14:textId="77777777" w:rsidR="00F24946" w:rsidRDefault="00613B06">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AC31D5D"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A4A3C86" w14:textId="77777777" w:rsidR="00F24946" w:rsidRDefault="00613B06">
            <w:pPr>
              <w:pStyle w:val="P68B1DB1-Normal8"/>
              <w:spacing w:after="0" w:line="240" w:lineRule="auto"/>
              <w:jc w:val="center"/>
              <w:rPr>
                <w:rFonts w:eastAsia="Times New Roman" w:cs="Calibri"/>
                <w:noProof/>
              </w:rPr>
            </w:pPr>
            <w:r>
              <w:rPr>
                <w:noProof/>
              </w:rPr>
              <w:t>Zgrajene ali obnovljene ceste</w:t>
            </w:r>
          </w:p>
        </w:tc>
        <w:tc>
          <w:tcPr>
            <w:tcW w:w="1275" w:type="dxa"/>
            <w:shd w:val="clear" w:color="auto" w:fill="C4EFCE"/>
            <w:noWrap/>
            <w:vAlign w:val="center"/>
            <w:hideMark/>
          </w:tcPr>
          <w:p w14:paraId="2D009BF3"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B6B86C2"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371D6CE9"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EE7F577" w14:textId="77777777" w:rsidR="00F24946" w:rsidRDefault="00613B06">
            <w:pPr>
              <w:pStyle w:val="P68B1DB1-Normal8"/>
              <w:spacing w:after="0" w:line="240" w:lineRule="auto"/>
              <w:jc w:val="center"/>
              <w:rPr>
                <w:rFonts w:eastAsia="Times New Roman" w:cs="Calibri"/>
                <w:noProof/>
              </w:rPr>
            </w:pPr>
            <w:r>
              <w:rPr>
                <w:noProof/>
              </w:rPr>
              <w:t>34.38</w:t>
            </w:r>
          </w:p>
        </w:tc>
        <w:tc>
          <w:tcPr>
            <w:tcW w:w="567" w:type="dxa"/>
            <w:shd w:val="clear" w:color="auto" w:fill="C4EFCE"/>
            <w:noWrap/>
            <w:vAlign w:val="center"/>
            <w:hideMark/>
          </w:tcPr>
          <w:p w14:paraId="23C0D9BB" w14:textId="035CC7DC"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386DAC62" w14:textId="196BF008"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1595695" w14:textId="77777777" w:rsidR="00F24946" w:rsidRDefault="00613B06">
            <w:pPr>
              <w:pStyle w:val="P68B1DB1-Normal8"/>
              <w:spacing w:after="0" w:line="240" w:lineRule="auto"/>
              <w:jc w:val="both"/>
              <w:rPr>
                <w:rFonts w:eastAsia="Times New Roman" w:cs="Calibri"/>
                <w:noProof/>
              </w:rPr>
            </w:pPr>
            <w:r>
              <w:rPr>
                <w:noProof/>
              </w:rPr>
              <w:t>Km cest, zgrajenih ali obnovljenih v skladu s tehničnimi specifikacijami razpisa, ki v celoti vključujejo vse rezultate in pogoje iz presoje vplivov na okolje.</w:t>
            </w:r>
          </w:p>
        </w:tc>
      </w:tr>
    </w:tbl>
    <w:p w14:paraId="215FEBDE"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1134" w:right="1134" w:bottom="1134" w:left="1134" w:header="567" w:footer="567" w:gutter="0"/>
          <w:cols w:space="720"/>
          <w:docGrid w:linePitch="360"/>
        </w:sectPr>
      </w:pPr>
    </w:p>
    <w:p w14:paraId="5FFBA500" w14:textId="77777777" w:rsidR="00F24946" w:rsidRDefault="00613B06">
      <w:pPr>
        <w:pStyle w:val="P68B1DB1-Normal3"/>
        <w:keepNext/>
        <w:spacing w:before="240" w:after="0" w:line="259" w:lineRule="auto"/>
        <w:ind w:left="851"/>
        <w:jc w:val="both"/>
        <w:outlineLvl w:val="3"/>
        <w:rPr>
          <w:rFonts w:eastAsiaTheme="minorEastAsia" w:cs="Times New Roman"/>
          <w:noProof/>
        </w:rPr>
      </w:pPr>
      <w:r>
        <w:rPr>
          <w:noProof/>
        </w:rPr>
        <w:t>G.3. Opis reform in naložb za posojilo</w:t>
      </w:r>
    </w:p>
    <w:p w14:paraId="5DC9AA23"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RE-C07-i03: Čezmejne povezave</w:t>
      </w:r>
    </w:p>
    <w:p w14:paraId="1C90E8F1"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spodbuditi razvoj čezmejne mobilnosti in izboljšati konkurenčnost podjetij, na primer s spodbujanjem mobilnosti delovne sile. Namen okrepitve visoko zmogljivih koridorjev je tudi omogočiti skupno uporabo infrastrukture, kot je železniška proga za visoke hitrosti v Sanabriji ali letališče Bragança, in izboljšati varnost v cestnem prometu.</w:t>
      </w:r>
    </w:p>
    <w:p w14:paraId="7E45326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vzpostavitev in nadgradnjo cestne infrastrukture za okrepitev čezmejnih povezav s Španijo. </w:t>
      </w:r>
    </w:p>
    <w:p w14:paraId="3FAC6760"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ta ukrep ne bo bistveno škodoval okoljskim ciljem v smislu člena 17 Uredbe (EU) 2020/852, ob upoštevanju opisa ukrepa in blažilnih ukrepov iz načrta za okrevanje in odpornost v skladu s tehničnimi smernicami, da se ne škoduje bistveno (2021/C58/01). Skladnost z načelom, da se ne škoduje bistveno, se zlasti zagotavlja z naložbo C07-I0 (razširitev omrežja za polnjenje električnih vozil) kot spremljevalni ukrep. Za vsak cestni projekt, ki bi lahko imel znatne negativne vplive na okolje, je treba opraviti presojo vplivov na okolje v skladu z Direktivo 2011/92/EU, da se zagotovi, da je skladnost z načelom, da se ne škoduje bistveno, vključena v projekt in dosledno upoštevana v fazah gradnje, delovanja in razgradnje infrastrukture. </w:t>
      </w:r>
    </w:p>
    <w:p w14:paraId="54069761" w14:textId="73841A5B" w:rsidR="00F24946" w:rsidRDefault="00613B06">
      <w:pPr>
        <w:pStyle w:val="P68B1DB1-Normal4"/>
        <w:keepNext/>
        <w:spacing w:before="40" w:after="0" w:line="259" w:lineRule="auto"/>
        <w:jc w:val="both"/>
        <w:rPr>
          <w:rFonts w:eastAsiaTheme="minorEastAsia" w:cs="Times New Roman"/>
          <w:noProof/>
        </w:rPr>
      </w:pPr>
      <w:r>
        <w:rPr>
          <w:noProof/>
        </w:rPr>
        <w:t>Od navedenih cest se zgradi ali nadgradi 30 kilometrov:</w:t>
      </w:r>
    </w:p>
    <w:p w14:paraId="1BEA4559" w14:textId="77777777" w:rsidR="00F24946" w:rsidRDefault="00613B06">
      <w:pPr>
        <w:pStyle w:val="P68B1DB1-Normal4"/>
        <w:keepNext/>
        <w:numPr>
          <w:ilvl w:val="0"/>
          <w:numId w:val="23"/>
        </w:numPr>
        <w:spacing w:before="40" w:after="160" w:line="259" w:lineRule="auto"/>
        <w:contextualSpacing/>
        <w:jc w:val="both"/>
        <w:rPr>
          <w:rFonts w:eastAsiaTheme="minorEastAsia" w:cs="Times New Roman"/>
          <w:noProof/>
        </w:rPr>
      </w:pPr>
      <w:r>
        <w:rPr>
          <w:noProof/>
        </w:rPr>
        <w:t>EN103: Vinhais/Bragança (obvoznica);</w:t>
      </w:r>
    </w:p>
    <w:p w14:paraId="05732A66" w14:textId="77777777" w:rsidR="00F24946" w:rsidRDefault="00613B06">
      <w:pPr>
        <w:pStyle w:val="P68B1DB1-Normal4"/>
        <w:keepNext/>
        <w:numPr>
          <w:ilvl w:val="0"/>
          <w:numId w:val="23"/>
        </w:numPr>
        <w:spacing w:before="40" w:after="160" w:line="259" w:lineRule="auto"/>
        <w:contextualSpacing/>
        <w:jc w:val="both"/>
        <w:rPr>
          <w:rFonts w:eastAsiaTheme="minorEastAsia" w:cs="Times New Roman"/>
          <w:noProof/>
        </w:rPr>
      </w:pPr>
      <w:r>
        <w:rPr>
          <w:noProof/>
        </w:rPr>
        <w:t>Povezava iz Bragança do Puebla de Sanabria (Španija);</w:t>
      </w:r>
    </w:p>
    <w:p w14:paraId="2E2E2DF9" w14:textId="77777777" w:rsidR="00F24946" w:rsidRDefault="00613B06">
      <w:pPr>
        <w:pStyle w:val="P68B1DB1-Normal4"/>
        <w:keepNext/>
        <w:numPr>
          <w:ilvl w:val="0"/>
          <w:numId w:val="23"/>
        </w:numPr>
        <w:spacing w:before="40" w:after="160" w:line="259" w:lineRule="auto"/>
        <w:contextualSpacing/>
        <w:jc w:val="both"/>
        <w:rPr>
          <w:rFonts w:eastAsiaTheme="minorEastAsia" w:cs="Times New Roman"/>
          <w:noProof/>
        </w:rPr>
      </w:pPr>
      <w:r>
        <w:rPr>
          <w:noProof/>
        </w:rPr>
        <w:t>Mednarodni most čez reko Sever;</w:t>
      </w:r>
    </w:p>
    <w:p w14:paraId="3CA675A9" w14:textId="77777777" w:rsidR="00F24946" w:rsidRDefault="00613B06">
      <w:pPr>
        <w:pStyle w:val="P68B1DB1-Normal4"/>
        <w:keepNext/>
        <w:numPr>
          <w:ilvl w:val="0"/>
          <w:numId w:val="23"/>
        </w:numPr>
        <w:spacing w:before="40" w:after="160" w:line="259" w:lineRule="auto"/>
        <w:contextualSpacing/>
        <w:jc w:val="both"/>
        <w:rPr>
          <w:rFonts w:eastAsiaTheme="minorEastAsia" w:cs="Times New Roman"/>
          <w:noProof/>
        </w:rPr>
      </w:pPr>
      <w:r>
        <w:rPr>
          <w:noProof/>
        </w:rPr>
        <w:t>Most Alcoutim – Saluncar de Guadiana (Španija).</w:t>
      </w:r>
    </w:p>
    <w:p w14:paraId="58FCA3D1"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6F257771"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RE-C07-i04: Območja za sprejem podjetij – dostopnost cest</w:t>
      </w:r>
    </w:p>
    <w:p w14:paraId="0B64272F" w14:textId="77777777" w:rsidR="00F24946" w:rsidRDefault="00613B06">
      <w:pPr>
        <w:pStyle w:val="P68B1DB1-Normal4"/>
        <w:keepNext/>
        <w:spacing w:before="40" w:after="0" w:line="259" w:lineRule="auto"/>
        <w:jc w:val="both"/>
        <w:rPr>
          <w:rFonts w:eastAsiaTheme="minorEastAsia" w:cs="Times New Roman"/>
          <w:noProof/>
        </w:rPr>
      </w:pPr>
      <w:r>
        <w:rPr>
          <w:noProof/>
        </w:rPr>
        <w:t>Cilj ukrepov je izboljšati konkurenčnost poslovnih parkov z izboljšanjem povezljivosti njihovega cestnega omrežja, kar prispeva k ponovni industrializaciji podeželskih območij.</w:t>
      </w:r>
    </w:p>
    <w:p w14:paraId="1C3FF6B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naložbe v širitev in nadgradnjo cestne infrastrukture. Dopolnjuje naložbo RE-CCT-C7-I1, katere cilj je posodobiti poslovne parke. </w:t>
      </w:r>
    </w:p>
    <w:p w14:paraId="5CE9812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ta ukrep ne bo bistveno škodoval okoljskim ciljem v smislu člena 17 Uredbe (EU) 2020/852, ob upoštevanju opisa ukrepa in blažilnih ukrepov iz načrta za okrevanje in odpornost v skladu s tehničnimi smernicami, da se ne škoduje bistveno (2021/C58/01). Skladnost z načelom, da se ne škoduje bistveno, se zlasti zagotavlja z naložbo C07-I0 (razširitev omrežja za polnjenje električnih vozil) kot spremljevalni ukrep. Za vsak cestni projekt, ki bi lahko imel znatne negativne vplive na okolje, je treba opraviti presojo vplivov na okolje v skladu z Direktivo 2011/92/EU, da se zagotovi, da je skladnost z načelom, da se ne škoduje bistveno, vključena v projekt in dosledno upoštevana v fazah gradnje, delovanja in razgradnje infrastrukture. </w:t>
      </w:r>
    </w:p>
    <w:p w14:paraId="050BD257" w14:textId="4CB0EAD2" w:rsidR="00F24946" w:rsidRDefault="00613B06">
      <w:pPr>
        <w:pStyle w:val="P68B1DB1-Normal4"/>
        <w:keepNext/>
        <w:spacing w:before="40" w:after="0" w:line="259" w:lineRule="auto"/>
        <w:jc w:val="both"/>
        <w:rPr>
          <w:rFonts w:eastAsiaTheme="minorEastAsia" w:cs="Times New Roman"/>
          <w:noProof/>
        </w:rPr>
      </w:pPr>
      <w:r>
        <w:rPr>
          <w:noProof/>
        </w:rPr>
        <w:t>Od navedenih cest se 42 kilometrov zgradi ali nadgradi:</w:t>
      </w:r>
    </w:p>
    <w:p w14:paraId="3191170B"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z industrijskim parkom Mundão: odprava omejitev iz standarda EN229 Viseu/Sátão; </w:t>
      </w:r>
    </w:p>
    <w:p w14:paraId="262DC6C2"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z industrijskim parkom Mundão: En229 – nekdanji industrijski park Mundão; </w:t>
      </w:r>
    </w:p>
    <w:p w14:paraId="452EB813"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Dostopnost do industrijske cone Riachos; </w:t>
      </w:r>
    </w:p>
    <w:p w14:paraId="2C588233"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Dostop IC8 (Ansião) do poslovnega parka Camporês; </w:t>
      </w:r>
    </w:p>
    <w:p w14:paraId="5A87BB70"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EN10–4: Setúbal/Mitrena; </w:t>
      </w:r>
    </w:p>
    <w:p w14:paraId="242E9A85"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z industrijskim parkom Fontiscos in obnova vozlišča Ermida (Santo Tirso); </w:t>
      </w:r>
    </w:p>
    <w:p w14:paraId="2AEAAA33"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A8 z industrijskim parkom Palhagueiras v Torresu Vedrasu; </w:t>
      </w:r>
    </w:p>
    <w:p w14:paraId="07901DC1"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Povezava A11 z industrijsko cono Cabeça de Porca (Felgueiras);</w:t>
      </w:r>
    </w:p>
    <w:p w14:paraId="3ED22392"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EN114 z industrijsko cono Rio Maior; </w:t>
      </w:r>
    </w:p>
    <w:p w14:paraId="1EAB6332"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Boljši dostop do poslovnega območja Lavagueiras (Castelo de Paiva); </w:t>
      </w:r>
    </w:p>
    <w:p w14:paraId="30092FC2"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Izboljšanje dostopnosti do industrijskega območja Campo Maior;</w:t>
      </w:r>
    </w:p>
    <w:p w14:paraId="6B7A00F6"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Obvoznica EN248 (Arruda dos Vinhos); </w:t>
      </w:r>
    </w:p>
    <w:p w14:paraId="4283D541"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Obvoznica Aljustrela – Izboljšanje dostopa do rudarske in poslovne lokacije; </w:t>
      </w:r>
    </w:p>
    <w:p w14:paraId="5698EA11"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Prek obvoznice EN210 (Celorico de Basto) do Tâmega; </w:t>
      </w:r>
    </w:p>
    <w:p w14:paraId="435864A5"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Povezava IC2 z industrijskim parkom Casarão; </w:t>
      </w:r>
    </w:p>
    <w:p w14:paraId="3119D8F2"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Nov prehod Rio Lime med EN203 – Deocriste in EN202 – Nogueira; </w:t>
      </w:r>
    </w:p>
    <w:p w14:paraId="47A48EEF"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Krožišče EN246 za dostop do industrijske cone Portalegre; </w:t>
      </w:r>
    </w:p>
    <w:p w14:paraId="0F0C4A8F"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Dostop do Aveparka – znanstvenega in tehnološkega parka Taipas (Guimarães); </w:t>
      </w:r>
    </w:p>
    <w:p w14:paraId="6594FA5B" w14:textId="77777777" w:rsidR="00F24946" w:rsidRDefault="00613B06">
      <w:pPr>
        <w:pStyle w:val="P68B1DB1-Normal4"/>
        <w:keepNext/>
        <w:numPr>
          <w:ilvl w:val="0"/>
          <w:numId w:val="24"/>
        </w:numPr>
        <w:spacing w:before="40" w:after="160" w:line="259" w:lineRule="auto"/>
        <w:contextualSpacing/>
        <w:jc w:val="both"/>
        <w:rPr>
          <w:rFonts w:eastAsiaTheme="minorEastAsia" w:cs="Times New Roman"/>
          <w:noProof/>
        </w:rPr>
      </w:pPr>
      <w:r>
        <w:rPr>
          <w:noProof/>
        </w:rPr>
        <w:t>Dostop do industrijske cone Vale do Neiva pri vozlišču A28.</w:t>
      </w:r>
    </w:p>
    <w:p w14:paraId="1F556DE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529BEBFB"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4B27D11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28DDE69"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BF3640">
          <w:headerReference w:type="even" r:id="rId156"/>
          <w:headerReference w:type="default" r:id="rId157"/>
          <w:footerReference w:type="even" r:id="rId158"/>
          <w:footerReference w:type="default" r:id="rId159"/>
          <w:headerReference w:type="first" r:id="rId160"/>
          <w:footerReference w:type="first" r:id="rId161"/>
          <w:type w:val="continuous"/>
          <w:pgSz w:w="11907" w:h="16839" w:code="9"/>
          <w:pgMar w:top="1134" w:right="1134" w:bottom="1134" w:left="1134" w:header="567" w:footer="567" w:gutter="0"/>
          <w:cols w:space="720"/>
          <w:docGrid w:linePitch="360"/>
        </w:sectPr>
      </w:pPr>
    </w:p>
    <w:p w14:paraId="6299134D" w14:textId="7FD7908A"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G.4. Mejniki, cilji, kazalniki in časovni razpored za spremljanje in izvajanje posojila</w:t>
      </w:r>
    </w:p>
    <w:p w14:paraId="2F2CB9FD" w14:textId="77777777" w:rsidR="00F24946" w:rsidRDefault="00F24946">
      <w:pPr>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36A011EF" w14:textId="77777777">
        <w:trPr>
          <w:trHeight w:val="910"/>
          <w:tblHeader/>
        </w:trPr>
        <w:tc>
          <w:tcPr>
            <w:tcW w:w="1135" w:type="dxa"/>
            <w:vMerge w:val="restart"/>
            <w:shd w:val="clear" w:color="auto" w:fill="BDD6EE"/>
            <w:vAlign w:val="center"/>
            <w:hideMark/>
          </w:tcPr>
          <w:p w14:paraId="44FD47D0"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43B8D62C"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24FD2722"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1ED31254"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2272E53A"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vAlign w:val="center"/>
            <w:hideMark/>
          </w:tcPr>
          <w:p w14:paraId="2CD0AB34"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5C44A828"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50F3DE32"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6E3E0C94" w14:textId="77777777">
        <w:trPr>
          <w:trHeight w:val="470"/>
          <w:tblHeader/>
        </w:trPr>
        <w:tc>
          <w:tcPr>
            <w:tcW w:w="1135" w:type="dxa"/>
            <w:vMerge/>
            <w:vAlign w:val="center"/>
            <w:hideMark/>
          </w:tcPr>
          <w:p w14:paraId="35DCDBA3"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74E2BF93"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39DC4F8E" w14:textId="77777777" w:rsidR="00F24946" w:rsidRDefault="00F2494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3E4DCD1"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0DF81CCA"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02752337"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62D4A070"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vAlign w:val="center"/>
            <w:hideMark/>
          </w:tcPr>
          <w:p w14:paraId="121BD005"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50080670"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5EEBE07C"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1A0FE12C" w14:textId="77777777" w:rsidR="00F24946" w:rsidRDefault="00F24946">
            <w:pPr>
              <w:spacing w:after="0" w:line="240" w:lineRule="auto"/>
              <w:rPr>
                <w:rFonts w:ascii="Times New Roman" w:eastAsia="Times New Roman" w:hAnsi="Times New Roman" w:cs="Times New Roman"/>
                <w:b/>
                <w:noProof/>
                <w:sz w:val="18"/>
              </w:rPr>
            </w:pPr>
          </w:p>
        </w:tc>
      </w:tr>
      <w:tr w:rsidR="00F24946" w14:paraId="59915854" w14:textId="77777777">
        <w:trPr>
          <w:trHeight w:val="503"/>
          <w:tblHeader/>
        </w:trPr>
        <w:tc>
          <w:tcPr>
            <w:tcW w:w="1135" w:type="dxa"/>
            <w:shd w:val="clear" w:color="auto" w:fill="C4EFCE"/>
            <w:vAlign w:val="center"/>
            <w:hideMark/>
          </w:tcPr>
          <w:p w14:paraId="01EFD0C3" w14:textId="77777777" w:rsidR="00F24946" w:rsidRDefault="00613B06">
            <w:pPr>
              <w:pStyle w:val="P68B1DB1-Normal7"/>
              <w:spacing w:after="0" w:line="240" w:lineRule="auto"/>
              <w:jc w:val="center"/>
              <w:rPr>
                <w:rFonts w:eastAsia="Times New Roman" w:cs="Calibri"/>
                <w:noProof/>
              </w:rPr>
            </w:pPr>
            <w:r>
              <w:rPr>
                <w:noProof/>
              </w:rPr>
              <w:t>7.9</w:t>
            </w:r>
          </w:p>
        </w:tc>
        <w:tc>
          <w:tcPr>
            <w:tcW w:w="1276" w:type="dxa"/>
            <w:shd w:val="clear" w:color="auto" w:fill="C4EFCE"/>
            <w:noWrap/>
            <w:vAlign w:val="center"/>
            <w:hideMark/>
          </w:tcPr>
          <w:p w14:paraId="68287771" w14:textId="77777777" w:rsidR="00F24946" w:rsidRDefault="00613B06">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737B2981"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6F42995" w14:textId="77777777" w:rsidR="00F24946" w:rsidRDefault="00613B06">
            <w:pPr>
              <w:pStyle w:val="P68B1DB1-Normal8"/>
              <w:spacing w:after="0" w:line="240" w:lineRule="auto"/>
              <w:jc w:val="center"/>
              <w:rPr>
                <w:rFonts w:eastAsia="Times New Roman" w:cs="Calibri"/>
                <w:noProof/>
              </w:rPr>
            </w:pPr>
            <w:r>
              <w:rPr>
                <w:noProof/>
              </w:rPr>
              <w:t>Zaključena prva presoja vplivov na okolje</w:t>
            </w:r>
          </w:p>
        </w:tc>
        <w:tc>
          <w:tcPr>
            <w:tcW w:w="1275" w:type="dxa"/>
            <w:shd w:val="clear" w:color="auto" w:fill="C4EFCE"/>
            <w:noWrap/>
            <w:vAlign w:val="center"/>
            <w:hideMark/>
          </w:tcPr>
          <w:p w14:paraId="6FEC0C5F" w14:textId="77777777" w:rsidR="00F24946" w:rsidRDefault="00613B06">
            <w:pPr>
              <w:pStyle w:val="P68B1DB1-Normal8"/>
              <w:spacing w:after="0" w:line="240" w:lineRule="auto"/>
              <w:jc w:val="center"/>
              <w:rPr>
                <w:rFonts w:eastAsia="Times New Roman" w:cs="Calibri"/>
                <w:noProof/>
              </w:rPr>
            </w:pPr>
            <w:r>
              <w:rPr>
                <w:noProof/>
              </w:rPr>
              <w:t>Zaključek presoje vplivov na okolje</w:t>
            </w:r>
          </w:p>
        </w:tc>
        <w:tc>
          <w:tcPr>
            <w:tcW w:w="993" w:type="dxa"/>
            <w:shd w:val="clear" w:color="auto" w:fill="C4EFCE"/>
            <w:noWrap/>
            <w:vAlign w:val="center"/>
            <w:hideMark/>
          </w:tcPr>
          <w:p w14:paraId="4DA39125"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704235E"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4CD8858"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F45E7A"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58D9453C"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242039D" w14:textId="77777777" w:rsidR="00F24946" w:rsidRDefault="00613B06">
            <w:pPr>
              <w:pStyle w:val="P68B1DB1-Normal8"/>
              <w:spacing w:after="0" w:line="240" w:lineRule="auto"/>
              <w:jc w:val="both"/>
              <w:rPr>
                <w:rFonts w:eastAsia="Times New Roman" w:cs="Calibri"/>
                <w:noProof/>
              </w:rPr>
            </w:pPr>
            <w:r>
              <w:rPr>
                <w:noProof/>
              </w:rPr>
              <w:t>Presoja vplivov enega cestnega projekta na okolje je bila zaključena.</w:t>
            </w:r>
          </w:p>
        </w:tc>
      </w:tr>
      <w:tr w:rsidR="00F24946" w14:paraId="18BA168D" w14:textId="77777777">
        <w:trPr>
          <w:trHeight w:val="420"/>
          <w:tblHeader/>
        </w:trPr>
        <w:tc>
          <w:tcPr>
            <w:tcW w:w="1135" w:type="dxa"/>
            <w:shd w:val="clear" w:color="auto" w:fill="C4EFCE"/>
            <w:vAlign w:val="center"/>
            <w:hideMark/>
          </w:tcPr>
          <w:p w14:paraId="37F6747E" w14:textId="77777777" w:rsidR="00F24946" w:rsidRDefault="00613B06">
            <w:pPr>
              <w:pStyle w:val="P68B1DB1-Normal7"/>
              <w:spacing w:after="0" w:line="240" w:lineRule="auto"/>
              <w:jc w:val="center"/>
              <w:rPr>
                <w:rFonts w:eastAsia="Times New Roman" w:cs="Calibri"/>
                <w:noProof/>
              </w:rPr>
            </w:pPr>
            <w:r>
              <w:rPr>
                <w:noProof/>
              </w:rPr>
              <w:t>7.10</w:t>
            </w:r>
          </w:p>
        </w:tc>
        <w:tc>
          <w:tcPr>
            <w:tcW w:w="1276" w:type="dxa"/>
            <w:shd w:val="clear" w:color="auto" w:fill="C4EFCE"/>
            <w:noWrap/>
            <w:vAlign w:val="center"/>
            <w:hideMark/>
          </w:tcPr>
          <w:p w14:paraId="04DFE7C9" w14:textId="77777777" w:rsidR="00F24946" w:rsidRDefault="00613B06">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1CCBAD9D"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D01E3A" w14:textId="77777777" w:rsidR="00F24946" w:rsidRDefault="00613B06">
            <w:pPr>
              <w:pStyle w:val="P68B1DB1-Normal8"/>
              <w:spacing w:after="0" w:line="240" w:lineRule="auto"/>
              <w:jc w:val="center"/>
              <w:rPr>
                <w:rFonts w:eastAsia="Times New Roman" w:cs="Calibri"/>
                <w:noProof/>
              </w:rPr>
            </w:pPr>
            <w:r>
              <w:rPr>
                <w:noProof/>
              </w:rPr>
              <w:t>Zgrajene ali obnovljene ceste</w:t>
            </w:r>
          </w:p>
        </w:tc>
        <w:tc>
          <w:tcPr>
            <w:tcW w:w="1275" w:type="dxa"/>
            <w:shd w:val="clear" w:color="auto" w:fill="C4EFCE"/>
            <w:noWrap/>
            <w:vAlign w:val="center"/>
            <w:hideMark/>
          </w:tcPr>
          <w:p w14:paraId="672467C4"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ADBC17"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615C227"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BC63F7D" w14:textId="77777777" w:rsidR="00F24946" w:rsidRDefault="00613B06">
            <w:pPr>
              <w:pStyle w:val="P68B1DB1-Normal8"/>
              <w:spacing w:after="0" w:line="240" w:lineRule="auto"/>
              <w:jc w:val="center"/>
              <w:rPr>
                <w:rFonts w:eastAsia="Times New Roman" w:cs="Calibri"/>
                <w:noProof/>
              </w:rPr>
            </w:pPr>
            <w:r>
              <w:rPr>
                <w:noProof/>
              </w:rPr>
              <w:t>30</w:t>
            </w:r>
          </w:p>
        </w:tc>
        <w:tc>
          <w:tcPr>
            <w:tcW w:w="567" w:type="dxa"/>
            <w:shd w:val="clear" w:color="auto" w:fill="C4EFCE"/>
            <w:noWrap/>
            <w:vAlign w:val="center"/>
            <w:hideMark/>
          </w:tcPr>
          <w:p w14:paraId="3F7E78D9"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1EEFFE2"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8DB863F" w14:textId="77777777" w:rsidR="00F24946" w:rsidRDefault="00613B06">
            <w:pPr>
              <w:pStyle w:val="P68B1DB1-Normal8"/>
              <w:spacing w:after="0" w:line="240" w:lineRule="auto"/>
              <w:jc w:val="both"/>
              <w:rPr>
                <w:rFonts w:eastAsia="Times New Roman" w:cs="Calibri"/>
                <w:noProof/>
              </w:rPr>
            </w:pPr>
            <w:r>
              <w:rPr>
                <w:noProof/>
              </w:rPr>
              <w:t>Km cest, zgrajenih ali obnovljenih v skladu s tehničnimi specifikacijami razpisa, ki v celoti vključujejo vse rezultate in pogoje iz presoje vplivov na okolje.</w:t>
            </w:r>
          </w:p>
        </w:tc>
      </w:tr>
      <w:tr w:rsidR="00F24946" w14:paraId="5BBC378C" w14:textId="77777777">
        <w:trPr>
          <w:trHeight w:val="420"/>
          <w:tblHeader/>
        </w:trPr>
        <w:tc>
          <w:tcPr>
            <w:tcW w:w="1135" w:type="dxa"/>
            <w:shd w:val="clear" w:color="auto" w:fill="C4EFCE"/>
            <w:vAlign w:val="center"/>
            <w:hideMark/>
          </w:tcPr>
          <w:p w14:paraId="35FFD5D9" w14:textId="77777777" w:rsidR="00F24946" w:rsidRDefault="00613B06">
            <w:pPr>
              <w:pStyle w:val="P68B1DB1-Normal7"/>
              <w:spacing w:after="0" w:line="240" w:lineRule="auto"/>
              <w:jc w:val="center"/>
              <w:rPr>
                <w:rFonts w:eastAsia="Times New Roman" w:cs="Calibri"/>
                <w:noProof/>
              </w:rPr>
            </w:pPr>
            <w:r>
              <w:rPr>
                <w:noProof/>
              </w:rPr>
              <w:t>7.11</w:t>
            </w:r>
          </w:p>
        </w:tc>
        <w:tc>
          <w:tcPr>
            <w:tcW w:w="1276" w:type="dxa"/>
            <w:shd w:val="clear" w:color="auto" w:fill="C4EFCE"/>
            <w:noWrap/>
            <w:vAlign w:val="center"/>
            <w:hideMark/>
          </w:tcPr>
          <w:p w14:paraId="32BBA945" w14:textId="77777777" w:rsidR="00F24946" w:rsidRDefault="00613B06">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645981D3"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D6599C" w14:textId="77777777" w:rsidR="00F24946" w:rsidRDefault="00613B06">
            <w:pPr>
              <w:pStyle w:val="P68B1DB1-Normal8"/>
              <w:spacing w:after="0" w:line="240" w:lineRule="auto"/>
              <w:jc w:val="center"/>
              <w:rPr>
                <w:rFonts w:eastAsia="Times New Roman" w:cs="Calibri"/>
                <w:noProof/>
              </w:rPr>
            </w:pPr>
            <w:r>
              <w:rPr>
                <w:noProof/>
              </w:rPr>
              <w:t>Podpisana pogodba za 10 cestnih projektov</w:t>
            </w:r>
          </w:p>
        </w:tc>
        <w:tc>
          <w:tcPr>
            <w:tcW w:w="1275" w:type="dxa"/>
            <w:shd w:val="clear" w:color="auto" w:fill="C4EFCE"/>
            <w:noWrap/>
            <w:vAlign w:val="center"/>
            <w:hideMark/>
          </w:tcPr>
          <w:p w14:paraId="3238AD55" w14:textId="77777777" w:rsidR="00F24946" w:rsidRDefault="00613B06">
            <w:pPr>
              <w:pStyle w:val="P68B1DB1-Normal8"/>
              <w:spacing w:after="0" w:line="240" w:lineRule="auto"/>
              <w:jc w:val="center"/>
              <w:rPr>
                <w:rFonts w:eastAsia="Times New Roman" w:cs="Calibri"/>
                <w:noProof/>
              </w:rPr>
            </w:pPr>
            <w:r>
              <w:rPr>
                <w:noProof/>
              </w:rPr>
              <w:t>Pogodba, podpisana z izvajalcem za cestne projekte</w:t>
            </w:r>
          </w:p>
        </w:tc>
        <w:tc>
          <w:tcPr>
            <w:tcW w:w="993" w:type="dxa"/>
            <w:shd w:val="clear" w:color="auto" w:fill="C4EFCE"/>
            <w:noWrap/>
            <w:vAlign w:val="center"/>
            <w:hideMark/>
          </w:tcPr>
          <w:p w14:paraId="435E72CA"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9669237"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F0411DD"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A2E0282" w14:textId="77777777"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42230A0C" w14:textId="77777777" w:rsidR="00F24946" w:rsidRDefault="00613B0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55453983" w14:textId="77777777" w:rsidR="00F24946" w:rsidRDefault="00613B06">
            <w:pPr>
              <w:pStyle w:val="P68B1DB1-Normal8"/>
              <w:spacing w:after="0" w:line="240" w:lineRule="auto"/>
              <w:jc w:val="both"/>
              <w:rPr>
                <w:rFonts w:eastAsia="Times New Roman" w:cs="Calibri"/>
                <w:noProof/>
              </w:rPr>
            </w:pPr>
            <w:r>
              <w:rPr>
                <w:noProof/>
              </w:rPr>
              <w:t>Podpis listine, ki ureja njihove obveznosti v zvezi z izvedbo gradenj, po ceni, s strani strank po postopku javnega razpisa.</w:t>
            </w:r>
          </w:p>
        </w:tc>
      </w:tr>
      <w:tr w:rsidR="00F24946" w14:paraId="10AD745D" w14:textId="77777777">
        <w:trPr>
          <w:trHeight w:val="420"/>
          <w:tblHeader/>
        </w:trPr>
        <w:tc>
          <w:tcPr>
            <w:tcW w:w="1135" w:type="dxa"/>
            <w:shd w:val="clear" w:color="auto" w:fill="C4EFCE"/>
            <w:vAlign w:val="center"/>
            <w:hideMark/>
          </w:tcPr>
          <w:p w14:paraId="5EABD158" w14:textId="77777777" w:rsidR="00F24946" w:rsidRDefault="00613B06">
            <w:pPr>
              <w:pStyle w:val="P68B1DB1-Normal7"/>
              <w:spacing w:after="0" w:line="240" w:lineRule="auto"/>
              <w:jc w:val="center"/>
              <w:rPr>
                <w:rFonts w:eastAsia="Times New Roman" w:cs="Calibri"/>
                <w:noProof/>
              </w:rPr>
            </w:pPr>
            <w:r>
              <w:rPr>
                <w:noProof/>
              </w:rPr>
              <w:t>7.12</w:t>
            </w:r>
          </w:p>
        </w:tc>
        <w:tc>
          <w:tcPr>
            <w:tcW w:w="1276" w:type="dxa"/>
            <w:shd w:val="clear" w:color="auto" w:fill="C4EFCE"/>
            <w:noWrap/>
            <w:vAlign w:val="center"/>
            <w:hideMark/>
          </w:tcPr>
          <w:p w14:paraId="008B14DC" w14:textId="77777777" w:rsidR="00F24946" w:rsidRDefault="00613B06">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72ABE102"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6E4068F" w14:textId="77777777" w:rsidR="00F24946" w:rsidRDefault="00613B06">
            <w:pPr>
              <w:pStyle w:val="P68B1DB1-Normal8"/>
              <w:spacing w:after="0" w:line="240" w:lineRule="auto"/>
              <w:jc w:val="center"/>
              <w:rPr>
                <w:rFonts w:eastAsia="Times New Roman" w:cs="Calibri"/>
                <w:noProof/>
              </w:rPr>
            </w:pPr>
            <w:r>
              <w:rPr>
                <w:noProof/>
              </w:rPr>
              <w:t>Zgrajene ali obnovljene ceste</w:t>
            </w:r>
          </w:p>
        </w:tc>
        <w:tc>
          <w:tcPr>
            <w:tcW w:w="1275" w:type="dxa"/>
            <w:shd w:val="clear" w:color="auto" w:fill="C4EFCE"/>
            <w:noWrap/>
            <w:vAlign w:val="center"/>
            <w:hideMark/>
          </w:tcPr>
          <w:p w14:paraId="34DC727E"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8211DC0"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97EF748"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6E18FA0" w14:textId="77777777" w:rsidR="00F24946" w:rsidRDefault="00613B06">
            <w:pPr>
              <w:pStyle w:val="P68B1DB1-Normal8"/>
              <w:spacing w:after="0" w:line="240" w:lineRule="auto"/>
              <w:jc w:val="center"/>
              <w:rPr>
                <w:rFonts w:eastAsia="Times New Roman" w:cs="Calibri"/>
                <w:noProof/>
              </w:rPr>
            </w:pPr>
            <w:r>
              <w:rPr>
                <w:noProof/>
              </w:rPr>
              <w:t>42</w:t>
            </w:r>
          </w:p>
        </w:tc>
        <w:tc>
          <w:tcPr>
            <w:tcW w:w="567" w:type="dxa"/>
            <w:shd w:val="clear" w:color="auto" w:fill="C4EFCE"/>
            <w:noWrap/>
            <w:vAlign w:val="center"/>
            <w:hideMark/>
          </w:tcPr>
          <w:p w14:paraId="664FBA60"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BADD922"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6FA22C" w14:textId="77777777" w:rsidR="00F24946" w:rsidRDefault="00613B06">
            <w:pPr>
              <w:pStyle w:val="P68B1DB1-Normal8"/>
              <w:spacing w:after="0" w:line="240" w:lineRule="auto"/>
              <w:jc w:val="both"/>
              <w:rPr>
                <w:rFonts w:eastAsia="Times New Roman" w:cs="Calibri"/>
                <w:noProof/>
              </w:rPr>
            </w:pPr>
            <w:r>
              <w:rPr>
                <w:noProof/>
              </w:rPr>
              <w:t>Km cest, zgrajenih ali obnovljenih v skladu s tehničnimi specifikacijami razpisa, ki v celoti vključujejo vse rezultate in pogoje iz presoje vplivov na okolje.</w:t>
            </w:r>
          </w:p>
        </w:tc>
      </w:tr>
    </w:tbl>
    <w:p w14:paraId="7B849270" w14:textId="77777777" w:rsidR="00F24946" w:rsidRDefault="00F24946">
      <w:pPr>
        <w:spacing w:before="40" w:after="0" w:line="259" w:lineRule="auto"/>
        <w:jc w:val="both"/>
        <w:rPr>
          <w:rFonts w:ascii="Times New Roman" w:eastAsiaTheme="minorEastAsia" w:hAnsi="Times New Roman" w:cs="Times New Roman"/>
          <w:noProof/>
          <w:sz w:val="24"/>
        </w:rPr>
      </w:pPr>
    </w:p>
    <w:p w14:paraId="29354AB7" w14:textId="77777777" w:rsidR="00F24946" w:rsidRDefault="00F24946">
      <w:pPr>
        <w:spacing w:before="40" w:after="0" w:line="259" w:lineRule="auto"/>
        <w:jc w:val="both"/>
        <w:rPr>
          <w:rFonts w:ascii="Times New Roman" w:eastAsiaTheme="minorEastAsia" w:hAnsi="Times New Roman" w:cs="Times New Roman"/>
          <w:noProof/>
          <w:sz w:val="24"/>
        </w:rPr>
      </w:pPr>
    </w:p>
    <w:p w14:paraId="179A26C8" w14:textId="77777777" w:rsidR="00F24946" w:rsidRDefault="00F24946">
      <w:pPr>
        <w:spacing w:before="40" w:after="0" w:line="259" w:lineRule="auto"/>
        <w:jc w:val="both"/>
        <w:rPr>
          <w:rFonts w:ascii="Times New Roman" w:eastAsiaTheme="minorEastAsia" w:hAnsi="Times New Roman" w:cs="Times New Roman"/>
          <w:noProof/>
          <w:sz w:val="24"/>
        </w:rPr>
        <w:sectPr w:rsidR="00F24946" w:rsidSect="00FD562E">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134" w:right="1134" w:bottom="1134" w:left="1134" w:header="567" w:footer="567" w:gutter="0"/>
          <w:cols w:space="720"/>
          <w:docGrid w:linePitch="360"/>
        </w:sectPr>
      </w:pPr>
    </w:p>
    <w:p w14:paraId="77E856F9" w14:textId="214EB4BC"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H. KOMPONENTA 8: Gozdovi</w:t>
      </w:r>
    </w:p>
    <w:p w14:paraId="275D788F"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Komponenta obravnava naslednje izzive: socialno-ekonomski in demografski upad na podeželskih območjih, obstoj obsežnih območij brez aktivnega upravljanja za preprečevanje požarov ali zaščito biotske raznovrstnosti ter zelo razdrobljeno zasebno lastništvo zemljišč. Odseljevanje prebivalstva v velika mestna središča in postopno staranje podeželskega prebivalstva sta povzročila opuščanje podeželskih območij in tradicionalnih primarnih gospodarskih sektorjev. To je privedlo do postopne širitve nenačrtovanih in neupravljanih gozdnih območij z visoko koncentracijo obremenitve z gorivom. Ta območja so močno izpostavljena nevarnosti požarov na podeželju, ki lahko povzročijo izgubo človeških življenj, obsežno škodo na zemljiščih in premoženju ter uničenje gozdov ter blaga in storitev, ki jih proizvajajo. Portugalska je država južne Evrope z največjim deležem požganih površin na podeželskih območjih in največjim povprečnim številom požarov. Po podatkih Evropskega informacijskega sistema za gozdne požare (EFFIS) je bilo med letoma 2015 in 2019 povprečno požganih približno 169000 hektarov letno. </w:t>
      </w:r>
    </w:p>
    <w:p w14:paraId="47E6C138"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Cilji te komponente so: </w:t>
      </w:r>
    </w:p>
    <w:p w14:paraId="7A8F4ED1" w14:textId="6664DD94"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spodbujati dejavno načrtovanje in upravljanje ranljivih kmetijskih in gozdarskih zemljišč z visoko okoljsko vrednostjo; </w:t>
      </w:r>
    </w:p>
    <w:p w14:paraId="66CFA115"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zaščititi biotsko raznovrstnost s podpiranjem obnove kmetijskih in gozdarskih ekosistemov, zlasti na požganih območjih; </w:t>
      </w:r>
    </w:p>
    <w:p w14:paraId="466397E4"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prispevati k teritorialni koheziji in ustvarjanju delovnih mest z oživitvijo gospodarskih dejavnosti podeželskih območij; in </w:t>
      </w:r>
    </w:p>
    <w:p w14:paraId="75C6E9EE" w14:textId="77777777" w:rsidR="00F24946" w:rsidRDefault="00613B06">
      <w:pPr>
        <w:pStyle w:val="P68B1DB1-Normal4"/>
        <w:keepNext/>
        <w:numPr>
          <w:ilvl w:val="0"/>
          <w:numId w:val="25"/>
        </w:numPr>
        <w:spacing w:before="40" w:after="160" w:line="259" w:lineRule="auto"/>
        <w:contextualSpacing/>
        <w:jc w:val="both"/>
        <w:rPr>
          <w:rFonts w:eastAsiaTheme="minorEastAsia" w:cs="Times New Roman"/>
          <w:noProof/>
        </w:rPr>
      </w:pPr>
      <w:r>
        <w:rPr>
          <w:noProof/>
        </w:rPr>
        <w:t>povečati odpornost teh ozemelj z zmanjšanjem nevarnosti požarov z uspešnim in učinkovitim preprečevanjem požarov, v primeru požarov pa z zmanjševanjem škode z uspešnim in učinkovitim gašenjem požarov.</w:t>
      </w:r>
    </w:p>
    <w:p w14:paraId="6B094313" w14:textId="77777777" w:rsidR="00F24946" w:rsidRDefault="00613B06">
      <w:pPr>
        <w:pStyle w:val="P68B1DB1-Normal4"/>
        <w:keepNext/>
        <w:spacing w:before="40" w:after="0" w:line="259" w:lineRule="auto"/>
        <w:jc w:val="both"/>
        <w:rPr>
          <w:rFonts w:eastAsiaTheme="minorEastAsia" w:cs="Times New Roman"/>
          <w:noProof/>
        </w:rPr>
      </w:pPr>
      <w:r>
        <w:rPr>
          <w:noProof/>
        </w:rPr>
        <w:t>Komponenta prispeva k obravnavi priporočila za posamezne države o izboljšanju kakovosti javnih financ z dajanjem prednosti porabi, ki spodbuja rast (priporočilo za posamezno državo št. 1 iz leta 2019). Javna poraba, povezana z nadgradnjo registra podeželskih nepremičnin, bi spodbudila njihovo ustrezno upravljanje in po možnosti povečala dinamičnost gospodarske dejavnosti na podeželskih območjih. Poleg tega komponenta pomembno prispeva k obravnavi priporočil za posamezne države o osredotočanju naložb na zeleni in digitalni prehod ob upoštevanju regionalnih razlik (priporočilo za posamezne države št. 3 iz leta 2019 in priporočilo za posamezno državo št. 3 2020).</w:t>
      </w:r>
    </w:p>
    <w:p w14:paraId="5D5F143B" w14:textId="77777777" w:rsidR="00F24946" w:rsidRDefault="00613B06">
      <w:pPr>
        <w:pStyle w:val="P68B1DB1-Normal4"/>
        <w:keepNext/>
        <w:spacing w:before="40" w:after="0" w:line="259" w:lineRule="auto"/>
        <w:jc w:val="both"/>
        <w:rPr>
          <w:rFonts w:eastAsiaTheme="minorEastAsia" w:cs="Times New Roman"/>
          <w:noProof/>
        </w:rPr>
      </w:pPr>
      <w:r>
        <w:rPr>
          <w:noProof/>
        </w:rPr>
        <w:t>Ta komponenta naj bi prispevala k zelenemu in digitalnemu prehodu. Kar zadeva zeleno razsežnost, komponenta neposredno prispeva k prilagajanju podnebnim spremembam, saj je njen cilj povečati odpornost podeželskih območij na požare. Poleg tega dejavno trajnostno upravljanje teh ozemelj prispeva k preprečevanju erozije tal, nadzoru invazivnih vrst in škodljivih organizmov ter sekvestraciji ogljika v gozdovih. Kar zadeva digitalno razsežnost, so poudarjeni načrtovani ukrepi za katastrski sistem lastništva zemljišč, sistem za spremljanje pokrovnosti tal (SMOS), vključno z LiDAR (Light Detection and Ranging), in satelitski posnetki visoke ločljivosti, saj spodbujajo e-upravo in digitalne javne storitve.</w:t>
      </w:r>
    </w:p>
    <w:p w14:paraId="2397FDAB" w14:textId="5B73F43F"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0A6E08A8" w14:textId="3A4EBA7F" w:rsidR="00F24946" w:rsidRDefault="00F24946">
      <w:pPr>
        <w:keepNext/>
        <w:spacing w:before="40" w:after="0" w:line="259" w:lineRule="auto"/>
        <w:jc w:val="both"/>
        <w:rPr>
          <w:rFonts w:ascii="Times New Roman" w:eastAsiaTheme="minorEastAsia" w:hAnsi="Times New Roman" w:cs="Times New Roman"/>
          <w:noProof/>
          <w:sz w:val="24"/>
        </w:rPr>
      </w:pPr>
    </w:p>
    <w:p w14:paraId="79556D14" w14:textId="5D469B64" w:rsidR="00F24946" w:rsidRDefault="00F24946">
      <w:pPr>
        <w:keepNext/>
        <w:spacing w:before="40" w:after="0" w:line="259" w:lineRule="auto"/>
        <w:jc w:val="both"/>
        <w:rPr>
          <w:rFonts w:ascii="Times New Roman" w:eastAsiaTheme="minorEastAsia" w:hAnsi="Times New Roman" w:cs="Times New Roman"/>
          <w:noProof/>
          <w:sz w:val="24"/>
        </w:rPr>
      </w:pPr>
    </w:p>
    <w:p w14:paraId="78C4205E"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18EB419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14412298"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H.1. Opis reform in naložb za nepovratno finančno podporo</w:t>
      </w:r>
    </w:p>
    <w:p w14:paraId="21D8CCAE"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 xml:space="preserve">Reforma RE-r19: Preoblikovanje krajine na ranljivih gozdnih območjih </w:t>
      </w:r>
    </w:p>
    <w:p w14:paraId="1530F02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preoblikovati krajino ranljivih gozdnih območij z obsežnimi območji neupravljanih monokultur in visokim tveganjem požarov, da bi preprečili požare na podeželju ter povečali podnebno in gospodarsko odpornost. </w:t>
      </w:r>
    </w:p>
    <w:p w14:paraId="117AB455"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reforma se izvaja z naložbo RE-C08-i01 (krajinsko preoblikovanje na ranljivih gozdnih območjih). Reforma je sestavljena iz štirih ukrepov, ki se medsebojno dopolnjujejo in so opisani v nadaljevanju: </w:t>
      </w:r>
    </w:p>
    <w:p w14:paraId="2B64ED62" w14:textId="2E148AA3" w:rsidR="00F24946" w:rsidRDefault="00613B06">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programi načrtovanja in upravljanja (PRGP); </w:t>
      </w:r>
    </w:p>
    <w:p w14:paraId="59F38D89" w14:textId="240A2AF0" w:rsidR="00F24946" w:rsidRDefault="00613B06">
      <w:pPr>
        <w:pStyle w:val="P68B1DB1-Normal4"/>
        <w:keepNext/>
        <w:numPr>
          <w:ilvl w:val="0"/>
          <w:numId w:val="26"/>
        </w:numPr>
        <w:spacing w:before="40" w:after="160" w:line="259" w:lineRule="auto"/>
        <w:contextualSpacing/>
        <w:jc w:val="both"/>
        <w:rPr>
          <w:rFonts w:eastAsiaTheme="minorEastAsia" w:cs="Times New Roman"/>
          <w:noProof/>
        </w:rPr>
      </w:pPr>
      <w:r>
        <w:rPr>
          <w:noProof/>
        </w:rPr>
        <w:t>območje integriranega upravljanja krajine;</w:t>
      </w:r>
    </w:p>
    <w:p w14:paraId="6F899ECD" w14:textId="77777777" w:rsidR="00F24946" w:rsidRDefault="00613B06">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celostni podporni program za podeželske vasi na gozdnih območjih (Village Gated Community); in </w:t>
      </w:r>
    </w:p>
    <w:p w14:paraId="0D9E1D1B" w14:textId="77777777" w:rsidR="00F24946" w:rsidRDefault="00613B06">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program </w:t>
      </w:r>
      <w:r>
        <w:rPr>
          <w:i/>
          <w:noProof/>
        </w:rPr>
        <w:t>Emparcelar para</w:t>
      </w:r>
      <w:r>
        <w:rPr>
          <w:noProof/>
        </w:rPr>
        <w:t xml:space="preserve"> Ordenar. </w:t>
      </w:r>
    </w:p>
    <w:p w14:paraId="05CF4764" w14:textId="77777777" w:rsidR="00F24946" w:rsidRDefault="00613B06">
      <w:pPr>
        <w:pStyle w:val="P68B1DB1-Normal4"/>
        <w:keepNext/>
        <w:spacing w:before="40" w:after="0" w:line="259" w:lineRule="auto"/>
        <w:jc w:val="both"/>
        <w:rPr>
          <w:rFonts w:eastAsiaTheme="minorEastAsia" w:cs="Times New Roman"/>
          <w:noProof/>
        </w:rPr>
      </w:pPr>
      <w:r>
        <w:rPr>
          <w:noProof/>
        </w:rPr>
        <w:t>Reforma nadgrajuje in podpira program krajinske preobrazbe (Program</w:t>
      </w:r>
      <w:r>
        <w:rPr>
          <w:i/>
          <w:noProof/>
        </w:rPr>
        <w:t>de Transformação da paisagem</w:t>
      </w:r>
      <w:r>
        <w:rPr>
          <w:noProof/>
        </w:rPr>
        <w:t xml:space="preserve"> – PTP) s potrebnim pravnim okvirom. Ta pravni okvir vključuje vsaj zakonodajo za spreminjanje krajine s programi načrtovanja in upravljanja krajine ter integriranimi območji upravljanja krajine, zakonodajo, namenjeno odobritvi razmejitve ranljivih območij, za katera se lahko uporabljajo programi prostorskega načrtovanja in upravljanja ter območja celostnega upravljanja krajine, ter zakonodajo o obvezni zemljiški posesti na gozdnih območjih.</w:t>
      </w:r>
    </w:p>
    <w:p w14:paraId="7BF26BBD" w14:textId="77777777" w:rsidR="00F24946" w:rsidRDefault="00613B06">
      <w:pPr>
        <w:pStyle w:val="P68B1DB1-Normal4"/>
        <w:keepNext/>
        <w:spacing w:after="0" w:line="259" w:lineRule="auto"/>
        <w:jc w:val="both"/>
        <w:rPr>
          <w:rFonts w:eastAsiaTheme="minorEastAsia" w:cs="Times New Roman"/>
          <w:noProof/>
        </w:rPr>
      </w:pPr>
      <w:r>
        <w:rPr>
          <w:noProof/>
        </w:rPr>
        <w:t xml:space="preserve">Reforma se izvede do 30. septembra 2021. </w:t>
      </w:r>
    </w:p>
    <w:p w14:paraId="1E1C3C81"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RE-r20: Reorganizacija sistema zemljiške knjige in sistema za spremljanje pokrovnosti tal</w:t>
      </w:r>
    </w:p>
    <w:p w14:paraId="3C49EAAB" w14:textId="77777777" w:rsidR="00F24946" w:rsidRDefault="00613B06">
      <w:pPr>
        <w:pStyle w:val="P68B1DB1-Normal4"/>
        <w:keepNext/>
        <w:spacing w:before="40" w:after="0" w:line="259" w:lineRule="auto"/>
        <w:jc w:val="both"/>
        <w:rPr>
          <w:rFonts w:eastAsiaTheme="minorEastAsia" w:cs="Times New Roman"/>
          <w:noProof/>
        </w:rPr>
      </w:pPr>
      <w:r>
        <w:rPr>
          <w:noProof/>
        </w:rPr>
        <w:t>Cilj tega ukrepa je odpraviti neobstoj večfunkcionalne zemljiške knjige z uvedbo in razvojem sistema za ugotavljanje in preverjanje meja lastništva zemljišč ter poznejšo registracijo lastništva zemljišč. To bo omogočilo skladen, posodobljen in celosten pogled na ozemlje, ki bo povečalo vrednost zemljišč za lastnike zemljišč in državi omogočilo, da razvije konkretne, trajnostne in večsektorske javne politike.</w:t>
      </w:r>
    </w:p>
    <w:p w14:paraId="7ABC78BC" w14:textId="760D1E29" w:rsidR="00F24946" w:rsidRDefault="00613B06">
      <w:pPr>
        <w:pStyle w:val="P68B1DB1-Normal4"/>
        <w:keepNext/>
        <w:spacing w:before="40" w:after="0" w:line="259" w:lineRule="auto"/>
        <w:jc w:val="both"/>
        <w:rPr>
          <w:rFonts w:eastAsiaTheme="minorEastAsia" w:cs="Times New Roman"/>
          <w:noProof/>
        </w:rPr>
      </w:pPr>
      <w:r>
        <w:rPr>
          <w:noProof/>
        </w:rPr>
        <w:t>Reforma vključuje začetek delovanja sistema za spremljanje pokrovnosti tal (SMOS) in razvoj platforme BUPi (digitalna zemljiška knjiga), fizičnega in virtualnega števca z georeferenciranimi informacijami o nepremičninah, ki združuje informacije, potrebne za njihovo registracijo, in olajšuje interakcijo državljanov z javno upravo v okviru zemljiške knjige. Reforma vzpostavlja tudi potreben pravni okvir za operacionalizacijo naložb RE-C08-i02: Zemljiško knjigo na podeželju in sistem za spremljanje pokrovnosti tal. Reforma vključuje:</w:t>
      </w:r>
    </w:p>
    <w:p w14:paraId="2B70C39A"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sprejetje zakona o vzpostavitvi strukture misij za razširitev poenostavljenega katastrskega informacijskega sistema, javnega subjekta, ki spremlja širitev poenostavljenega nacionalnega katastrskega informacijskega sistema in razvoj platforme BUPi; </w:t>
      </w:r>
    </w:p>
    <w:p w14:paraId="200CB5CD"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sprejetje akta o vzpostavitvi sistema delovanja in financiranja modela za organizacijo in razvoj poenostavljenega katastrskega informacijskega sistema; </w:t>
      </w:r>
    </w:p>
    <w:p w14:paraId="22A73E8F" w14:textId="704AFECE"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sprejetje zakona o odobritvi pravne ureditve zemljiške knjige, vzpostavitvi nacionalnega sistema katastrskega informacijskega sistema, sestavljenega s poenostavljenim katastrskim informacijskim sistemom, in vključitvijo katastrske listine kot nacionalne karte zemljišč v zemljiški knjigi;</w:t>
      </w:r>
    </w:p>
    <w:p w14:paraId="0517B990"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sprejetje pravnega akta o spremembi uredbe št. 9-A/2017 z dne 3. novembra 2017</w:t>
      </w:r>
      <w:r>
        <w:rPr>
          <w:noProof/>
        </w:rPr>
        <w:footnoteReference w:id="39"/>
      </w:r>
      <w:r>
        <w:rPr>
          <w:noProof/>
        </w:rPr>
        <w:t>, ki pojasnjuje delovanje poenostavljenega katastrskega informacijskega sistema in platforme BUPi, s katerim so bili sprejeti ukrepi za takojšnjo identifikacijo strukture zemljišč ter lastništva kmetijskih in mešanih zemljišč; in</w:t>
      </w:r>
    </w:p>
    <w:p w14:paraId="15E59400"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priprava predloga zakona o vzpostavitvi izrednega sistema za registracijo podeželskih zemljišč in spremembi zakonika o zemljiški knjigi (CRP).</w:t>
      </w:r>
    </w:p>
    <w:p w14:paraId="236B79E0"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decembra 2022.</w:t>
      </w:r>
    </w:p>
    <w:p w14:paraId="6D2F50DA"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Reforma RE-r21: Preprečevanje požarov na podeželju in boj proti njim</w:t>
      </w:r>
    </w:p>
    <w:p w14:paraId="4B3DAA2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povečati preprečevanje požarov na podeželju in izboljšati boj proti njim z vzpostavitvijo primarne mreže prekinitev upravljanja goriva in okrepitvijo subjektov, odgovornih za obvladovanje požarov na podeželju in zaščito pred njimi. </w:t>
      </w:r>
    </w:p>
    <w:p w14:paraId="17B5E78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Reformo sestavljajo:  </w:t>
      </w:r>
    </w:p>
    <w:p w14:paraId="3880BAFB"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sprejetje akta o odobritvi nacionalnega načrta za integrirano upravljanje gozdnih požarov na podeželju (PNGIFR); </w:t>
      </w:r>
    </w:p>
    <w:p w14:paraId="3D91EFD9"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sprejetje zakona o vzpostavitvi integriranega sistema upravljanja požarov na podeželju (SIGIFR); in </w:t>
      </w:r>
    </w:p>
    <w:p w14:paraId="22AB284F" w14:textId="77777777" w:rsidR="00F24946" w:rsidRDefault="00613B06">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sprejetje akta o odobritvi nacionalnega akcijskega programa nacionalnega načrta za integrirano upravljanje požarov na podeželju. </w:t>
      </w:r>
    </w:p>
    <w:p w14:paraId="1B361553" w14:textId="49B20966" w:rsidR="00F24946" w:rsidRDefault="00613B06">
      <w:pPr>
        <w:pStyle w:val="P68B1DB1-Normal4"/>
        <w:keepNext/>
        <w:spacing w:before="40" w:after="0" w:line="259" w:lineRule="auto"/>
        <w:jc w:val="both"/>
        <w:rPr>
          <w:rFonts w:eastAsiaTheme="minorEastAsia" w:cs="Times New Roman"/>
          <w:noProof/>
        </w:rPr>
      </w:pPr>
      <w:r>
        <w:rPr>
          <w:noProof/>
        </w:rPr>
        <w:t xml:space="preserve">Integrirani sistem upravljanja požarov na podeželju (SIGIFR) na nacionalni ravni zagotavlja makropolitike in strateške smernice, ki prispevajo k zmanjšanju tveganja požarov na podeželju in spremembi vedenja lastnikov, uporabnikov ter neposrednih in posrednih upravičencev podeželskega ozemlja. V sistemu se opredelijo modeli medresorskega usklajevanja, pri čemer se razmejijo pristojnosti in področje delovanja vsakega subjekta v okviru SIGIFR, z večjo odgovornostjo različnih akterjev v postopku odločanja. Določa model upravljanja, spremljanja in ocenjevanja, ki prispeva k stalnemu izboljševanju javnih politik in programov. </w:t>
      </w:r>
    </w:p>
    <w:p w14:paraId="04DCD497" w14:textId="77777777" w:rsidR="00F24946" w:rsidRDefault="00613B06">
      <w:pPr>
        <w:pStyle w:val="P68B1DB1-Normal4"/>
        <w:keepNext/>
        <w:spacing w:before="40" w:after="0" w:line="259" w:lineRule="auto"/>
        <w:jc w:val="both"/>
        <w:rPr>
          <w:rFonts w:eastAsiaTheme="minorEastAsia" w:cs="Times New Roman"/>
          <w:noProof/>
        </w:rPr>
      </w:pPr>
      <w:r>
        <w:rPr>
          <w:noProof/>
        </w:rPr>
        <w:t>Vzpostavi se informacijski sistem za požare na podeželju za združevanje in razširjanje vseh ustreznih tehničnih informacij iz SIGIFR. Poleg tega opredeli model, ki temelji na preprečevanju in zmanjševanju tveganj, bodisi z dejavnostmi ozaveščanja bodisi z vzpostavitvijo regionalnih obrambnih omrežij, v katerih ima upravljanje goriva vodilno vlogo v sistemu sankcij.</w:t>
      </w:r>
    </w:p>
    <w:p w14:paraId="26D46A9E"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30. septembra 2021.</w:t>
      </w:r>
    </w:p>
    <w:p w14:paraId="3E0AE6FF"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RE-C08-i01: Preoblikovanje krajine na ranljivih gozdnih območjih</w:t>
      </w:r>
    </w:p>
    <w:p w14:paraId="434C95EF" w14:textId="77777777" w:rsidR="00F24946" w:rsidRDefault="00613B06">
      <w:pPr>
        <w:pStyle w:val="P68B1DB1-Normal4"/>
        <w:keepNext/>
        <w:spacing w:before="40" w:after="0" w:line="259" w:lineRule="auto"/>
        <w:jc w:val="both"/>
        <w:rPr>
          <w:rFonts w:eastAsiaTheme="minorEastAsia" w:cs="Times New Roman"/>
          <w:noProof/>
        </w:rPr>
      </w:pPr>
      <w:r>
        <w:rPr>
          <w:noProof/>
        </w:rPr>
        <w:t>Cilja tega ukrepa sta povečati odpornost ranljivih območij na tveganja, povezana s podnebnimi spremembami, zlasti požari na podeželju in izgubo biotske raznovrstnosti, ter spodbujati trajnostno rast in teritorialno kohezijo. Ti cilji se dosežejo s preoblikovanjem krajine, povečanjem povprečne velikosti kmetijskih zemljišč, spremembo rabe zemljišč in načrtovanjem novih gospodarskih dejavnosti.</w:t>
      </w:r>
    </w:p>
    <w:p w14:paraId="6C20CEB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naložba je sestavljena iz naslednjih programov: </w:t>
      </w:r>
    </w:p>
    <w:p w14:paraId="41A7E521" w14:textId="77777777" w:rsidR="00F24946" w:rsidRDefault="00613B06">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programe prostorskega načrtovanja in upravljanja, ki bodo zasnovali zaželeno krajino in opredelili srednje- do dolgoročno prehodno matriko, podprto z modelom financiranja, ki zagotavlja njegovo izvajanje; </w:t>
      </w:r>
    </w:p>
    <w:p w14:paraId="2E501077" w14:textId="077FC262" w:rsidR="00F24946" w:rsidRDefault="00613B06">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območja integriranega upravljanja krajine, ki povečujejo velikost upravljanega gozdnega območja, povzročajo prekinitve na obsežnih območjih pomorskih monokulterjev in evkaliptusov ter zagotavljajo nadomestitev območij evkaliptusa z drugimi vrstami, zlasti avtohtonimi vrstami, da se doseže obseg, ki spodbuja odpornost proti požarom in valorizacijo naravnega kapitala ter ustvarijo potrebne pogoje za razvoj operacij celostnega upravljanja krajine, ki opredeljujejo načrtovanje intervencij, model delovanja, finančna sredstva, ki jih je treba dodeliti, ter sistem upravljanja in spremljanja; </w:t>
      </w:r>
    </w:p>
    <w:p w14:paraId="6E47BE1A" w14:textId="77777777" w:rsidR="00F24946" w:rsidRDefault="00613B06">
      <w:pPr>
        <w:pStyle w:val="P68B1DB1-Normal4"/>
        <w:keepNext/>
        <w:numPr>
          <w:ilvl w:val="0"/>
          <w:numId w:val="36"/>
        </w:numPr>
        <w:spacing w:before="40" w:after="160" w:line="259" w:lineRule="auto"/>
        <w:contextualSpacing/>
        <w:jc w:val="both"/>
        <w:rPr>
          <w:rFonts w:eastAsiaTheme="minorEastAsia" w:cs="Times New Roman"/>
          <w:noProof/>
        </w:rPr>
      </w:pPr>
      <w:r>
        <w:rPr>
          <w:noProof/>
        </w:rPr>
        <w:t>celostni podporni program za podeželske vasi na gozdnih območjih, ki podpira sklop ukrepov za zagotovitev spremembe rabe in uporabe zemljišč ter upravljanja z gorivom okoli podeželskih vasi; in</w:t>
      </w:r>
    </w:p>
    <w:p w14:paraId="5154E281" w14:textId="7B63E210" w:rsidR="00F24946" w:rsidRDefault="00613B06">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program </w:t>
      </w:r>
      <w:r>
        <w:rPr>
          <w:i/>
          <w:noProof/>
        </w:rPr>
        <w:t>Emparcelar para</w:t>
      </w:r>
      <w:r>
        <w:rPr>
          <w:noProof/>
        </w:rPr>
        <w:t xml:space="preserve"> Ordenar, ki bo povečal povprečno velikost podeželskega posestva ter tako prispeval k sposobnosti preživetja in gospodarski trajnosti kmetij, ki so ali bodo tam nameščene.</w:t>
      </w:r>
    </w:p>
    <w:p w14:paraId="408260D4"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30. septembra 2025. </w:t>
      </w:r>
    </w:p>
    <w:p w14:paraId="64C9896B"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RE-C08-i02: Zemljiška knjiga in sistem za spremljanje pokrovnosti tal</w:t>
      </w:r>
    </w:p>
    <w:p w14:paraId="22A9B6FF" w14:textId="77777777" w:rsidR="00F24946" w:rsidRDefault="00613B06">
      <w:pPr>
        <w:pStyle w:val="P68B1DB1-Normal4"/>
        <w:keepNext/>
        <w:spacing w:before="40" w:after="0" w:line="259" w:lineRule="auto"/>
        <w:jc w:val="both"/>
        <w:rPr>
          <w:rFonts w:eastAsiaTheme="minorEastAsia" w:cs="Times New Roman"/>
          <w:noProof/>
        </w:rPr>
      </w:pPr>
      <w:r>
        <w:rPr>
          <w:noProof/>
        </w:rPr>
        <w:t>Cilj tega ukrepa je Portugalski državi zagotoviti bazo znanja o</w:t>
      </w:r>
      <w:r>
        <w:rPr>
          <w:noProof/>
          <w:bdr w:val="none" w:sz="0" w:space="0" w:color="auto" w:frame="1"/>
        </w:rPr>
        <w:t xml:space="preserve">cestah na ozemlju, zlasti glede vrste in meja podeželskih nepremičnin, kar omogoča identifikacijo lastnikov zemljišč. To je bistveno za načrtovanje, upravljanje in podpiranje odločitev o zasedbi in uporabi ozemlja. </w:t>
      </w:r>
    </w:p>
    <w:p w14:paraId="63DE2868" w14:textId="6BEEED40"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razvoj platforme BUPi in pripravo referenčnega kartiranja za sistem za spremljanje pokrovnosti tal (SMOS), vključno z digitalno tridimenzionalno predstavitvijo zemljišča s pokritostjo z zaznavanjem in območjem svetlobe (LiDAR), zemljevidi vegetacije, kartami količine biomase in lesa, zemljevidi pokrovnosti in uporabe zemljišč ter pokritostjo satelitskih posnetkov. Ti ukrepi se dopolnjujejo in omogočajo popolno operacionalizacijo platforme BUPi, hkrati pa zagotavljajo interoperabilnost vseh različnih vzpostavljenih informacijskih sistemov, povezanih s katastrsko geometrijo, zemljiško knjigo in davčnimi matrikami, ki jih trenutno upravljajo različni organi, vključno s prisilnim in carinskim organom, Inštitutom za registracijo in notarske zadeve ter generalnim direktoratom za ozemlje. Državljani, podjetja in vsi javni organi pridobijo enotno identifikacijsko številko za svoje nepremičnine, vključno z informacijami o njihovih mejah in značilnostih. Za zagotovitev uspešnega izvajanja navedenih ukrepov naložba vključuje tudi dejavnosti usposabljanja za pooblaščeno tehnično osebje občin, registratorje in agente davčnih organov. </w:t>
      </w:r>
    </w:p>
    <w:p w14:paraId="5CC0FA7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marca 2025. </w:t>
      </w:r>
    </w:p>
    <w:p w14:paraId="72559B84"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RE-C08-i03: Prekinitve upravljanja goriva – primarno omrežje</w:t>
      </w:r>
    </w:p>
    <w:p w14:paraId="593C138F"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ustvariti horizontalno prekinitev pokrajine prek primarne mreže prekinitev upravljanja goriva (RPFGC). To omrežje ločuje izbruhe požarov, ščiti komunikacijske poti, socialno infrastrukturo in opremo, zmanjšuje povprečno območje, uničeno s požari, z razdeljevanjem pokrajine, omogoča dejavnosti gašenja požarov in zagotavlja varnost gasilcev z ustvarjanjem poti za izhod v sili. </w:t>
      </w:r>
    </w:p>
    <w:p w14:paraId="70C7317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vključuje naslednje ukrepe: </w:t>
      </w:r>
    </w:p>
    <w:p w14:paraId="24C24867" w14:textId="045052BF" w:rsidR="00F24946" w:rsidRDefault="00613B06">
      <w:pPr>
        <w:pStyle w:val="P68B1DB1-Normal4"/>
        <w:keepNext/>
        <w:numPr>
          <w:ilvl w:val="0"/>
          <w:numId w:val="37"/>
        </w:numPr>
        <w:spacing w:before="40" w:after="160" w:line="259" w:lineRule="auto"/>
        <w:contextualSpacing/>
        <w:jc w:val="both"/>
        <w:rPr>
          <w:rFonts w:eastAsiaTheme="minorEastAsia" w:cs="Times New Roman"/>
          <w:noProof/>
        </w:rPr>
      </w:pPr>
      <w:r>
        <w:rPr>
          <w:noProof/>
        </w:rPr>
        <w:t>kartiranje in ocena rabe zemljišč, vključenih v mrežo za strukturiranje upravljanja primarnih goriv;</w:t>
      </w:r>
    </w:p>
    <w:p w14:paraId="7E5F956F" w14:textId="1DA906D0" w:rsidR="00F24946" w:rsidRDefault="00613B06">
      <w:pPr>
        <w:pStyle w:val="P68B1DB1-Normal4"/>
        <w:keepNext/>
        <w:numPr>
          <w:ilvl w:val="0"/>
          <w:numId w:val="37"/>
        </w:numPr>
        <w:spacing w:before="40" w:after="160" w:line="259" w:lineRule="auto"/>
        <w:contextualSpacing/>
        <w:jc w:val="both"/>
        <w:rPr>
          <w:rFonts w:eastAsiaTheme="minorEastAsia" w:cs="Times New Roman"/>
          <w:noProof/>
        </w:rPr>
      </w:pPr>
      <w:r>
        <w:rPr>
          <w:noProof/>
        </w:rPr>
        <w:t>opredelitev lastnikov, ocena in izračun ravni nadomestila in drugih elementov, na podlagi katerih se lastnikom zemljišč prijavi javna storitev, sklenitev sporazumov in plačilo s tem povezanih nadomestil</w:t>
      </w:r>
    </w:p>
    <w:p w14:paraId="25DDFC97" w14:textId="481096AD" w:rsidR="00F24946" w:rsidRDefault="00613B06">
      <w:pPr>
        <w:pStyle w:val="P68B1DB1-Normal4"/>
        <w:keepNext/>
        <w:numPr>
          <w:ilvl w:val="0"/>
          <w:numId w:val="37"/>
        </w:numPr>
        <w:spacing w:before="40" w:after="160" w:line="259" w:lineRule="auto"/>
        <w:contextualSpacing/>
        <w:jc w:val="both"/>
        <w:rPr>
          <w:rFonts w:eastAsiaTheme="minorEastAsia" w:cs="Times New Roman"/>
          <w:noProof/>
        </w:rPr>
      </w:pPr>
      <w:r>
        <w:rPr>
          <w:noProof/>
        </w:rPr>
        <w:t>vključitev georeferenciranega grafičnega prikaza podeželskega zemljišča, vključenega v vzpostavitev služnega območja, v platformo BUPi, da se omogočijo nadaljnji posebni postopki registracije; in</w:t>
      </w:r>
    </w:p>
    <w:p w14:paraId="502FE4AD" w14:textId="77777777" w:rsidR="00F24946" w:rsidRDefault="00613B06">
      <w:pPr>
        <w:pStyle w:val="P68B1DB1-Normal4"/>
        <w:keepNext/>
        <w:numPr>
          <w:ilvl w:val="0"/>
          <w:numId w:val="37"/>
        </w:numPr>
        <w:spacing w:before="40" w:after="160" w:line="259" w:lineRule="auto"/>
        <w:contextualSpacing/>
        <w:jc w:val="both"/>
        <w:rPr>
          <w:rFonts w:eastAsiaTheme="minorEastAsia" w:cs="Times New Roman"/>
          <w:noProof/>
        </w:rPr>
      </w:pPr>
      <w:r>
        <w:rPr>
          <w:noProof/>
        </w:rPr>
        <w:t>vzpostavitev primarne mreže prekinitev upravljanja goriva na nacionalni ravni.</w:t>
      </w:r>
    </w:p>
    <w:p w14:paraId="5864A70C" w14:textId="76764FD1" w:rsidR="00F24946" w:rsidRDefault="00F24946">
      <w:pPr>
        <w:keepNext/>
        <w:spacing w:before="40" w:after="0" w:line="259" w:lineRule="auto"/>
        <w:jc w:val="both"/>
        <w:rPr>
          <w:rFonts w:ascii="Times New Roman" w:eastAsiaTheme="minorEastAsia" w:hAnsi="Times New Roman" w:cs="Times New Roman"/>
          <w:noProof/>
          <w:sz w:val="24"/>
        </w:rPr>
      </w:pPr>
    </w:p>
    <w:p w14:paraId="28696E4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6FB83105"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RE-C08-i04: Sredstva za preprečevanje požarov na podeželju in boj proti njim</w:t>
      </w:r>
    </w:p>
    <w:p w14:paraId="083D727F" w14:textId="5A761AE0" w:rsidR="00F24946" w:rsidRDefault="00613B06">
      <w:pPr>
        <w:pStyle w:val="P68B1DB1-Normal4"/>
        <w:keepNext/>
        <w:spacing w:before="40" w:after="0" w:line="259" w:lineRule="auto"/>
        <w:jc w:val="both"/>
        <w:rPr>
          <w:rFonts w:eastAsiaTheme="minorEastAsia" w:cs="Times New Roman"/>
          <w:noProof/>
        </w:rPr>
      </w:pPr>
      <w:r>
        <w:rPr>
          <w:noProof/>
        </w:rPr>
        <w:t xml:space="preserve">Cilj tega ukrepa je okrepiti državne subjekte, vključene v preprečevanje požarov na podeželju in boj proti njim. Natančneje, ta ukrep bo okrepil zmogljivost portugalskih letalskih sil in Inštituta za ohranjanje narave in gozdov (ICNF) v smislu infrastrukture in opreme, da bi se povečala njuna uspešnost in učinkovitost pri preprečevanju požarov na podeželju in boju proti njim. Poleg tega bo ta ukrep izboljšal oceno tveganja s standardizacijo in posodabljanjem radarskega omrežja portugalskega inštituta za morje in radarskega omrežja za atmosfero (IPMA). </w:t>
      </w:r>
    </w:p>
    <w:p w14:paraId="385E3858" w14:textId="14B08B85"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nakup dveh lahkih in devetih srednje velikih gasilskih helikopterjev, gradnjo novih in obnovo obstoječih stavb (operativni center in vzdrževalni hangarji), nakup vozil, strojev in opreme, ki so potrebni za ukrepanje proti požaru, kot so osebna zaščitna oprema, gasilska vozila, buldozerji in traktorji, ter standardizacija in nadgradnja meteorološkega radarskega omrežja. </w:t>
      </w:r>
    </w:p>
    <w:p w14:paraId="11A46961"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Zlasti za zagotovitev skladnosti s tehničnimi smernicami za načelo, da se ne škoduje bistveno (2021/C58/01), morajo biti vozila, stroji in oprema, ki se kupijo, brezemisijski. Če brezemisijskih alternativ ni, vozila, stroji in oprema, ki se kupijo, predstavljajo najboljše razpoložljive ravni okoljske učinkovitosti v sektorju.</w:t>
      </w:r>
    </w:p>
    <w:p w14:paraId="6B6B66CF"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1253F25C"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RE-C08-i05: Več programa za gozdove</w:t>
      </w:r>
    </w:p>
    <w:p w14:paraId="39858146" w14:textId="591325CE" w:rsidR="00F24946" w:rsidRDefault="00613B06">
      <w:pPr>
        <w:pStyle w:val="P68B1DB1-Normal4"/>
        <w:keepNext/>
        <w:spacing w:before="40" w:after="0" w:line="259" w:lineRule="auto"/>
        <w:jc w:val="both"/>
        <w:rPr>
          <w:rFonts w:eastAsiaTheme="minorEastAsia" w:cs="Times New Roman"/>
          <w:noProof/>
        </w:rPr>
      </w:pPr>
      <w:r>
        <w:rPr>
          <w:noProof/>
        </w:rPr>
        <w:t xml:space="preserve">Cilji ukrepa so nadgraditi sistem za preprečevanje požarov in gašenje požarov s prehodom z modela boja proti požarom na model preprečevanja požarov ter okrepiti ukrepe organizacij proizvajalcev gozdov (OPF) in strokovnih centrov v gozdarskem sektorju z vključevanjem strokovnjakov in izboljšanjem tehničnih kvalifikacij vseh ustreznih akterjev v teh subjektih. </w:t>
      </w:r>
    </w:p>
    <w:p w14:paraId="51BD29B4" w14:textId="77777777" w:rsidR="00F24946" w:rsidRDefault="00613B06">
      <w:pPr>
        <w:pStyle w:val="P68B1DB1-Normal4"/>
        <w:keepNext/>
        <w:spacing w:before="40" w:after="0" w:line="259" w:lineRule="auto"/>
        <w:jc w:val="both"/>
        <w:rPr>
          <w:rFonts w:eastAsiaTheme="minorEastAsia" w:cs="Times New Roman"/>
          <w:noProof/>
        </w:rPr>
      </w:pPr>
      <w:r>
        <w:rPr>
          <w:noProof/>
        </w:rPr>
        <w:t>Ta naložba je sestavljena iz naslednjih ukrepov:</w:t>
      </w:r>
    </w:p>
    <w:p w14:paraId="60F5BEF9" w14:textId="77777777" w:rsidR="00F24946" w:rsidRDefault="00613B06">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razširitev programov „Varna vas“ in „Varnost ljudi“, namenjenih spodbujanju ukrepov ozaveščanja za preprečevanje tveganega vedenja prebivalstva, ukrepov za samozaščito in simulacije načrtov evakuacije v sodelovanju z lokalnimi organi; </w:t>
      </w:r>
    </w:p>
    <w:p w14:paraId="4EAC3577" w14:textId="313E43B8" w:rsidR="00F24946" w:rsidRDefault="00613B06">
      <w:pPr>
        <w:pStyle w:val="P68B1DB1-Normal4"/>
        <w:keepNext/>
        <w:numPr>
          <w:ilvl w:val="0"/>
          <w:numId w:val="27"/>
        </w:numPr>
        <w:spacing w:before="40" w:after="160" w:line="259" w:lineRule="auto"/>
        <w:contextualSpacing/>
        <w:jc w:val="both"/>
        <w:rPr>
          <w:rFonts w:eastAsiaTheme="minorEastAsia" w:cs="Times New Roman"/>
          <w:noProof/>
        </w:rPr>
      </w:pPr>
      <w:r>
        <w:rPr>
          <w:noProof/>
        </w:rPr>
        <w:t>krepitev operativne zmogljivosti za odzivanje nacionalnega organa za nujno pomoč in civilno zaščito (ANEPC) ter nacionalne žandarmerije (GNR) v boju proti požarom na podeželju, zlasti z nakupom vozil in osebne zaščitne opreme, obnovo obstoječe infrastrukture in vzpostavitvijo novih regionalnih in podregionalnih struktur ANEPC;</w:t>
      </w:r>
    </w:p>
    <w:p w14:paraId="3F8BFC5C" w14:textId="77777777" w:rsidR="00F24946" w:rsidRDefault="00613B06">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zagotavljanje usposabljanja in usposobljenosti operativnega osebja, ki sodeluje pri gašenju požarov, in tehnikom OPF; in </w:t>
      </w:r>
    </w:p>
    <w:p w14:paraId="785D1F00" w14:textId="6F05047A" w:rsidR="00F24946" w:rsidRDefault="00613B06">
      <w:pPr>
        <w:pStyle w:val="P68B1DB1-Normal4"/>
        <w:keepNext/>
        <w:numPr>
          <w:ilvl w:val="0"/>
          <w:numId w:val="27"/>
        </w:numPr>
        <w:spacing w:before="40" w:after="160" w:line="259" w:lineRule="auto"/>
        <w:contextualSpacing/>
        <w:jc w:val="both"/>
        <w:rPr>
          <w:rFonts w:eastAsiaTheme="minorEastAsia" w:cs="Times New Roman"/>
          <w:noProof/>
        </w:rPr>
      </w:pPr>
      <w:r>
        <w:rPr>
          <w:noProof/>
        </w:rPr>
        <w:t>krepitev organizacij lastnikov gozdov in kompetenčnih centrov na območjih, ki so bistvena za trajnost gozdnih virov.</w:t>
      </w:r>
    </w:p>
    <w:p w14:paraId="277B2B14" w14:textId="06CF270D"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469B9600" w14:textId="77777777" w:rsidR="00F24946" w:rsidRDefault="00613B06">
      <w:pPr>
        <w:pStyle w:val="P68B1DB1-Normal4"/>
        <w:keepNext/>
        <w:spacing w:before="40" w:after="0" w:line="259" w:lineRule="auto"/>
        <w:jc w:val="both"/>
        <w:rPr>
          <w:rFonts w:eastAsiaTheme="minorEastAsia" w:cs="Times New Roman"/>
          <w:noProof/>
        </w:rPr>
        <w:sectPr w:rsidR="00F24946" w:rsidSect="00E00EDD">
          <w:headerReference w:type="even" r:id="rId168"/>
          <w:headerReference w:type="default" r:id="rId169"/>
          <w:footerReference w:type="even" r:id="rId170"/>
          <w:footerReference w:type="default" r:id="rId171"/>
          <w:headerReference w:type="first" r:id="rId172"/>
          <w:footerReference w:type="first" r:id="rId173"/>
          <w:pgSz w:w="11907" w:h="16839"/>
          <w:pgMar w:top="1134" w:right="1134" w:bottom="1134" w:left="1134" w:header="567" w:footer="567" w:gutter="0"/>
          <w:cols w:space="720"/>
          <w:docGrid w:linePitch="360"/>
        </w:sectPr>
      </w:pPr>
      <w:r>
        <w:rPr>
          <w:noProof/>
        </w:rPr>
        <w:t xml:space="preserve"> </w:t>
      </w:r>
    </w:p>
    <w:p w14:paraId="6A15D49E"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H.2. Mejniki, cilji, kazalniki in časovni razpored za spremljanje in izvajanje nepovratne finančne podpore Naslednje;</w:t>
      </w:r>
    </w:p>
    <w:p w14:paraId="628AB07A"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45"/>
        <w:gridCol w:w="1107"/>
        <w:gridCol w:w="1658"/>
        <w:gridCol w:w="1244"/>
        <w:gridCol w:w="971"/>
        <w:gridCol w:w="970"/>
        <w:gridCol w:w="603"/>
        <w:gridCol w:w="649"/>
        <w:gridCol w:w="694"/>
        <w:gridCol w:w="4204"/>
      </w:tblGrid>
      <w:tr w:rsidR="00F24946" w14:paraId="23FD5241" w14:textId="77777777">
        <w:trPr>
          <w:trHeight w:val="910"/>
          <w:tblHeader/>
          <w:jc w:val="center"/>
        </w:trPr>
        <w:tc>
          <w:tcPr>
            <w:tcW w:w="1114" w:type="dxa"/>
            <w:vMerge w:val="restart"/>
            <w:shd w:val="clear" w:color="auto" w:fill="BDD6EE"/>
            <w:vAlign w:val="center"/>
            <w:hideMark/>
          </w:tcPr>
          <w:p w14:paraId="7DA1148E"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45" w:type="dxa"/>
            <w:vMerge w:val="restart"/>
            <w:shd w:val="clear" w:color="auto" w:fill="BDD6EE"/>
            <w:vAlign w:val="center"/>
            <w:hideMark/>
          </w:tcPr>
          <w:p w14:paraId="279E7C6E"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07" w:type="dxa"/>
            <w:vMerge w:val="restart"/>
            <w:shd w:val="clear" w:color="auto" w:fill="BDD6EE"/>
            <w:vAlign w:val="center"/>
            <w:hideMark/>
          </w:tcPr>
          <w:p w14:paraId="061850B8" w14:textId="5E5DB946" w:rsidR="00F24946" w:rsidRDefault="00613B06">
            <w:pPr>
              <w:pStyle w:val="P68B1DB1-Normal6"/>
              <w:spacing w:after="0" w:line="240" w:lineRule="auto"/>
              <w:jc w:val="center"/>
              <w:rPr>
                <w:rFonts w:eastAsia="Times New Roman" w:cs="Times New Roman"/>
                <w:noProof/>
                <w:sz w:val="14"/>
              </w:rPr>
            </w:pPr>
            <w:r>
              <w:rPr>
                <w:noProof/>
              </w:rPr>
              <w:t>Mejnik –/ciljni cilj</w:t>
            </w:r>
          </w:p>
        </w:tc>
        <w:tc>
          <w:tcPr>
            <w:tcW w:w="1658" w:type="dxa"/>
            <w:vMerge w:val="restart"/>
            <w:shd w:val="clear" w:color="auto" w:fill="BDD6EE"/>
            <w:vAlign w:val="center"/>
            <w:hideMark/>
          </w:tcPr>
          <w:p w14:paraId="6DDD64A1" w14:textId="77777777" w:rsidR="00F24946" w:rsidRDefault="00613B06">
            <w:pPr>
              <w:pStyle w:val="P68B1DB1-Normal6"/>
              <w:spacing w:after="0" w:line="240" w:lineRule="auto"/>
              <w:jc w:val="center"/>
              <w:rPr>
                <w:rFonts w:eastAsia="Times New Roman" w:cs="Times New Roman"/>
                <w:noProof/>
              </w:rPr>
            </w:pPr>
            <w:r>
              <w:rPr>
                <w:noProof/>
              </w:rPr>
              <w:t>Ime</w:t>
            </w:r>
          </w:p>
        </w:tc>
        <w:tc>
          <w:tcPr>
            <w:tcW w:w="1244" w:type="dxa"/>
            <w:vMerge w:val="restart"/>
            <w:shd w:val="clear" w:color="auto" w:fill="BDD6EE"/>
            <w:vAlign w:val="center"/>
            <w:hideMark/>
          </w:tcPr>
          <w:p w14:paraId="616A60C2"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544" w:type="dxa"/>
            <w:gridSpan w:val="3"/>
            <w:shd w:val="clear" w:color="auto" w:fill="BDD6EE"/>
            <w:vAlign w:val="center"/>
            <w:hideMark/>
          </w:tcPr>
          <w:p w14:paraId="490EDE73"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343" w:type="dxa"/>
            <w:gridSpan w:val="2"/>
            <w:shd w:val="clear" w:color="auto" w:fill="BDD6EE"/>
            <w:vAlign w:val="center"/>
            <w:hideMark/>
          </w:tcPr>
          <w:p w14:paraId="5A78B1CD"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204" w:type="dxa"/>
            <w:vMerge w:val="restart"/>
            <w:shd w:val="clear" w:color="auto" w:fill="BDD6EE"/>
            <w:vAlign w:val="center"/>
            <w:hideMark/>
          </w:tcPr>
          <w:p w14:paraId="6349DF03"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2A0BDCBA" w14:textId="77777777">
        <w:trPr>
          <w:trHeight w:val="470"/>
          <w:tblHeader/>
          <w:jc w:val="center"/>
        </w:trPr>
        <w:tc>
          <w:tcPr>
            <w:tcW w:w="1114" w:type="dxa"/>
            <w:vMerge/>
            <w:vAlign w:val="center"/>
            <w:hideMark/>
          </w:tcPr>
          <w:p w14:paraId="48494B20" w14:textId="77777777" w:rsidR="00F24946" w:rsidRDefault="00F24946">
            <w:pPr>
              <w:spacing w:after="0" w:line="240" w:lineRule="auto"/>
              <w:rPr>
                <w:rFonts w:ascii="Times New Roman" w:eastAsia="Times New Roman" w:hAnsi="Times New Roman" w:cs="Times New Roman"/>
                <w:b/>
                <w:noProof/>
                <w:sz w:val="18"/>
              </w:rPr>
            </w:pPr>
          </w:p>
        </w:tc>
        <w:tc>
          <w:tcPr>
            <w:tcW w:w="1245" w:type="dxa"/>
            <w:vMerge/>
            <w:vAlign w:val="center"/>
            <w:hideMark/>
          </w:tcPr>
          <w:p w14:paraId="3ED3D75A" w14:textId="77777777" w:rsidR="00F24946" w:rsidRDefault="00F24946">
            <w:pPr>
              <w:spacing w:after="0" w:line="240" w:lineRule="auto"/>
              <w:rPr>
                <w:rFonts w:ascii="Times New Roman" w:eastAsia="Times New Roman" w:hAnsi="Times New Roman" w:cs="Times New Roman"/>
                <w:b/>
                <w:noProof/>
                <w:sz w:val="18"/>
              </w:rPr>
            </w:pPr>
          </w:p>
        </w:tc>
        <w:tc>
          <w:tcPr>
            <w:tcW w:w="1107" w:type="dxa"/>
            <w:vMerge/>
            <w:vAlign w:val="center"/>
            <w:hideMark/>
          </w:tcPr>
          <w:p w14:paraId="5FF97188" w14:textId="3E0237B4" w:rsidR="00F24946" w:rsidRDefault="00F24946">
            <w:pPr>
              <w:spacing w:after="0" w:line="240" w:lineRule="auto"/>
              <w:jc w:val="center"/>
              <w:rPr>
                <w:rFonts w:ascii="Times New Roman" w:eastAsia="Times New Roman" w:hAnsi="Times New Roman" w:cs="Times New Roman"/>
                <w:b/>
                <w:noProof/>
                <w:sz w:val="14"/>
              </w:rPr>
            </w:pPr>
          </w:p>
        </w:tc>
        <w:tc>
          <w:tcPr>
            <w:tcW w:w="1658" w:type="dxa"/>
            <w:vMerge/>
            <w:vAlign w:val="center"/>
            <w:hideMark/>
          </w:tcPr>
          <w:p w14:paraId="7F856670" w14:textId="77777777" w:rsidR="00F24946" w:rsidRDefault="00F24946">
            <w:pPr>
              <w:spacing w:after="0" w:line="240" w:lineRule="auto"/>
              <w:rPr>
                <w:rFonts w:ascii="Times New Roman" w:eastAsia="Times New Roman" w:hAnsi="Times New Roman" w:cs="Times New Roman"/>
                <w:b/>
                <w:noProof/>
                <w:sz w:val="18"/>
              </w:rPr>
            </w:pPr>
          </w:p>
        </w:tc>
        <w:tc>
          <w:tcPr>
            <w:tcW w:w="1244" w:type="dxa"/>
            <w:vMerge/>
            <w:vAlign w:val="center"/>
            <w:hideMark/>
          </w:tcPr>
          <w:p w14:paraId="3BB7D671" w14:textId="77777777" w:rsidR="00F24946" w:rsidRDefault="00F24946">
            <w:pPr>
              <w:spacing w:after="0" w:line="240" w:lineRule="auto"/>
              <w:rPr>
                <w:rFonts w:ascii="Times New Roman" w:eastAsia="Times New Roman" w:hAnsi="Times New Roman" w:cs="Times New Roman"/>
                <w:b/>
                <w:noProof/>
                <w:sz w:val="18"/>
              </w:rPr>
            </w:pPr>
          </w:p>
        </w:tc>
        <w:tc>
          <w:tcPr>
            <w:tcW w:w="971" w:type="dxa"/>
            <w:shd w:val="clear" w:color="auto" w:fill="BDD6EE"/>
            <w:vAlign w:val="center"/>
            <w:hideMark/>
          </w:tcPr>
          <w:p w14:paraId="16AA7B5B"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70" w:type="dxa"/>
            <w:shd w:val="clear" w:color="auto" w:fill="BDD6EE"/>
            <w:vAlign w:val="center"/>
            <w:hideMark/>
          </w:tcPr>
          <w:p w14:paraId="254AFE6B"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603" w:type="dxa"/>
            <w:shd w:val="clear" w:color="auto" w:fill="BDD6EE"/>
            <w:vAlign w:val="center"/>
            <w:hideMark/>
          </w:tcPr>
          <w:p w14:paraId="490F16BA" w14:textId="77777777" w:rsidR="00F24946" w:rsidRDefault="00613B06">
            <w:pPr>
              <w:pStyle w:val="P68B1DB1-Normal6"/>
              <w:spacing w:after="0" w:line="240" w:lineRule="auto"/>
              <w:jc w:val="center"/>
              <w:rPr>
                <w:rFonts w:eastAsia="Times New Roman" w:cs="Times New Roman"/>
                <w:noProof/>
              </w:rPr>
            </w:pPr>
            <w:r>
              <w:rPr>
                <w:noProof/>
              </w:rPr>
              <w:t>Cilj</w:t>
            </w:r>
          </w:p>
        </w:tc>
        <w:tc>
          <w:tcPr>
            <w:tcW w:w="649" w:type="dxa"/>
            <w:shd w:val="clear" w:color="auto" w:fill="BDD6EE"/>
            <w:vAlign w:val="center"/>
            <w:hideMark/>
          </w:tcPr>
          <w:p w14:paraId="62E7BED3" w14:textId="77777777" w:rsidR="00F24946" w:rsidRDefault="00613B06">
            <w:pPr>
              <w:pStyle w:val="P68B1DB1-Normal6"/>
              <w:spacing w:after="0" w:line="240" w:lineRule="auto"/>
              <w:jc w:val="center"/>
              <w:rPr>
                <w:rFonts w:eastAsia="Times New Roman" w:cs="Times New Roman"/>
                <w:noProof/>
              </w:rPr>
            </w:pPr>
            <w:r>
              <w:rPr>
                <w:noProof/>
              </w:rPr>
              <w:t>Q</w:t>
            </w:r>
          </w:p>
        </w:tc>
        <w:tc>
          <w:tcPr>
            <w:tcW w:w="694" w:type="dxa"/>
            <w:shd w:val="clear" w:color="auto" w:fill="BDD6EE"/>
            <w:vAlign w:val="center"/>
            <w:hideMark/>
          </w:tcPr>
          <w:p w14:paraId="6F909C03" w14:textId="77777777" w:rsidR="00F24946" w:rsidRDefault="00613B06">
            <w:pPr>
              <w:pStyle w:val="P68B1DB1-Normal6"/>
              <w:spacing w:after="0" w:line="240" w:lineRule="auto"/>
              <w:jc w:val="center"/>
              <w:rPr>
                <w:rFonts w:eastAsia="Times New Roman" w:cs="Times New Roman"/>
                <w:noProof/>
              </w:rPr>
            </w:pPr>
            <w:r>
              <w:rPr>
                <w:noProof/>
              </w:rPr>
              <w:t>Leto</w:t>
            </w:r>
          </w:p>
        </w:tc>
        <w:tc>
          <w:tcPr>
            <w:tcW w:w="4204" w:type="dxa"/>
            <w:vMerge/>
            <w:vAlign w:val="center"/>
            <w:hideMark/>
          </w:tcPr>
          <w:p w14:paraId="19BE067E" w14:textId="77777777" w:rsidR="00F24946" w:rsidRDefault="00F24946">
            <w:pPr>
              <w:spacing w:after="0" w:line="240" w:lineRule="auto"/>
              <w:rPr>
                <w:rFonts w:ascii="Times New Roman" w:eastAsia="Times New Roman" w:hAnsi="Times New Roman" w:cs="Times New Roman"/>
                <w:b/>
                <w:noProof/>
                <w:sz w:val="18"/>
              </w:rPr>
            </w:pPr>
          </w:p>
        </w:tc>
      </w:tr>
      <w:tr w:rsidR="00F24946" w14:paraId="6DA303CE" w14:textId="77777777">
        <w:trPr>
          <w:trHeight w:val="640"/>
          <w:jc w:val="center"/>
        </w:trPr>
        <w:tc>
          <w:tcPr>
            <w:tcW w:w="1114" w:type="dxa"/>
            <w:shd w:val="clear" w:color="auto" w:fill="C4EFCE"/>
            <w:vAlign w:val="center"/>
            <w:hideMark/>
          </w:tcPr>
          <w:p w14:paraId="241F93F4" w14:textId="77777777" w:rsidR="00F24946" w:rsidRDefault="00613B06">
            <w:pPr>
              <w:pStyle w:val="P68B1DB1-Normal7"/>
              <w:spacing w:after="0" w:line="240" w:lineRule="auto"/>
              <w:jc w:val="center"/>
              <w:rPr>
                <w:rFonts w:eastAsia="Times New Roman" w:cs="Calibri"/>
                <w:noProof/>
              </w:rPr>
            </w:pPr>
            <w:r>
              <w:rPr>
                <w:noProof/>
              </w:rPr>
              <w:t>8.1</w:t>
            </w:r>
          </w:p>
        </w:tc>
        <w:tc>
          <w:tcPr>
            <w:tcW w:w="1245" w:type="dxa"/>
            <w:shd w:val="clear" w:color="auto" w:fill="C4EFCE"/>
            <w:noWrap/>
            <w:vAlign w:val="center"/>
            <w:hideMark/>
          </w:tcPr>
          <w:p w14:paraId="6A7BBCF2" w14:textId="77777777" w:rsidR="00F24946" w:rsidRDefault="00613B06">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280C90CB"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051B7F69" w14:textId="382A7EDD" w:rsidR="00F24946" w:rsidRDefault="00613B06">
            <w:pPr>
              <w:pStyle w:val="P68B1DB1-Normal8"/>
              <w:spacing w:after="0" w:line="240" w:lineRule="auto"/>
              <w:jc w:val="center"/>
              <w:rPr>
                <w:rFonts w:eastAsia="Times New Roman" w:cs="Calibri"/>
                <w:noProof/>
              </w:rPr>
            </w:pPr>
            <w:r>
              <w:rPr>
                <w:noProof/>
              </w:rPr>
              <w:t>Razvoj programov prostorskega načrtovanja in upravljanja (PRGP) na območjih, ki so opredeljena kot ranljiva.</w:t>
            </w:r>
          </w:p>
        </w:tc>
        <w:tc>
          <w:tcPr>
            <w:tcW w:w="1244" w:type="dxa"/>
            <w:shd w:val="clear" w:color="auto" w:fill="C4EFCE"/>
            <w:noWrap/>
            <w:vAlign w:val="center"/>
            <w:hideMark/>
          </w:tcPr>
          <w:p w14:paraId="0AF39373"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D6C4E03" w14:textId="77777777" w:rsidR="00F24946" w:rsidRDefault="00613B06">
            <w:pPr>
              <w:pStyle w:val="P68B1DB1-Normal8"/>
              <w:spacing w:after="0" w:line="240" w:lineRule="auto"/>
              <w:jc w:val="center"/>
              <w:rPr>
                <w:rFonts w:eastAsia="Times New Roman" w:cs="Calibri"/>
                <w:noProof/>
              </w:rPr>
            </w:pPr>
            <w:r>
              <w:rPr>
                <w:noProof/>
              </w:rPr>
              <w:t xml:space="preserve"> Število</w:t>
            </w:r>
          </w:p>
        </w:tc>
        <w:tc>
          <w:tcPr>
            <w:tcW w:w="970" w:type="dxa"/>
            <w:shd w:val="clear" w:color="auto" w:fill="C4EFCE"/>
            <w:noWrap/>
            <w:vAlign w:val="center"/>
            <w:hideMark/>
          </w:tcPr>
          <w:p w14:paraId="7EF99B82"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8CFC2F0" w14:textId="77777777" w:rsidR="00F24946" w:rsidRDefault="00613B06">
            <w:pPr>
              <w:pStyle w:val="P68B1DB1-Normal8"/>
              <w:spacing w:after="0" w:line="240" w:lineRule="auto"/>
              <w:jc w:val="center"/>
              <w:rPr>
                <w:rFonts w:eastAsia="Times New Roman" w:cs="Calibri"/>
                <w:noProof/>
              </w:rPr>
            </w:pPr>
            <w:r>
              <w:rPr>
                <w:noProof/>
              </w:rPr>
              <w:t>20</w:t>
            </w:r>
          </w:p>
        </w:tc>
        <w:tc>
          <w:tcPr>
            <w:tcW w:w="649" w:type="dxa"/>
            <w:shd w:val="clear" w:color="auto" w:fill="C4EFCE"/>
            <w:noWrap/>
            <w:vAlign w:val="center"/>
            <w:hideMark/>
          </w:tcPr>
          <w:p w14:paraId="65763CA3"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hideMark/>
          </w:tcPr>
          <w:p w14:paraId="0401360D"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D83355D" w14:textId="03A571B2" w:rsidR="00F24946" w:rsidRDefault="00613B06">
            <w:pPr>
              <w:pStyle w:val="P68B1DB1-Normal8"/>
              <w:spacing w:after="0" w:line="240" w:lineRule="auto"/>
              <w:rPr>
                <w:rFonts w:eastAsia="Times New Roman" w:cs="Calibri"/>
                <w:noProof/>
              </w:rPr>
            </w:pPr>
            <w:r>
              <w:rPr>
                <w:noProof/>
              </w:rPr>
              <w:t>Odobritev s strani vlade krajinskega načrtovanja in upravljanja (PRGP) za 20 homogenih ranljivih območij ali območij, ki so jih prizadeli veliki požari, ob upoštevanju listine krajinskih enot celinske Portugalske in teritorialnega modela nacionalnega programa politike prostorskega načrtovanja.</w:t>
            </w:r>
          </w:p>
        </w:tc>
      </w:tr>
      <w:tr w:rsidR="00F24946" w14:paraId="08B19252" w14:textId="77777777">
        <w:trPr>
          <w:trHeight w:val="640"/>
          <w:jc w:val="center"/>
        </w:trPr>
        <w:tc>
          <w:tcPr>
            <w:tcW w:w="1114" w:type="dxa"/>
            <w:shd w:val="clear" w:color="auto" w:fill="C4EFCE"/>
            <w:vAlign w:val="center"/>
            <w:hideMark/>
          </w:tcPr>
          <w:p w14:paraId="21D5D991" w14:textId="77777777" w:rsidR="00F24946" w:rsidRDefault="00613B06">
            <w:pPr>
              <w:pStyle w:val="P68B1DB1-Normal7"/>
              <w:spacing w:after="0" w:line="240" w:lineRule="auto"/>
              <w:jc w:val="center"/>
              <w:rPr>
                <w:rFonts w:eastAsia="Times New Roman" w:cs="Calibri"/>
                <w:noProof/>
              </w:rPr>
            </w:pPr>
            <w:r>
              <w:rPr>
                <w:noProof/>
              </w:rPr>
              <w:t>8.2</w:t>
            </w:r>
          </w:p>
        </w:tc>
        <w:tc>
          <w:tcPr>
            <w:tcW w:w="1245" w:type="dxa"/>
            <w:shd w:val="clear" w:color="auto" w:fill="C4EFCE"/>
            <w:noWrap/>
            <w:vAlign w:val="center"/>
            <w:hideMark/>
          </w:tcPr>
          <w:p w14:paraId="24086087" w14:textId="77777777" w:rsidR="00F24946" w:rsidRDefault="00613B06">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706BCE24"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2D036A2" w14:textId="77777777" w:rsidR="00F24946" w:rsidRDefault="00613B06">
            <w:pPr>
              <w:pStyle w:val="P68B1DB1-Normal8"/>
              <w:spacing w:after="0" w:line="240" w:lineRule="auto"/>
              <w:jc w:val="center"/>
              <w:rPr>
                <w:rFonts w:eastAsia="Times New Roman" w:cs="Calibri"/>
                <w:noProof/>
              </w:rPr>
            </w:pPr>
            <w:r>
              <w:rPr>
                <w:noProof/>
              </w:rPr>
              <w:t xml:space="preserve"> Objava integriranega upravljanja krajine v Diário da Republica</w:t>
            </w:r>
          </w:p>
        </w:tc>
        <w:tc>
          <w:tcPr>
            <w:tcW w:w="1244" w:type="dxa"/>
            <w:shd w:val="clear" w:color="auto" w:fill="C4EFCE"/>
            <w:noWrap/>
            <w:vAlign w:val="center"/>
            <w:hideMark/>
          </w:tcPr>
          <w:p w14:paraId="38CCD2EC"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4C47B22" w14:textId="77777777" w:rsidR="00F24946" w:rsidRDefault="00613B06">
            <w:pPr>
              <w:pStyle w:val="P68B1DB1-Normal8"/>
              <w:spacing w:after="0" w:line="240" w:lineRule="auto"/>
              <w:jc w:val="center"/>
              <w:rPr>
                <w:rFonts w:eastAsia="Times New Roman" w:cs="Calibri"/>
                <w:noProof/>
              </w:rPr>
            </w:pPr>
            <w:r>
              <w:rPr>
                <w:noProof/>
              </w:rPr>
              <w:t xml:space="preserve">Število </w:t>
            </w:r>
          </w:p>
        </w:tc>
        <w:tc>
          <w:tcPr>
            <w:tcW w:w="970" w:type="dxa"/>
            <w:shd w:val="clear" w:color="auto" w:fill="C4EFCE"/>
            <w:noWrap/>
            <w:vAlign w:val="center"/>
            <w:hideMark/>
          </w:tcPr>
          <w:p w14:paraId="20B48133"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7CD3DB2" w14:textId="77777777" w:rsidR="00F24946" w:rsidRDefault="00613B06">
            <w:pPr>
              <w:pStyle w:val="P68B1DB1-Normal8"/>
              <w:spacing w:after="0" w:line="240" w:lineRule="auto"/>
              <w:jc w:val="center"/>
              <w:rPr>
                <w:rFonts w:eastAsia="Times New Roman" w:cs="Calibri"/>
                <w:noProof/>
              </w:rPr>
            </w:pPr>
            <w:r>
              <w:rPr>
                <w:noProof/>
              </w:rPr>
              <w:t>60</w:t>
            </w:r>
          </w:p>
        </w:tc>
        <w:tc>
          <w:tcPr>
            <w:tcW w:w="649" w:type="dxa"/>
            <w:shd w:val="clear" w:color="auto" w:fill="C4EFCE"/>
            <w:noWrap/>
            <w:vAlign w:val="center"/>
            <w:hideMark/>
          </w:tcPr>
          <w:p w14:paraId="27C4AA09"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hideMark/>
          </w:tcPr>
          <w:p w14:paraId="3EBBE2FA"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48FF6424" w14:textId="6CE9F794" w:rsidR="00F24946" w:rsidRDefault="00613B06">
            <w:pPr>
              <w:pStyle w:val="P68B1DB1-Normal8"/>
              <w:spacing w:after="0" w:line="240" w:lineRule="auto"/>
              <w:jc w:val="both"/>
              <w:rPr>
                <w:rFonts w:eastAsia="Times New Roman" w:cs="Calibri"/>
                <w:noProof/>
              </w:rPr>
            </w:pPr>
            <w:r>
              <w:rPr>
                <w:noProof/>
              </w:rPr>
              <w:t>Odobritev in objava 60 operacij integriranega upravljanja krajine v Diário da Republica, ki opredeljujejo načrtovanje intervencij, model delovanja, finančna sredstva, ki jih je treba dodeliti, ter sistem upravljanja in spremljanja.</w:t>
            </w:r>
          </w:p>
        </w:tc>
      </w:tr>
      <w:tr w:rsidR="00F24946" w14:paraId="329EC401" w14:textId="77777777">
        <w:trPr>
          <w:trHeight w:val="640"/>
          <w:jc w:val="center"/>
        </w:trPr>
        <w:tc>
          <w:tcPr>
            <w:tcW w:w="1114" w:type="dxa"/>
            <w:shd w:val="clear" w:color="auto" w:fill="C4EFCE"/>
            <w:vAlign w:val="center"/>
          </w:tcPr>
          <w:p w14:paraId="53F8B0D6" w14:textId="3B182909" w:rsidR="00F24946" w:rsidRDefault="00613B06">
            <w:pPr>
              <w:pStyle w:val="P68B1DB1-Normal7"/>
              <w:spacing w:after="0" w:line="240" w:lineRule="auto"/>
              <w:jc w:val="center"/>
              <w:rPr>
                <w:rFonts w:eastAsia="Times New Roman" w:cs="Calibri"/>
                <w:noProof/>
              </w:rPr>
            </w:pPr>
            <w:r>
              <w:rPr>
                <w:noProof/>
              </w:rPr>
              <w:t>8.3</w:t>
            </w:r>
          </w:p>
        </w:tc>
        <w:tc>
          <w:tcPr>
            <w:tcW w:w="1245" w:type="dxa"/>
            <w:shd w:val="clear" w:color="auto" w:fill="C4EFCE"/>
            <w:noWrap/>
            <w:vAlign w:val="center"/>
          </w:tcPr>
          <w:p w14:paraId="06A4D24B" w14:textId="4C714727" w:rsidR="00F24946" w:rsidRDefault="00613B06">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tcPr>
          <w:p w14:paraId="7C2444D5" w14:textId="2C0F19C6"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tcPr>
          <w:p w14:paraId="1671AB6C" w14:textId="1A1E7B04" w:rsidR="00F24946" w:rsidRDefault="00613B06">
            <w:pPr>
              <w:pStyle w:val="P68B1DB1-Normal8"/>
              <w:spacing w:after="0" w:line="240" w:lineRule="auto"/>
              <w:jc w:val="center"/>
              <w:rPr>
                <w:rFonts w:eastAsia="Times New Roman" w:cs="Calibri"/>
                <w:noProof/>
              </w:rPr>
            </w:pPr>
            <w:r>
              <w:rPr>
                <w:noProof/>
              </w:rPr>
              <w:t>Vasi s projekti ravnanja z gorivom</w:t>
            </w:r>
          </w:p>
        </w:tc>
        <w:tc>
          <w:tcPr>
            <w:tcW w:w="1244" w:type="dxa"/>
            <w:shd w:val="clear" w:color="auto" w:fill="C4EFCE"/>
            <w:noWrap/>
            <w:vAlign w:val="center"/>
          </w:tcPr>
          <w:p w14:paraId="21CA1472" w14:textId="77777777" w:rsidR="00F24946" w:rsidRDefault="00F24946">
            <w:pPr>
              <w:spacing w:after="0" w:line="240" w:lineRule="auto"/>
              <w:jc w:val="center"/>
              <w:rPr>
                <w:rFonts w:ascii="Calibri" w:eastAsia="Times New Roman" w:hAnsi="Calibri" w:cs="Calibri"/>
                <w:noProof/>
                <w:sz w:val="16"/>
              </w:rPr>
            </w:pPr>
          </w:p>
        </w:tc>
        <w:tc>
          <w:tcPr>
            <w:tcW w:w="971" w:type="dxa"/>
            <w:shd w:val="clear" w:color="auto" w:fill="C4EFCE"/>
            <w:noWrap/>
            <w:vAlign w:val="center"/>
          </w:tcPr>
          <w:p w14:paraId="607F1475" w14:textId="08DA1B44" w:rsidR="00F24946" w:rsidRDefault="00613B06">
            <w:pPr>
              <w:pStyle w:val="P68B1DB1-Normal8"/>
              <w:spacing w:after="0" w:line="240" w:lineRule="auto"/>
              <w:jc w:val="center"/>
              <w:rPr>
                <w:rFonts w:eastAsia="Times New Roman" w:cs="Calibri"/>
                <w:noProof/>
              </w:rPr>
            </w:pPr>
            <w:r>
              <w:rPr>
                <w:noProof/>
              </w:rPr>
              <w:t>Število</w:t>
            </w:r>
          </w:p>
        </w:tc>
        <w:tc>
          <w:tcPr>
            <w:tcW w:w="970" w:type="dxa"/>
            <w:shd w:val="clear" w:color="auto" w:fill="C4EFCE"/>
            <w:noWrap/>
            <w:vAlign w:val="center"/>
          </w:tcPr>
          <w:p w14:paraId="0640AB71" w14:textId="57A5038A"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tcPr>
          <w:p w14:paraId="79FDC6D8" w14:textId="763F7A06" w:rsidR="00F24946" w:rsidRDefault="00613B06">
            <w:pPr>
              <w:pStyle w:val="P68B1DB1-Normal8"/>
              <w:spacing w:after="0" w:line="240" w:lineRule="auto"/>
              <w:jc w:val="center"/>
              <w:rPr>
                <w:rFonts w:eastAsia="Times New Roman" w:cs="Calibri"/>
                <w:noProof/>
              </w:rPr>
            </w:pPr>
            <w:r>
              <w:rPr>
                <w:noProof/>
              </w:rPr>
              <w:t>800</w:t>
            </w:r>
          </w:p>
        </w:tc>
        <w:tc>
          <w:tcPr>
            <w:tcW w:w="649" w:type="dxa"/>
            <w:shd w:val="clear" w:color="auto" w:fill="C4EFCE"/>
            <w:noWrap/>
            <w:vAlign w:val="center"/>
          </w:tcPr>
          <w:p w14:paraId="17C24089" w14:textId="3F46E358"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tcPr>
          <w:p w14:paraId="1232892F" w14:textId="34EB17F1"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tcPr>
          <w:p w14:paraId="37C59981" w14:textId="3E460BC7" w:rsidR="00F24946" w:rsidRDefault="00613B06">
            <w:pPr>
              <w:pStyle w:val="P68B1DB1-Normal8"/>
              <w:spacing w:after="0" w:line="240" w:lineRule="auto"/>
              <w:jc w:val="both"/>
              <w:rPr>
                <w:rFonts w:eastAsia="Times New Roman" w:cs="Calibri"/>
                <w:noProof/>
              </w:rPr>
            </w:pPr>
            <w:r>
              <w:rPr>
                <w:noProof/>
              </w:rPr>
              <w:t>Sklenitev pogodb, v katerih so določeni posebni pogoji za financiranje projektov ravnanja z gorivom med okoljskim skladom in upravičenci (občinami, medobčinskimi skupnostmi, združenji za lokalni razvoj) v vsaj 800 podeželskih vaseh na gozdnih območjih (občina z gašenjem vasi).</w:t>
            </w:r>
          </w:p>
        </w:tc>
      </w:tr>
      <w:tr w:rsidR="00F24946" w14:paraId="2D19B3CD" w14:textId="77777777">
        <w:trPr>
          <w:trHeight w:val="1071"/>
          <w:jc w:val="center"/>
        </w:trPr>
        <w:tc>
          <w:tcPr>
            <w:tcW w:w="1114" w:type="dxa"/>
            <w:shd w:val="clear" w:color="auto" w:fill="C4EFCE"/>
            <w:vAlign w:val="center"/>
            <w:hideMark/>
          </w:tcPr>
          <w:p w14:paraId="77EE0E64" w14:textId="2B83FFE6" w:rsidR="00F24946" w:rsidRDefault="00613B06">
            <w:pPr>
              <w:pStyle w:val="P68B1DB1-Normal7"/>
              <w:spacing w:line="240" w:lineRule="auto"/>
              <w:jc w:val="center"/>
              <w:rPr>
                <w:rFonts w:eastAsia="Times New Roman" w:cs="Calibri"/>
                <w:noProof/>
              </w:rPr>
            </w:pPr>
            <w:r>
              <w:rPr>
                <w:noProof/>
              </w:rPr>
              <w:t>8.20</w:t>
            </w:r>
          </w:p>
        </w:tc>
        <w:tc>
          <w:tcPr>
            <w:tcW w:w="1245" w:type="dxa"/>
            <w:shd w:val="clear" w:color="auto" w:fill="C4EFCE"/>
            <w:noWrap/>
            <w:vAlign w:val="center"/>
            <w:hideMark/>
          </w:tcPr>
          <w:p w14:paraId="12596242" w14:textId="4917A96D" w:rsidR="00F24946" w:rsidRDefault="00613B06">
            <w:pPr>
              <w:pStyle w:val="P68B1DB1-Normal8"/>
              <w:spacing w:line="240" w:lineRule="auto"/>
              <w:jc w:val="center"/>
              <w:rPr>
                <w:rFonts w:eastAsia="Times New Roman" w:cs="Calibri"/>
                <w:noProof/>
              </w:rPr>
            </w:pPr>
            <w:r>
              <w:rPr>
                <w:noProof/>
              </w:rPr>
              <w:t xml:space="preserve">Re-C08-i01  </w:t>
            </w:r>
          </w:p>
        </w:tc>
        <w:tc>
          <w:tcPr>
            <w:tcW w:w="1107" w:type="dxa"/>
            <w:shd w:val="clear" w:color="auto" w:fill="C4EFCE"/>
            <w:noWrap/>
            <w:vAlign w:val="center"/>
            <w:hideMark/>
          </w:tcPr>
          <w:p w14:paraId="09B3E4E1" w14:textId="791D055D" w:rsidR="00F24946" w:rsidRDefault="00613B06">
            <w:pPr>
              <w:pStyle w:val="P68B1DB1-Normal8"/>
              <w:spacing w:line="240" w:lineRule="auto"/>
              <w:jc w:val="center"/>
              <w:rPr>
                <w:rFonts w:eastAsia="Times New Roman" w:cs="Calibri"/>
                <w:noProof/>
              </w:rPr>
            </w:pPr>
            <w:r>
              <w:rPr>
                <w:noProof/>
              </w:rPr>
              <w:t>T</w:t>
            </w:r>
          </w:p>
        </w:tc>
        <w:tc>
          <w:tcPr>
            <w:tcW w:w="1658" w:type="dxa"/>
            <w:shd w:val="clear" w:color="auto" w:fill="C4EFCE"/>
            <w:noWrap/>
            <w:vAlign w:val="center"/>
            <w:hideMark/>
          </w:tcPr>
          <w:p w14:paraId="750617A0" w14:textId="59CDDFE4" w:rsidR="00F24946" w:rsidRDefault="00613B06">
            <w:pPr>
              <w:pStyle w:val="P68B1DB1-Normal8"/>
              <w:spacing w:line="240" w:lineRule="auto"/>
              <w:jc w:val="center"/>
              <w:rPr>
                <w:rFonts w:eastAsia="Times New Roman" w:cs="Calibri"/>
                <w:noProof/>
              </w:rPr>
            </w:pPr>
            <w:r>
              <w:rPr>
                <w:noProof/>
              </w:rPr>
              <w:t>Izvajanje komasacijskih ukrepov Programa „Emparcelar para Ordenar“</w:t>
            </w:r>
          </w:p>
        </w:tc>
        <w:tc>
          <w:tcPr>
            <w:tcW w:w="1244" w:type="dxa"/>
            <w:shd w:val="clear" w:color="auto" w:fill="C4EFCE"/>
            <w:noWrap/>
            <w:vAlign w:val="center"/>
            <w:hideMark/>
          </w:tcPr>
          <w:p w14:paraId="2D5E51B8" w14:textId="4EF5F8CD" w:rsidR="00F24946" w:rsidRDefault="00F24946">
            <w:pPr>
              <w:spacing w:line="240" w:lineRule="auto"/>
              <w:jc w:val="center"/>
              <w:rPr>
                <w:rFonts w:ascii="Calibri" w:eastAsia="Times New Roman" w:hAnsi="Calibri" w:cs="Calibri"/>
                <w:noProof/>
                <w:sz w:val="16"/>
              </w:rPr>
            </w:pPr>
          </w:p>
        </w:tc>
        <w:tc>
          <w:tcPr>
            <w:tcW w:w="971" w:type="dxa"/>
            <w:shd w:val="clear" w:color="auto" w:fill="C4EFCE"/>
            <w:noWrap/>
            <w:vAlign w:val="center"/>
            <w:hideMark/>
          </w:tcPr>
          <w:p w14:paraId="2B246C1B" w14:textId="4F4C8370" w:rsidR="00F24946" w:rsidRDefault="00613B06">
            <w:pPr>
              <w:pStyle w:val="P68B1DB1-Normal8"/>
              <w:spacing w:line="240" w:lineRule="auto"/>
              <w:jc w:val="center"/>
              <w:rPr>
                <w:rFonts w:eastAsia="Times New Roman" w:cs="Calibri"/>
                <w:noProof/>
              </w:rPr>
            </w:pPr>
            <w:r>
              <w:rPr>
                <w:noProof/>
              </w:rPr>
              <w:t>Število</w:t>
            </w:r>
          </w:p>
        </w:tc>
        <w:tc>
          <w:tcPr>
            <w:tcW w:w="970" w:type="dxa"/>
            <w:shd w:val="clear" w:color="auto" w:fill="C4EFCE"/>
            <w:noWrap/>
            <w:vAlign w:val="center"/>
            <w:hideMark/>
          </w:tcPr>
          <w:p w14:paraId="74A9FCD5" w14:textId="23127662" w:rsidR="00F24946" w:rsidRDefault="00613B06">
            <w:pPr>
              <w:pStyle w:val="P68B1DB1-Normal8"/>
              <w:spacing w:line="240" w:lineRule="auto"/>
              <w:jc w:val="center"/>
              <w:rPr>
                <w:rFonts w:eastAsia="Times New Roman" w:cs="Calibri"/>
                <w:noProof/>
              </w:rPr>
            </w:pPr>
            <w:r>
              <w:rPr>
                <w:noProof/>
              </w:rPr>
              <w:t>0</w:t>
            </w:r>
          </w:p>
        </w:tc>
        <w:tc>
          <w:tcPr>
            <w:tcW w:w="603" w:type="dxa"/>
            <w:shd w:val="clear" w:color="auto" w:fill="C4EFCE"/>
            <w:noWrap/>
            <w:vAlign w:val="center"/>
            <w:hideMark/>
          </w:tcPr>
          <w:p w14:paraId="6F1E20D5" w14:textId="263A4976" w:rsidR="00F24946" w:rsidRDefault="00613B06">
            <w:pPr>
              <w:pStyle w:val="P68B1DB1-Normal8"/>
              <w:spacing w:line="240" w:lineRule="auto"/>
              <w:jc w:val="center"/>
              <w:rPr>
                <w:rFonts w:eastAsia="Times New Roman" w:cs="Calibri"/>
                <w:noProof/>
              </w:rPr>
            </w:pPr>
            <w:r>
              <w:rPr>
                <w:noProof/>
              </w:rPr>
              <w:t>2 000</w:t>
            </w:r>
          </w:p>
        </w:tc>
        <w:tc>
          <w:tcPr>
            <w:tcW w:w="649" w:type="dxa"/>
            <w:shd w:val="clear" w:color="auto" w:fill="C4EFCE"/>
            <w:noWrap/>
            <w:vAlign w:val="center"/>
            <w:hideMark/>
          </w:tcPr>
          <w:p w14:paraId="56EBFD99" w14:textId="3CBB469F" w:rsidR="00F24946" w:rsidRDefault="00613B06">
            <w:pPr>
              <w:pStyle w:val="P68B1DB1-Normal8"/>
              <w:spacing w:line="240" w:lineRule="auto"/>
              <w:jc w:val="center"/>
              <w:rPr>
                <w:rFonts w:eastAsia="Calibri" w:cs="Calibri"/>
                <w:noProof/>
              </w:rPr>
            </w:pPr>
            <w:r>
              <w:rPr>
                <w:noProof/>
              </w:rPr>
              <w:t>Q3</w:t>
            </w:r>
          </w:p>
        </w:tc>
        <w:tc>
          <w:tcPr>
            <w:tcW w:w="694" w:type="dxa"/>
            <w:shd w:val="clear" w:color="auto" w:fill="C4EFCE"/>
            <w:noWrap/>
            <w:vAlign w:val="center"/>
            <w:hideMark/>
          </w:tcPr>
          <w:p w14:paraId="692AA7BC" w14:textId="77912856" w:rsidR="00F24946" w:rsidRDefault="00613B06">
            <w:pPr>
              <w:pStyle w:val="P68B1DB1-Normal8"/>
              <w:spacing w:line="240" w:lineRule="auto"/>
              <w:jc w:val="center"/>
              <w:rPr>
                <w:rFonts w:eastAsia="Calibri" w:cs="Calibri"/>
                <w:noProof/>
              </w:rPr>
            </w:pPr>
            <w:r>
              <w:rPr>
                <w:noProof/>
              </w:rPr>
              <w:t>2025</w:t>
            </w:r>
          </w:p>
        </w:tc>
        <w:tc>
          <w:tcPr>
            <w:tcW w:w="4204" w:type="dxa"/>
            <w:shd w:val="clear" w:color="auto" w:fill="C4EFCE"/>
            <w:vAlign w:val="center"/>
            <w:hideMark/>
          </w:tcPr>
          <w:p w14:paraId="2CE69ECE" w14:textId="4E9E3716" w:rsidR="00F24946" w:rsidRDefault="00613B06">
            <w:pPr>
              <w:pStyle w:val="P68B1DB1-Normal8"/>
              <w:spacing w:line="240" w:lineRule="auto"/>
              <w:jc w:val="both"/>
              <w:rPr>
                <w:rFonts w:eastAsia="Times New Roman" w:cs="Calibri"/>
                <w:noProof/>
              </w:rPr>
            </w:pPr>
            <w:r>
              <w:rPr>
                <w:noProof/>
              </w:rPr>
              <w:t>2 000 ha podeželskih zemljišč na ranljivih ozemljih se arondira v okviru programa „Emparcelar para Ordenar“.</w:t>
            </w:r>
          </w:p>
        </w:tc>
      </w:tr>
      <w:tr w:rsidR="00F24946" w14:paraId="166CE461" w14:textId="77777777">
        <w:trPr>
          <w:trHeight w:val="1393"/>
          <w:jc w:val="center"/>
        </w:trPr>
        <w:tc>
          <w:tcPr>
            <w:tcW w:w="1114" w:type="dxa"/>
            <w:shd w:val="clear" w:color="auto" w:fill="C4EFCE"/>
            <w:vAlign w:val="center"/>
            <w:hideMark/>
          </w:tcPr>
          <w:p w14:paraId="22FEDCD3" w14:textId="77777777" w:rsidR="00F24946" w:rsidRDefault="00613B06">
            <w:pPr>
              <w:pStyle w:val="P68B1DB1-Normal7"/>
              <w:spacing w:after="0" w:line="240" w:lineRule="auto"/>
              <w:jc w:val="center"/>
              <w:rPr>
                <w:rFonts w:eastAsia="Times New Roman" w:cs="Calibri"/>
                <w:noProof/>
              </w:rPr>
            </w:pPr>
            <w:r>
              <w:rPr>
                <w:noProof/>
              </w:rPr>
              <w:t>8.4</w:t>
            </w:r>
          </w:p>
        </w:tc>
        <w:tc>
          <w:tcPr>
            <w:tcW w:w="1245" w:type="dxa"/>
            <w:shd w:val="clear" w:color="auto" w:fill="C4EFCE"/>
            <w:noWrap/>
            <w:vAlign w:val="center"/>
            <w:hideMark/>
          </w:tcPr>
          <w:p w14:paraId="266A4745" w14:textId="77777777" w:rsidR="00F24946" w:rsidRDefault="00613B06">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563CF9E2"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7C4B2871" w14:textId="77777777" w:rsidR="00F24946" w:rsidRDefault="00613B06">
            <w:pPr>
              <w:pStyle w:val="P68B1DB1-Normal8"/>
              <w:spacing w:after="0" w:line="240" w:lineRule="auto"/>
              <w:jc w:val="center"/>
              <w:rPr>
                <w:rFonts w:eastAsia="Times New Roman" w:cs="Calibri"/>
                <w:noProof/>
              </w:rPr>
            </w:pPr>
            <w:r>
              <w:rPr>
                <w:noProof/>
              </w:rPr>
              <w:t>Prehod na platformo BUPi 2.0</w:t>
            </w:r>
          </w:p>
        </w:tc>
        <w:tc>
          <w:tcPr>
            <w:tcW w:w="1244" w:type="dxa"/>
            <w:shd w:val="clear" w:color="auto" w:fill="C4EFCE"/>
            <w:noWrap/>
            <w:vAlign w:val="center"/>
            <w:hideMark/>
          </w:tcPr>
          <w:p w14:paraId="6A5B72FB" w14:textId="77777777" w:rsidR="00F24946" w:rsidRDefault="00613B06">
            <w:pPr>
              <w:pStyle w:val="P68B1DB1-Normal8"/>
              <w:spacing w:after="0" w:line="240" w:lineRule="auto"/>
              <w:jc w:val="center"/>
              <w:rPr>
                <w:rFonts w:eastAsia="Times New Roman" w:cs="Calibri"/>
                <w:noProof/>
              </w:rPr>
            </w:pPr>
            <w:r>
              <w:rPr>
                <w:noProof/>
              </w:rPr>
              <w:t>Začetek delovanja platforme BUPi 2.0</w:t>
            </w:r>
          </w:p>
        </w:tc>
        <w:tc>
          <w:tcPr>
            <w:tcW w:w="971" w:type="dxa"/>
            <w:shd w:val="clear" w:color="auto" w:fill="C4EFCE"/>
            <w:noWrap/>
            <w:vAlign w:val="center"/>
            <w:hideMark/>
          </w:tcPr>
          <w:p w14:paraId="5156F1CE"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F8757E3"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6435018"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6F647E2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noWrap/>
            <w:vAlign w:val="center"/>
            <w:hideMark/>
          </w:tcPr>
          <w:p w14:paraId="7D47E13F" w14:textId="77777777" w:rsidR="00F24946" w:rsidRDefault="00613B06">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9993AAD" w14:textId="77777777" w:rsidR="00F24946" w:rsidRDefault="00613B06">
            <w:pPr>
              <w:pStyle w:val="P68B1DB1-Normal8"/>
              <w:spacing w:after="0" w:line="240" w:lineRule="auto"/>
              <w:jc w:val="both"/>
              <w:rPr>
                <w:rFonts w:eastAsia="Times New Roman" w:cs="Calibri"/>
                <w:noProof/>
              </w:rPr>
            </w:pPr>
            <w:r>
              <w:rPr>
                <w:noProof/>
              </w:rPr>
              <w:t xml:space="preserve">Zagotavljanje platforme BUPi 2.0 v oblaku, ki bo nadgradila in razširila funkcije, ki že obstajajo v pilotnem projektu BUPi. BUPi 2.0 zagotavlja pokritost na nacionalni ravni in interoperabilnost različnih sistemov, ki jih trenutno upravljajo različni organi, vključno z davčnimi in carinskimi organi. BUPi 2.0 omogoča postopno uvajanje enotnih identifikacijskih številk nepremičnine. </w:t>
            </w:r>
          </w:p>
        </w:tc>
      </w:tr>
      <w:tr w:rsidR="00F24946" w14:paraId="4E3E25CA" w14:textId="77777777">
        <w:trPr>
          <w:trHeight w:val="640"/>
          <w:jc w:val="center"/>
        </w:trPr>
        <w:tc>
          <w:tcPr>
            <w:tcW w:w="1114" w:type="dxa"/>
            <w:shd w:val="clear" w:color="auto" w:fill="C4EFCE"/>
            <w:vAlign w:val="center"/>
            <w:hideMark/>
          </w:tcPr>
          <w:p w14:paraId="6A82156F" w14:textId="77777777" w:rsidR="00F24946" w:rsidRDefault="00613B06">
            <w:pPr>
              <w:pStyle w:val="P68B1DB1-Normal7"/>
              <w:spacing w:after="0" w:line="240" w:lineRule="auto"/>
              <w:jc w:val="center"/>
              <w:rPr>
                <w:rFonts w:eastAsia="Times New Roman" w:cs="Calibri"/>
                <w:noProof/>
              </w:rPr>
            </w:pPr>
            <w:r>
              <w:rPr>
                <w:noProof/>
              </w:rPr>
              <w:t>8.5</w:t>
            </w:r>
          </w:p>
        </w:tc>
        <w:tc>
          <w:tcPr>
            <w:tcW w:w="1245" w:type="dxa"/>
            <w:shd w:val="clear" w:color="auto" w:fill="C4EFCE"/>
            <w:noWrap/>
            <w:vAlign w:val="center"/>
            <w:hideMark/>
          </w:tcPr>
          <w:p w14:paraId="1B7D2602" w14:textId="77777777" w:rsidR="00F24946" w:rsidRDefault="00613B06">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2B27D6AC"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6343F3" w14:textId="77777777" w:rsidR="00F24946" w:rsidRDefault="00613B06">
            <w:pPr>
              <w:pStyle w:val="P68B1DB1-Normal8"/>
              <w:spacing w:after="0" w:line="240" w:lineRule="auto"/>
              <w:jc w:val="center"/>
              <w:rPr>
                <w:rFonts w:eastAsia="Times New Roman" w:cs="Calibri"/>
                <w:noProof/>
              </w:rPr>
            </w:pPr>
            <w:r>
              <w:rPr>
                <w:noProof/>
              </w:rPr>
              <w:t xml:space="preserve">Usposabljanje o BUPiju </w:t>
            </w:r>
          </w:p>
        </w:tc>
        <w:tc>
          <w:tcPr>
            <w:tcW w:w="1244" w:type="dxa"/>
            <w:shd w:val="clear" w:color="auto" w:fill="C4EFCE"/>
            <w:noWrap/>
            <w:vAlign w:val="center"/>
            <w:hideMark/>
          </w:tcPr>
          <w:p w14:paraId="25329559"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0984988" w14:textId="77777777" w:rsidR="00F24946" w:rsidRDefault="00613B06">
            <w:pPr>
              <w:pStyle w:val="P68B1DB1-Normal8"/>
              <w:spacing w:after="0" w:line="240" w:lineRule="auto"/>
              <w:jc w:val="center"/>
              <w:rPr>
                <w:rFonts w:eastAsia="Times New Roman" w:cs="Calibri"/>
                <w:noProof/>
              </w:rPr>
            </w:pPr>
            <w:r>
              <w:rPr>
                <w:noProof/>
              </w:rPr>
              <w:t xml:space="preserve"> Število</w:t>
            </w:r>
          </w:p>
        </w:tc>
        <w:tc>
          <w:tcPr>
            <w:tcW w:w="970" w:type="dxa"/>
            <w:shd w:val="clear" w:color="auto" w:fill="C4EFCE"/>
            <w:noWrap/>
            <w:vAlign w:val="center"/>
            <w:hideMark/>
          </w:tcPr>
          <w:p w14:paraId="0D49A3DA"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D1F9392" w14:textId="77777777" w:rsidR="00F24946" w:rsidRDefault="00613B06">
            <w:pPr>
              <w:pStyle w:val="P68B1DB1-Normal8"/>
              <w:spacing w:after="0" w:line="240" w:lineRule="auto"/>
              <w:jc w:val="center"/>
              <w:rPr>
                <w:rFonts w:eastAsia="Times New Roman" w:cs="Calibri"/>
                <w:noProof/>
              </w:rPr>
            </w:pPr>
            <w:r>
              <w:rPr>
                <w:noProof/>
              </w:rPr>
              <w:t>10</w:t>
            </w:r>
          </w:p>
        </w:tc>
        <w:tc>
          <w:tcPr>
            <w:tcW w:w="649" w:type="dxa"/>
            <w:shd w:val="clear" w:color="auto" w:fill="C4EFCE"/>
            <w:noWrap/>
            <w:vAlign w:val="center"/>
            <w:hideMark/>
          </w:tcPr>
          <w:p w14:paraId="1F6D3CC8"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3CC177FC" w14:textId="77777777" w:rsidR="00F24946" w:rsidRDefault="00613B06">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6E9D6ED2" w14:textId="26B42C5F" w:rsidR="00F24946" w:rsidRDefault="00613B06">
            <w:pPr>
              <w:pStyle w:val="P68B1DB1-Normal8"/>
              <w:spacing w:after="0" w:line="240" w:lineRule="auto"/>
              <w:jc w:val="both"/>
              <w:rPr>
                <w:rFonts w:eastAsia="Times New Roman" w:cs="Calibri"/>
                <w:noProof/>
              </w:rPr>
            </w:pPr>
            <w:r>
              <w:rPr>
                <w:noProof/>
              </w:rPr>
              <w:t xml:space="preserve">Število opravljenih četrtletnih usposabljanj v zvezi z BUPi za nacionalno usposobljene tehnike, ki izvajajo postopke grafičnega prikaza (RGG), osebje Inštituta registrov in notarjev (IRN), agenti davčnih organov, zemljiškoknjižni tehniki in tehniki iz Generalnega direktorata za </w:t>
            </w:r>
          </w:p>
          <w:p w14:paraId="6524C248" w14:textId="33C64846" w:rsidR="00F24946" w:rsidRDefault="00613B06">
            <w:pPr>
              <w:pStyle w:val="P68B1DB1-Normal8"/>
              <w:spacing w:after="0" w:line="240" w:lineRule="auto"/>
              <w:jc w:val="both"/>
              <w:rPr>
                <w:rFonts w:eastAsia="Times New Roman" w:cs="Calibri"/>
                <w:noProof/>
              </w:rPr>
            </w:pPr>
            <w:r>
              <w:rPr>
                <w:noProof/>
              </w:rPr>
              <w:t xml:space="preserve">Teritorialni uradniki in uradniki registra. </w:t>
            </w:r>
          </w:p>
        </w:tc>
      </w:tr>
      <w:tr w:rsidR="00F24946" w14:paraId="0E25F039" w14:textId="77777777">
        <w:trPr>
          <w:trHeight w:val="640"/>
          <w:jc w:val="center"/>
        </w:trPr>
        <w:tc>
          <w:tcPr>
            <w:tcW w:w="1114" w:type="dxa"/>
            <w:shd w:val="clear" w:color="auto" w:fill="C4EFCE"/>
            <w:vAlign w:val="center"/>
            <w:hideMark/>
          </w:tcPr>
          <w:p w14:paraId="413C83DC" w14:textId="77777777" w:rsidR="00F24946" w:rsidRDefault="00613B06">
            <w:pPr>
              <w:pStyle w:val="P68B1DB1-Normal7"/>
              <w:spacing w:after="0" w:line="240" w:lineRule="auto"/>
              <w:jc w:val="center"/>
              <w:rPr>
                <w:rFonts w:eastAsia="Times New Roman" w:cs="Calibri"/>
                <w:noProof/>
              </w:rPr>
            </w:pPr>
            <w:r>
              <w:rPr>
                <w:noProof/>
              </w:rPr>
              <w:t>8.6</w:t>
            </w:r>
          </w:p>
        </w:tc>
        <w:tc>
          <w:tcPr>
            <w:tcW w:w="1245" w:type="dxa"/>
            <w:shd w:val="clear" w:color="auto" w:fill="C4EFCE"/>
            <w:noWrap/>
            <w:vAlign w:val="center"/>
            <w:hideMark/>
          </w:tcPr>
          <w:p w14:paraId="499B61B8" w14:textId="77777777" w:rsidR="00F24946" w:rsidRDefault="00613B06">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69009EAB"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7D3E341" w14:textId="2C7A5E6B" w:rsidR="00F24946" w:rsidRDefault="00613B06">
            <w:pPr>
              <w:pStyle w:val="P68B1DB1-Normal8"/>
              <w:spacing w:after="0" w:line="240" w:lineRule="auto"/>
              <w:jc w:val="center"/>
              <w:rPr>
                <w:rFonts w:eastAsia="Times New Roman" w:cs="Calibri"/>
                <w:noProof/>
              </w:rPr>
            </w:pPr>
            <w:r>
              <w:rPr>
                <w:noProof/>
              </w:rPr>
              <w:t>Priprava referenčnega kartiranja za sistem za spremljanje pokrovnosti tal (SMOS)</w:t>
            </w:r>
          </w:p>
        </w:tc>
        <w:tc>
          <w:tcPr>
            <w:tcW w:w="1244" w:type="dxa"/>
            <w:shd w:val="clear" w:color="auto" w:fill="C4EFCE"/>
            <w:noWrap/>
            <w:vAlign w:val="center"/>
            <w:hideMark/>
          </w:tcPr>
          <w:p w14:paraId="76C22C58" w14:textId="6D8505C9" w:rsidR="00F24946" w:rsidRDefault="00613B06">
            <w:pPr>
              <w:pStyle w:val="P68B1DB1-Normal8"/>
              <w:spacing w:after="0" w:line="240" w:lineRule="auto"/>
              <w:jc w:val="center"/>
              <w:rPr>
                <w:rFonts w:eastAsia="Times New Roman" w:cs="Calibri"/>
                <w:noProof/>
              </w:rPr>
            </w:pPr>
            <w:r>
              <w:rPr>
                <w:noProof/>
              </w:rPr>
              <w:t>Priprava referenčnega kartiranja za sistem za spremljanje pokrovnosti tal (SMOS)</w:t>
            </w:r>
          </w:p>
        </w:tc>
        <w:tc>
          <w:tcPr>
            <w:tcW w:w="971" w:type="dxa"/>
            <w:shd w:val="clear" w:color="auto" w:fill="C4EFCE"/>
            <w:noWrap/>
            <w:vAlign w:val="center"/>
            <w:hideMark/>
          </w:tcPr>
          <w:p w14:paraId="122C3637"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970" w:type="dxa"/>
            <w:shd w:val="clear" w:color="auto" w:fill="C4EFCE"/>
            <w:noWrap/>
            <w:vAlign w:val="center"/>
            <w:hideMark/>
          </w:tcPr>
          <w:p w14:paraId="45289467"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40D204A4"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5408DD85"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noWrap/>
            <w:vAlign w:val="center"/>
            <w:hideMark/>
          </w:tcPr>
          <w:p w14:paraId="73271E44"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EC10692" w14:textId="1DF93F1F" w:rsidR="00F24946" w:rsidRDefault="00613B06">
            <w:pPr>
              <w:pStyle w:val="P68B1DB1-Normal8"/>
              <w:spacing w:after="0" w:line="240" w:lineRule="auto"/>
              <w:jc w:val="both"/>
              <w:rPr>
                <w:rFonts w:eastAsia="Times New Roman" w:cs="Calibri"/>
                <w:noProof/>
              </w:rPr>
            </w:pPr>
            <w:r>
              <w:rPr>
                <w:noProof/>
              </w:rPr>
              <w:t>Priprava referenčnega kartiranja za sistem za spremljanje pokrovnosti tal (SMOS), vključno z (i) objavo kart pokrovnosti in rabe zemljišč (COS) 2023, ki temelji na informacijah, ki jih potrdijo pristojni organi in ki prikazujejo geografsko predstavitev države ter zagotavljajo informacije o rabi in rabi zemljišč ter vrstah posevkov in pogozdovanja, (ii) digitalno tridimenzionalno predstavitev zemljišč z zaznavanjem in območjem svetlobnega zaznavanja (LiDAR), (iii) vegetacijskimi kartami, (iv) kartami biomase in obsega lesa ter (v) satelitskim pokritjem.</w:t>
            </w:r>
          </w:p>
        </w:tc>
      </w:tr>
      <w:tr w:rsidR="00F24946" w14:paraId="3C27D691" w14:textId="77777777">
        <w:trPr>
          <w:trHeight w:val="640"/>
          <w:jc w:val="center"/>
        </w:trPr>
        <w:tc>
          <w:tcPr>
            <w:tcW w:w="1114" w:type="dxa"/>
            <w:shd w:val="clear" w:color="auto" w:fill="C4EFCE"/>
            <w:vAlign w:val="center"/>
            <w:hideMark/>
          </w:tcPr>
          <w:p w14:paraId="607D84BC" w14:textId="77777777" w:rsidR="00F24946" w:rsidRDefault="00613B06">
            <w:pPr>
              <w:pStyle w:val="P68B1DB1-Normal7"/>
              <w:spacing w:after="0" w:line="240" w:lineRule="auto"/>
              <w:jc w:val="center"/>
              <w:rPr>
                <w:rFonts w:eastAsia="Times New Roman" w:cs="Calibri"/>
                <w:noProof/>
              </w:rPr>
            </w:pPr>
            <w:r>
              <w:rPr>
                <w:noProof/>
              </w:rPr>
              <w:t>8.7</w:t>
            </w:r>
          </w:p>
        </w:tc>
        <w:tc>
          <w:tcPr>
            <w:tcW w:w="1245" w:type="dxa"/>
            <w:shd w:val="clear" w:color="auto" w:fill="C4EFCE"/>
            <w:noWrap/>
            <w:vAlign w:val="center"/>
            <w:hideMark/>
          </w:tcPr>
          <w:p w14:paraId="4A5A0BD2" w14:textId="77777777" w:rsidR="00F24946" w:rsidRDefault="00613B06">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7B8443DD"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C2C678E" w14:textId="799E37C6" w:rsidR="00F24946" w:rsidRDefault="00613B06">
            <w:pPr>
              <w:pStyle w:val="P68B1DB1-Normal8"/>
              <w:spacing w:after="0" w:line="240" w:lineRule="auto"/>
              <w:jc w:val="center"/>
              <w:rPr>
                <w:rFonts w:eastAsia="Times New Roman" w:cs="Calibri"/>
                <w:noProof/>
              </w:rPr>
            </w:pPr>
            <w:r>
              <w:rPr>
                <w:noProof/>
              </w:rPr>
              <w:t>Objava pogodbe o mreži za strukturiranje upravljanja primarnih goriv (RPFGC)</w:t>
            </w:r>
          </w:p>
        </w:tc>
        <w:tc>
          <w:tcPr>
            <w:tcW w:w="1244" w:type="dxa"/>
            <w:shd w:val="clear" w:color="auto" w:fill="C4EFCE"/>
            <w:noWrap/>
            <w:vAlign w:val="center"/>
            <w:hideMark/>
          </w:tcPr>
          <w:p w14:paraId="6E8D6636" w14:textId="1EBD3616" w:rsidR="00F24946" w:rsidRDefault="00613B06">
            <w:pPr>
              <w:pStyle w:val="P68B1DB1-Normal8"/>
              <w:spacing w:after="0" w:line="240" w:lineRule="auto"/>
              <w:jc w:val="center"/>
              <w:rPr>
                <w:rFonts w:eastAsia="Times New Roman" w:cs="Calibri"/>
                <w:noProof/>
              </w:rPr>
            </w:pPr>
            <w:r>
              <w:rPr>
                <w:noProof/>
              </w:rPr>
              <w:t xml:space="preserve">Objava pogodbe o mreži za strukturiranje upravljanja primarnih goriv (RPFGC) v BASE.govu </w:t>
            </w:r>
          </w:p>
        </w:tc>
        <w:tc>
          <w:tcPr>
            <w:tcW w:w="971" w:type="dxa"/>
            <w:shd w:val="clear" w:color="auto" w:fill="C4EFCE"/>
            <w:noWrap/>
            <w:vAlign w:val="center"/>
            <w:hideMark/>
          </w:tcPr>
          <w:p w14:paraId="4197053A"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9B05337"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C755A51"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1D16C080"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noWrap/>
            <w:vAlign w:val="center"/>
            <w:hideMark/>
          </w:tcPr>
          <w:p w14:paraId="0CE3B7A2" w14:textId="77777777" w:rsidR="00F24946" w:rsidRDefault="00613B06">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708801F" w14:textId="314FDF93" w:rsidR="00F24946" w:rsidRDefault="00613B06">
            <w:pPr>
              <w:pStyle w:val="P68B1DB1-Normal8"/>
              <w:spacing w:after="0" w:line="240" w:lineRule="auto"/>
              <w:jc w:val="both"/>
              <w:rPr>
                <w:rFonts w:eastAsia="Times New Roman" w:cs="Calibri"/>
                <w:noProof/>
              </w:rPr>
            </w:pPr>
            <w:r>
              <w:rPr>
                <w:noProof/>
              </w:rPr>
              <w:t xml:space="preserve">Sklenitev pogodbe s strani pristojnega organa za izvajanje omrežja za strukturiranje upravljanja s primarnim gorivom (RPFGC) za ustvarjanje horizontalnih prekinitev pokrajine za izolacijo izbruhov požarov. </w:t>
            </w:r>
          </w:p>
        </w:tc>
      </w:tr>
      <w:tr w:rsidR="00F24946" w14:paraId="2117A862" w14:textId="77777777">
        <w:trPr>
          <w:trHeight w:val="300"/>
          <w:jc w:val="center"/>
        </w:trPr>
        <w:tc>
          <w:tcPr>
            <w:tcW w:w="1114" w:type="dxa"/>
            <w:shd w:val="clear" w:color="auto" w:fill="C4EFCE"/>
            <w:vAlign w:val="center"/>
            <w:hideMark/>
          </w:tcPr>
          <w:p w14:paraId="5F5F4015" w14:textId="77777777" w:rsidR="00F24946" w:rsidRDefault="00613B06">
            <w:pPr>
              <w:pStyle w:val="P68B1DB1-Normal7"/>
              <w:spacing w:after="0" w:line="240" w:lineRule="auto"/>
              <w:jc w:val="center"/>
              <w:rPr>
                <w:rFonts w:eastAsia="Times New Roman" w:cs="Calibri"/>
                <w:noProof/>
              </w:rPr>
            </w:pPr>
            <w:r>
              <w:rPr>
                <w:noProof/>
              </w:rPr>
              <w:t>8.8</w:t>
            </w:r>
          </w:p>
        </w:tc>
        <w:tc>
          <w:tcPr>
            <w:tcW w:w="1245" w:type="dxa"/>
            <w:shd w:val="clear" w:color="auto" w:fill="C4EFCE"/>
            <w:noWrap/>
            <w:vAlign w:val="center"/>
            <w:hideMark/>
          </w:tcPr>
          <w:p w14:paraId="642A4370" w14:textId="77777777" w:rsidR="00F24946" w:rsidRDefault="00613B06">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446A0969"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F7E64D" w14:textId="77777777" w:rsidR="00F24946" w:rsidRDefault="00613B06">
            <w:pPr>
              <w:pStyle w:val="P68B1DB1-Normal8"/>
              <w:spacing w:after="0" w:line="240" w:lineRule="auto"/>
              <w:jc w:val="center"/>
              <w:rPr>
                <w:rFonts w:eastAsia="Times New Roman" w:cs="Calibri"/>
                <w:noProof/>
              </w:rPr>
            </w:pPr>
            <w:r>
              <w:rPr>
                <w:noProof/>
              </w:rPr>
              <w:t>Vzpostavljeno služnostno območje</w:t>
            </w:r>
          </w:p>
        </w:tc>
        <w:tc>
          <w:tcPr>
            <w:tcW w:w="1244" w:type="dxa"/>
            <w:shd w:val="clear" w:color="auto" w:fill="C4EFCE"/>
            <w:noWrap/>
            <w:vAlign w:val="center"/>
            <w:hideMark/>
          </w:tcPr>
          <w:p w14:paraId="6B4AD3B0"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0A7FE39" w14:textId="77777777" w:rsidR="00F24946" w:rsidRDefault="00613B06">
            <w:pPr>
              <w:pStyle w:val="P68B1DB1-Normal8"/>
              <w:spacing w:after="0" w:line="240" w:lineRule="auto"/>
              <w:jc w:val="center"/>
              <w:rPr>
                <w:rFonts w:eastAsia="Times New Roman" w:cs="Calibri"/>
                <w:noProof/>
              </w:rPr>
            </w:pPr>
            <w:r>
              <w:rPr>
                <w:noProof/>
              </w:rPr>
              <w:t>ha</w:t>
            </w:r>
          </w:p>
        </w:tc>
        <w:tc>
          <w:tcPr>
            <w:tcW w:w="970" w:type="dxa"/>
            <w:shd w:val="clear" w:color="auto" w:fill="C4EFCE"/>
            <w:noWrap/>
            <w:vAlign w:val="center"/>
            <w:hideMark/>
          </w:tcPr>
          <w:p w14:paraId="37D0B124" w14:textId="77777777" w:rsidR="00F24946" w:rsidRDefault="00613B06">
            <w:pPr>
              <w:pStyle w:val="P68B1DB1-Normal8"/>
              <w:spacing w:after="0" w:line="240" w:lineRule="auto"/>
              <w:jc w:val="center"/>
              <w:rPr>
                <w:rFonts w:eastAsia="Times New Roman" w:cs="Calibri"/>
                <w:noProof/>
              </w:rPr>
            </w:pPr>
            <w:r>
              <w:rPr>
                <w:noProof/>
              </w:rPr>
              <w:t> 0</w:t>
            </w:r>
          </w:p>
        </w:tc>
        <w:tc>
          <w:tcPr>
            <w:tcW w:w="603" w:type="dxa"/>
            <w:shd w:val="clear" w:color="auto" w:fill="C4EFCE"/>
            <w:noWrap/>
            <w:vAlign w:val="center"/>
            <w:hideMark/>
          </w:tcPr>
          <w:p w14:paraId="5C288326" w14:textId="77777777" w:rsidR="00F24946" w:rsidRDefault="00613B06">
            <w:pPr>
              <w:pStyle w:val="P68B1DB1-Normal8"/>
              <w:spacing w:after="0" w:line="240" w:lineRule="auto"/>
              <w:jc w:val="center"/>
              <w:rPr>
                <w:rFonts w:eastAsia="Times New Roman" w:cs="Calibri"/>
                <w:noProof/>
              </w:rPr>
            </w:pPr>
            <w:r>
              <w:rPr>
                <w:noProof/>
              </w:rPr>
              <w:t>21 727</w:t>
            </w:r>
          </w:p>
        </w:tc>
        <w:tc>
          <w:tcPr>
            <w:tcW w:w="649" w:type="dxa"/>
            <w:shd w:val="clear" w:color="auto" w:fill="C4EFCE"/>
            <w:noWrap/>
            <w:vAlign w:val="center"/>
            <w:hideMark/>
          </w:tcPr>
          <w:p w14:paraId="193C372D"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hideMark/>
          </w:tcPr>
          <w:p w14:paraId="361D822E" w14:textId="50E1ABB3"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050DA219" w14:textId="1156CC5A" w:rsidR="00F24946" w:rsidRDefault="00613B06">
            <w:pPr>
              <w:pStyle w:val="P68B1DB1-Normal8"/>
              <w:spacing w:after="0" w:line="240" w:lineRule="auto"/>
              <w:jc w:val="both"/>
              <w:rPr>
                <w:rFonts w:eastAsia="Times New Roman" w:cs="Calibri"/>
                <w:noProof/>
              </w:rPr>
            </w:pPr>
            <w:r>
              <w:rPr>
                <w:noProof/>
              </w:rPr>
              <w:t>Služnostno območje, vzpostavljeno v primarni mreži premorov za upravljanje goriva (RPFGC)</w:t>
            </w:r>
          </w:p>
          <w:p w14:paraId="2517E778" w14:textId="6DC1028B" w:rsidR="00F24946" w:rsidRDefault="00613B06">
            <w:pPr>
              <w:pStyle w:val="P68B1DB1-Normal8"/>
              <w:spacing w:after="0" w:line="240" w:lineRule="auto"/>
              <w:jc w:val="both"/>
              <w:rPr>
                <w:rFonts w:eastAsia="Times New Roman" w:cs="Calibri"/>
                <w:noProof/>
              </w:rPr>
            </w:pPr>
            <w:r>
              <w:rPr>
                <w:noProof/>
              </w:rPr>
              <w:t>To zemljišče se vključi v platformo BUPi, da se omogoči nadaljnji posebni postopek registracije.</w:t>
            </w:r>
          </w:p>
        </w:tc>
      </w:tr>
      <w:tr w:rsidR="00F24946" w14:paraId="392C2D5D" w14:textId="77777777">
        <w:trPr>
          <w:trHeight w:val="430"/>
          <w:jc w:val="center"/>
        </w:trPr>
        <w:tc>
          <w:tcPr>
            <w:tcW w:w="1114" w:type="dxa"/>
            <w:shd w:val="clear" w:color="auto" w:fill="C4EFCE"/>
            <w:vAlign w:val="center"/>
            <w:hideMark/>
          </w:tcPr>
          <w:p w14:paraId="23A37D83" w14:textId="77777777" w:rsidR="00F24946" w:rsidRDefault="00613B06">
            <w:pPr>
              <w:pStyle w:val="P68B1DB1-Normal7"/>
              <w:spacing w:after="0" w:line="240" w:lineRule="auto"/>
              <w:jc w:val="center"/>
              <w:rPr>
                <w:rFonts w:eastAsia="Times New Roman" w:cs="Calibri"/>
                <w:noProof/>
              </w:rPr>
            </w:pPr>
            <w:r>
              <w:rPr>
                <w:noProof/>
              </w:rPr>
              <w:t>8.9</w:t>
            </w:r>
          </w:p>
        </w:tc>
        <w:tc>
          <w:tcPr>
            <w:tcW w:w="1245" w:type="dxa"/>
            <w:shd w:val="clear" w:color="auto" w:fill="C4EFCE"/>
            <w:noWrap/>
            <w:vAlign w:val="center"/>
            <w:hideMark/>
          </w:tcPr>
          <w:p w14:paraId="5212D01F" w14:textId="77777777" w:rsidR="00F24946" w:rsidRDefault="00613B06">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36C724AE"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0D704E0" w14:textId="17A8A212" w:rsidR="00F24946" w:rsidRDefault="00613B06">
            <w:pPr>
              <w:pStyle w:val="P68B1DB1-Normal8"/>
              <w:spacing w:after="0" w:line="240" w:lineRule="auto"/>
              <w:jc w:val="center"/>
              <w:rPr>
                <w:rFonts w:eastAsia="Times New Roman" w:cs="Calibri"/>
                <w:noProof/>
              </w:rPr>
            </w:pPr>
            <w:r>
              <w:rPr>
                <w:noProof/>
              </w:rPr>
              <w:t>Izvajanje mreže za strukturiranje upravljanja primarnih goriv (RPFGC)</w:t>
            </w:r>
          </w:p>
        </w:tc>
        <w:tc>
          <w:tcPr>
            <w:tcW w:w="1244" w:type="dxa"/>
            <w:shd w:val="clear" w:color="auto" w:fill="C4EFCE"/>
            <w:noWrap/>
            <w:vAlign w:val="center"/>
            <w:hideMark/>
          </w:tcPr>
          <w:p w14:paraId="23E2BACD"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4C251181" w14:textId="77777777" w:rsidR="00F24946" w:rsidRDefault="00613B06">
            <w:pPr>
              <w:pStyle w:val="P68B1DB1-Normal8"/>
              <w:spacing w:after="0" w:line="240" w:lineRule="auto"/>
              <w:jc w:val="center"/>
              <w:rPr>
                <w:rFonts w:eastAsia="Times New Roman" w:cs="Calibri"/>
                <w:noProof/>
              </w:rPr>
            </w:pPr>
            <w:r>
              <w:rPr>
                <w:noProof/>
              </w:rPr>
              <w:t>Število</w:t>
            </w:r>
          </w:p>
        </w:tc>
        <w:tc>
          <w:tcPr>
            <w:tcW w:w="970" w:type="dxa"/>
            <w:shd w:val="clear" w:color="auto" w:fill="C4EFCE"/>
            <w:noWrap/>
            <w:vAlign w:val="center"/>
            <w:hideMark/>
          </w:tcPr>
          <w:p w14:paraId="451D6332" w14:textId="77777777" w:rsidR="00F24946" w:rsidRDefault="00613B06">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13734D22" w14:textId="77777777" w:rsidR="00F24946" w:rsidRDefault="00613B06">
            <w:pPr>
              <w:pStyle w:val="P68B1DB1-Normal8"/>
              <w:spacing w:after="0" w:line="240" w:lineRule="auto"/>
              <w:jc w:val="center"/>
              <w:rPr>
                <w:rFonts w:eastAsia="Times New Roman" w:cs="Calibri"/>
                <w:noProof/>
              </w:rPr>
            </w:pPr>
            <w:r>
              <w:rPr>
                <w:noProof/>
              </w:rPr>
              <w:t>37 500</w:t>
            </w:r>
          </w:p>
        </w:tc>
        <w:tc>
          <w:tcPr>
            <w:tcW w:w="649" w:type="dxa"/>
            <w:shd w:val="clear" w:color="auto" w:fill="C4EFCE"/>
            <w:noWrap/>
            <w:vAlign w:val="center"/>
            <w:hideMark/>
          </w:tcPr>
          <w:p w14:paraId="4962CE45"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6E8FFA64"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485B98D" w14:textId="3D8CF93E" w:rsidR="00F24946" w:rsidRDefault="00613B06">
            <w:pPr>
              <w:pStyle w:val="P68B1DB1-Normal8"/>
              <w:spacing w:after="0" w:line="240" w:lineRule="auto"/>
              <w:jc w:val="both"/>
              <w:rPr>
                <w:rFonts w:eastAsia="Times New Roman" w:cs="Calibri"/>
                <w:noProof/>
              </w:rPr>
            </w:pPr>
            <w:r>
              <w:rPr>
                <w:noProof/>
              </w:rPr>
              <w:t>Izvedeno območje (v ha) primarne mreže premorov za upravljanje goriva (RPFGC) – ustvarjanje horizontalnih prekinitev (razredi upravljanja z gorivom) v pokrajini za izolacijo izbruhov požarov.</w:t>
            </w:r>
          </w:p>
        </w:tc>
      </w:tr>
      <w:tr w:rsidR="00F24946" w14:paraId="13D047D8" w14:textId="77777777">
        <w:trPr>
          <w:trHeight w:val="430"/>
          <w:jc w:val="center"/>
        </w:trPr>
        <w:tc>
          <w:tcPr>
            <w:tcW w:w="1114" w:type="dxa"/>
            <w:shd w:val="clear" w:color="auto" w:fill="C4EFCE"/>
            <w:vAlign w:val="center"/>
            <w:hideMark/>
          </w:tcPr>
          <w:p w14:paraId="6ED52C23" w14:textId="77777777" w:rsidR="00F24946" w:rsidRDefault="00613B06">
            <w:pPr>
              <w:pStyle w:val="P68B1DB1-Normal7"/>
              <w:spacing w:after="0" w:line="240" w:lineRule="auto"/>
              <w:jc w:val="center"/>
              <w:rPr>
                <w:rFonts w:eastAsia="Times New Roman" w:cs="Calibri"/>
                <w:noProof/>
              </w:rPr>
            </w:pPr>
            <w:r>
              <w:rPr>
                <w:noProof/>
              </w:rPr>
              <w:t>8.10</w:t>
            </w:r>
          </w:p>
        </w:tc>
        <w:tc>
          <w:tcPr>
            <w:tcW w:w="1245" w:type="dxa"/>
            <w:shd w:val="clear" w:color="auto" w:fill="C4EFCE"/>
            <w:noWrap/>
            <w:vAlign w:val="center"/>
            <w:hideMark/>
          </w:tcPr>
          <w:p w14:paraId="030B3560" w14:textId="77777777" w:rsidR="00F24946" w:rsidRDefault="00613B06">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600B64B0"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022925A" w14:textId="77777777" w:rsidR="00F24946" w:rsidRDefault="00613B06">
            <w:pPr>
              <w:pStyle w:val="P68B1DB1-Normal8"/>
              <w:spacing w:after="0" w:line="240" w:lineRule="auto"/>
              <w:jc w:val="center"/>
              <w:rPr>
                <w:rFonts w:eastAsia="Times New Roman" w:cs="Calibri"/>
                <w:noProof/>
              </w:rPr>
            </w:pPr>
            <w:r>
              <w:rPr>
                <w:noProof/>
              </w:rPr>
              <w:t>Dostava vozil, strojev in opreme</w:t>
            </w:r>
          </w:p>
        </w:tc>
        <w:tc>
          <w:tcPr>
            <w:tcW w:w="1244" w:type="dxa"/>
            <w:shd w:val="clear" w:color="auto" w:fill="C4EFCE"/>
            <w:noWrap/>
            <w:vAlign w:val="center"/>
            <w:hideMark/>
          </w:tcPr>
          <w:p w14:paraId="39554C14"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18547CC0" w14:textId="77777777" w:rsidR="00F24946" w:rsidRDefault="00613B06">
            <w:pPr>
              <w:pStyle w:val="P68B1DB1-Normal8"/>
              <w:spacing w:after="0" w:line="240" w:lineRule="auto"/>
              <w:jc w:val="center"/>
              <w:rPr>
                <w:rFonts w:eastAsia="Times New Roman" w:cs="Calibri"/>
                <w:noProof/>
              </w:rPr>
            </w:pPr>
            <w:r>
              <w:rPr>
                <w:noProof/>
              </w:rPr>
              <w:t xml:space="preserve"> Število</w:t>
            </w:r>
          </w:p>
        </w:tc>
        <w:tc>
          <w:tcPr>
            <w:tcW w:w="970" w:type="dxa"/>
            <w:shd w:val="clear" w:color="auto" w:fill="C4EFCE"/>
            <w:noWrap/>
            <w:vAlign w:val="center"/>
            <w:hideMark/>
          </w:tcPr>
          <w:p w14:paraId="7C429149" w14:textId="77777777" w:rsidR="00F24946" w:rsidRDefault="00613B06">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20CC9EEC" w14:textId="77777777" w:rsidR="00F24946" w:rsidRDefault="00613B06">
            <w:pPr>
              <w:pStyle w:val="P68B1DB1-Normal8"/>
              <w:spacing w:after="0" w:line="240" w:lineRule="auto"/>
              <w:jc w:val="center"/>
              <w:rPr>
                <w:rFonts w:eastAsia="Times New Roman" w:cs="Calibri"/>
                <w:noProof/>
              </w:rPr>
            </w:pPr>
            <w:r>
              <w:rPr>
                <w:noProof/>
              </w:rPr>
              <w:t>179</w:t>
            </w:r>
          </w:p>
        </w:tc>
        <w:tc>
          <w:tcPr>
            <w:tcW w:w="649" w:type="dxa"/>
            <w:shd w:val="clear" w:color="auto" w:fill="C4EFCE"/>
            <w:noWrap/>
            <w:vAlign w:val="center"/>
            <w:hideMark/>
          </w:tcPr>
          <w:p w14:paraId="64F991E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noWrap/>
            <w:vAlign w:val="center"/>
            <w:hideMark/>
          </w:tcPr>
          <w:p w14:paraId="555E763F" w14:textId="77777777" w:rsidR="00F24946" w:rsidRDefault="00613B06">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23EB455A" w14:textId="77777777" w:rsidR="00F24946" w:rsidRDefault="00613B06">
            <w:pPr>
              <w:pStyle w:val="P68B1DB1-Normal8"/>
              <w:spacing w:after="0" w:line="240" w:lineRule="auto"/>
              <w:jc w:val="both"/>
              <w:rPr>
                <w:rFonts w:eastAsia="Times New Roman" w:cs="Calibri"/>
                <w:noProof/>
              </w:rPr>
            </w:pPr>
            <w:r>
              <w:rPr>
                <w:noProof/>
              </w:rPr>
              <w:t>Dobava protipožarnih vozil, strojev in opreme za gašenje požarov, po potrditvi, da ustrezajo tehničnim specifikacijam in drugim pogodbenim zahtevam, v skladu z razpisnim postopkom.</w:t>
            </w:r>
          </w:p>
        </w:tc>
      </w:tr>
      <w:tr w:rsidR="00F24946" w14:paraId="487ADD74" w14:textId="77777777">
        <w:trPr>
          <w:trHeight w:val="1109"/>
          <w:jc w:val="center"/>
        </w:trPr>
        <w:tc>
          <w:tcPr>
            <w:tcW w:w="1114" w:type="dxa"/>
            <w:shd w:val="clear" w:color="auto" w:fill="C4EFCE"/>
            <w:vAlign w:val="center"/>
            <w:hideMark/>
          </w:tcPr>
          <w:p w14:paraId="3860DB26" w14:textId="77777777" w:rsidR="00F24946" w:rsidRDefault="00613B06">
            <w:pPr>
              <w:pStyle w:val="P68B1DB1-Normal7"/>
              <w:spacing w:after="0" w:line="240" w:lineRule="auto"/>
              <w:jc w:val="center"/>
              <w:rPr>
                <w:rFonts w:eastAsia="Times New Roman" w:cs="Calibri"/>
                <w:noProof/>
              </w:rPr>
            </w:pPr>
            <w:r>
              <w:rPr>
                <w:noProof/>
              </w:rPr>
              <w:t>8.11</w:t>
            </w:r>
          </w:p>
        </w:tc>
        <w:tc>
          <w:tcPr>
            <w:tcW w:w="1245" w:type="dxa"/>
            <w:shd w:val="clear" w:color="auto" w:fill="C4EFCE"/>
            <w:noWrap/>
            <w:vAlign w:val="center"/>
            <w:hideMark/>
          </w:tcPr>
          <w:p w14:paraId="76C404B0" w14:textId="77777777" w:rsidR="00F24946" w:rsidRDefault="00613B06">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58F4C381"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0FD1789" w14:textId="77777777" w:rsidR="00F24946" w:rsidRDefault="00613B06">
            <w:pPr>
              <w:pStyle w:val="P68B1DB1-Normal8"/>
              <w:spacing w:after="0" w:line="240" w:lineRule="auto"/>
              <w:jc w:val="center"/>
              <w:rPr>
                <w:rFonts w:eastAsia="Times New Roman" w:cs="Calibri"/>
                <w:noProof/>
              </w:rPr>
            </w:pPr>
            <w:r>
              <w:rPr>
                <w:noProof/>
              </w:rPr>
              <w:t>Dostava lahkih in srednje velikih gasilskih helikopterjev</w:t>
            </w:r>
          </w:p>
        </w:tc>
        <w:tc>
          <w:tcPr>
            <w:tcW w:w="1244" w:type="dxa"/>
            <w:shd w:val="clear" w:color="auto" w:fill="C4EFCE"/>
            <w:noWrap/>
            <w:vAlign w:val="center"/>
            <w:hideMark/>
          </w:tcPr>
          <w:p w14:paraId="487CBD48"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74765D2D" w14:textId="77777777" w:rsidR="00F24946" w:rsidRDefault="00613B06">
            <w:pPr>
              <w:pStyle w:val="P68B1DB1-Normal8"/>
              <w:spacing w:after="0" w:line="240" w:lineRule="auto"/>
              <w:jc w:val="center"/>
              <w:rPr>
                <w:rFonts w:eastAsia="Times New Roman" w:cs="Calibri"/>
                <w:noProof/>
              </w:rPr>
            </w:pPr>
            <w:r>
              <w:rPr>
                <w:noProof/>
              </w:rPr>
              <w:t xml:space="preserve"> Število</w:t>
            </w:r>
          </w:p>
        </w:tc>
        <w:tc>
          <w:tcPr>
            <w:tcW w:w="970" w:type="dxa"/>
            <w:shd w:val="clear" w:color="auto" w:fill="C4EFCE"/>
            <w:noWrap/>
            <w:vAlign w:val="center"/>
            <w:hideMark/>
          </w:tcPr>
          <w:p w14:paraId="7BE1885F"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16399CA0" w14:textId="64428CEC" w:rsidR="00F24946" w:rsidRDefault="00613B06">
            <w:pPr>
              <w:pStyle w:val="P68B1DB1-Normal8"/>
              <w:spacing w:after="0" w:line="240" w:lineRule="auto"/>
              <w:jc w:val="center"/>
              <w:rPr>
                <w:rFonts w:eastAsia="Calibri" w:cs="Calibri"/>
                <w:noProof/>
              </w:rPr>
            </w:pPr>
            <w:r>
              <w:rPr>
                <w:noProof/>
              </w:rPr>
              <w:t>11</w:t>
            </w:r>
          </w:p>
        </w:tc>
        <w:tc>
          <w:tcPr>
            <w:tcW w:w="649" w:type="dxa"/>
            <w:shd w:val="clear" w:color="auto" w:fill="C4EFCE"/>
            <w:noWrap/>
            <w:vAlign w:val="center"/>
            <w:hideMark/>
          </w:tcPr>
          <w:p w14:paraId="3B3A6032"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49892F3C"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EE5FF2B" w14:textId="7512F60A" w:rsidR="00F24946" w:rsidRDefault="00613B06">
            <w:pPr>
              <w:pStyle w:val="P68B1DB1-Normal8"/>
              <w:spacing w:after="0" w:line="240" w:lineRule="auto"/>
              <w:jc w:val="both"/>
              <w:rPr>
                <w:rFonts w:eastAsia="Times New Roman" w:cs="Calibri"/>
                <w:noProof/>
              </w:rPr>
            </w:pPr>
            <w:r>
              <w:rPr>
                <w:noProof/>
              </w:rPr>
              <w:t>Dobava dveh lahkih gasilskih helikopterjev (HEBL) in devetih srednje velikih gasilskih helikopterjev (HEBM) po potrditvi, da izpolnjujejo tehnične specifikacije in druge pogodbene zahteve. Cilj vključuje tudi gradnjo in/ali obnovo stavb in infrastrukture za uporabo in vzdrževanje helikopterjev.</w:t>
            </w:r>
          </w:p>
        </w:tc>
      </w:tr>
      <w:tr w:rsidR="00F24946" w14:paraId="3D57C30A" w14:textId="77777777">
        <w:trPr>
          <w:trHeight w:val="1602"/>
          <w:jc w:val="center"/>
        </w:trPr>
        <w:tc>
          <w:tcPr>
            <w:tcW w:w="1114" w:type="dxa"/>
            <w:shd w:val="clear" w:color="auto" w:fill="C4EFCE"/>
            <w:vAlign w:val="center"/>
            <w:hideMark/>
          </w:tcPr>
          <w:p w14:paraId="2C8E73E6" w14:textId="77777777" w:rsidR="00F24946" w:rsidRDefault="00613B06">
            <w:pPr>
              <w:pStyle w:val="P68B1DB1-Normal7"/>
              <w:spacing w:after="0" w:line="240" w:lineRule="auto"/>
              <w:jc w:val="center"/>
              <w:rPr>
                <w:rFonts w:eastAsia="Times New Roman" w:cs="Calibri"/>
                <w:noProof/>
              </w:rPr>
            </w:pPr>
            <w:r>
              <w:rPr>
                <w:noProof/>
              </w:rPr>
              <w:t>8.12</w:t>
            </w:r>
          </w:p>
        </w:tc>
        <w:tc>
          <w:tcPr>
            <w:tcW w:w="1245" w:type="dxa"/>
            <w:shd w:val="clear" w:color="auto" w:fill="C4EFCE"/>
            <w:noWrap/>
            <w:vAlign w:val="center"/>
            <w:hideMark/>
          </w:tcPr>
          <w:p w14:paraId="70010057" w14:textId="77777777" w:rsidR="00F24946" w:rsidRDefault="00613B06">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7176F5E0"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BC37E58" w14:textId="77777777" w:rsidR="00F24946" w:rsidRDefault="00613B06">
            <w:pPr>
              <w:pStyle w:val="P68B1DB1-Normal8"/>
              <w:spacing w:after="0" w:line="240" w:lineRule="auto"/>
              <w:jc w:val="center"/>
              <w:rPr>
                <w:rFonts w:eastAsia="Times New Roman" w:cs="Calibri"/>
                <w:noProof/>
              </w:rPr>
            </w:pPr>
            <w:r>
              <w:rPr>
                <w:noProof/>
              </w:rPr>
              <w:t xml:space="preserve">Namestitev radarjev za dvojno polarizacijo </w:t>
            </w:r>
          </w:p>
        </w:tc>
        <w:tc>
          <w:tcPr>
            <w:tcW w:w="1244" w:type="dxa"/>
            <w:shd w:val="clear" w:color="auto" w:fill="C4EFCE"/>
            <w:noWrap/>
            <w:vAlign w:val="center"/>
            <w:hideMark/>
          </w:tcPr>
          <w:p w14:paraId="15D2EC6F"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57C5188B" w14:textId="77777777" w:rsidR="00F24946" w:rsidRDefault="00613B06">
            <w:pPr>
              <w:pStyle w:val="P68B1DB1-Normal8"/>
              <w:spacing w:after="0" w:line="240" w:lineRule="auto"/>
              <w:jc w:val="center"/>
              <w:rPr>
                <w:rFonts w:eastAsia="Times New Roman" w:cs="Calibri"/>
                <w:noProof/>
              </w:rPr>
            </w:pPr>
            <w:r>
              <w:rPr>
                <w:noProof/>
              </w:rPr>
              <w:t xml:space="preserve"> Število</w:t>
            </w:r>
          </w:p>
        </w:tc>
        <w:tc>
          <w:tcPr>
            <w:tcW w:w="970" w:type="dxa"/>
            <w:shd w:val="clear" w:color="auto" w:fill="C4EFCE"/>
            <w:noWrap/>
            <w:vAlign w:val="center"/>
            <w:hideMark/>
          </w:tcPr>
          <w:p w14:paraId="3F4B6B81"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B6819FD" w14:textId="77777777" w:rsidR="00F24946" w:rsidRDefault="00613B06">
            <w:pPr>
              <w:pStyle w:val="P68B1DB1-Normal8"/>
              <w:spacing w:after="0" w:line="240" w:lineRule="auto"/>
              <w:jc w:val="center"/>
              <w:rPr>
                <w:rFonts w:eastAsia="Times New Roman" w:cs="Calibri"/>
                <w:noProof/>
              </w:rPr>
            </w:pPr>
            <w:r>
              <w:rPr>
                <w:noProof/>
              </w:rPr>
              <w:t>2</w:t>
            </w:r>
          </w:p>
        </w:tc>
        <w:tc>
          <w:tcPr>
            <w:tcW w:w="649" w:type="dxa"/>
            <w:shd w:val="clear" w:color="auto" w:fill="C4EFCE"/>
            <w:noWrap/>
            <w:vAlign w:val="center"/>
            <w:hideMark/>
          </w:tcPr>
          <w:p w14:paraId="73B9EEDA" w14:textId="7375E0C1"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3F0D0945" w14:textId="77777777" w:rsidR="00F24946" w:rsidRDefault="00613B06">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72298171" w14:textId="77777777" w:rsidR="00F24946" w:rsidRDefault="00613B06">
            <w:pPr>
              <w:pStyle w:val="P68B1DB1-Normal8"/>
              <w:spacing w:after="0" w:line="240" w:lineRule="auto"/>
              <w:jc w:val="both"/>
              <w:rPr>
                <w:rFonts w:eastAsia="Times New Roman" w:cs="Calibri"/>
                <w:noProof/>
              </w:rPr>
            </w:pPr>
            <w:r>
              <w:rPr>
                <w:noProof/>
              </w:rPr>
              <w:t>Namestitev dveh radarjev za dvojno polarizacijo s potrebnim računalniškim in arhivskim sistemom, dvema detektorjema strele in dvema vremenskima meteorološkima postajama. Namestitev se opravi po potrditvi, da ustreza tehničnim specifikacijam in drugim pogodbenim zahtevam.</w:t>
            </w:r>
          </w:p>
        </w:tc>
      </w:tr>
      <w:tr w:rsidR="00F24946" w14:paraId="28363569" w14:textId="77777777">
        <w:trPr>
          <w:trHeight w:val="430"/>
          <w:jc w:val="center"/>
        </w:trPr>
        <w:tc>
          <w:tcPr>
            <w:tcW w:w="1114" w:type="dxa"/>
            <w:shd w:val="clear" w:color="auto" w:fill="C4EFCE"/>
            <w:vAlign w:val="center"/>
            <w:hideMark/>
          </w:tcPr>
          <w:p w14:paraId="6AE21B31" w14:textId="77777777" w:rsidR="00F24946" w:rsidRDefault="00613B06">
            <w:pPr>
              <w:pStyle w:val="P68B1DB1-Normal7"/>
              <w:spacing w:after="0" w:line="240" w:lineRule="auto"/>
              <w:jc w:val="center"/>
              <w:rPr>
                <w:rFonts w:eastAsia="Times New Roman" w:cs="Calibri"/>
                <w:noProof/>
              </w:rPr>
            </w:pPr>
            <w:r>
              <w:rPr>
                <w:noProof/>
              </w:rPr>
              <w:t>8.13</w:t>
            </w:r>
          </w:p>
        </w:tc>
        <w:tc>
          <w:tcPr>
            <w:tcW w:w="1245" w:type="dxa"/>
            <w:shd w:val="clear" w:color="auto" w:fill="C4EFCE"/>
            <w:noWrap/>
            <w:vAlign w:val="center"/>
            <w:hideMark/>
          </w:tcPr>
          <w:p w14:paraId="7F3A085B" w14:textId="77777777" w:rsidR="00F24946" w:rsidRDefault="00613B06">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705F7814"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98E7C32" w14:textId="77777777" w:rsidR="00F24946" w:rsidRDefault="00613B06">
            <w:pPr>
              <w:pStyle w:val="P68B1DB1-Normal8"/>
              <w:spacing w:after="0" w:line="240" w:lineRule="auto"/>
              <w:jc w:val="center"/>
              <w:rPr>
                <w:rFonts w:eastAsia="Times New Roman" w:cs="Calibri"/>
                <w:noProof/>
              </w:rPr>
            </w:pPr>
            <w:r>
              <w:rPr>
                <w:noProof/>
              </w:rPr>
              <w:t>Okrepitev subjektov ministrstva za notranje zadeve z vozili in operativno opremo</w:t>
            </w:r>
          </w:p>
        </w:tc>
        <w:tc>
          <w:tcPr>
            <w:tcW w:w="1244" w:type="dxa"/>
            <w:shd w:val="clear" w:color="auto" w:fill="C4EFCE"/>
            <w:noWrap/>
            <w:vAlign w:val="center"/>
            <w:hideMark/>
          </w:tcPr>
          <w:p w14:paraId="0A3F576B"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B0961C3" w14:textId="77777777" w:rsidR="00F24946" w:rsidRDefault="00613B06">
            <w:pPr>
              <w:pStyle w:val="P68B1DB1-Normal8"/>
              <w:spacing w:after="0" w:line="240" w:lineRule="auto"/>
              <w:jc w:val="center"/>
              <w:rPr>
                <w:rFonts w:eastAsia="Times New Roman" w:cs="Calibri"/>
                <w:noProof/>
              </w:rPr>
            </w:pPr>
            <w:r>
              <w:rPr>
                <w:noProof/>
              </w:rPr>
              <w:t>Število</w:t>
            </w:r>
          </w:p>
        </w:tc>
        <w:tc>
          <w:tcPr>
            <w:tcW w:w="970" w:type="dxa"/>
            <w:shd w:val="clear" w:color="auto" w:fill="C4EFCE"/>
            <w:noWrap/>
            <w:vAlign w:val="center"/>
            <w:hideMark/>
          </w:tcPr>
          <w:p w14:paraId="71F85106"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E49558E" w14:textId="77777777" w:rsidR="00F24946" w:rsidRDefault="00613B06">
            <w:pPr>
              <w:pStyle w:val="P68B1DB1-Normal8"/>
              <w:spacing w:after="0" w:line="240" w:lineRule="auto"/>
              <w:jc w:val="center"/>
              <w:rPr>
                <w:rFonts w:eastAsia="Times New Roman" w:cs="Calibri"/>
                <w:noProof/>
              </w:rPr>
            </w:pPr>
            <w:r>
              <w:rPr>
                <w:noProof/>
              </w:rPr>
              <w:t>62</w:t>
            </w:r>
          </w:p>
        </w:tc>
        <w:tc>
          <w:tcPr>
            <w:tcW w:w="649" w:type="dxa"/>
            <w:shd w:val="clear" w:color="auto" w:fill="C4EFCE"/>
            <w:noWrap/>
            <w:vAlign w:val="center"/>
            <w:hideMark/>
          </w:tcPr>
          <w:p w14:paraId="3E640486"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1E0E5DA7" w14:textId="77777777" w:rsidR="00F24946" w:rsidRDefault="00613B06">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hideMark/>
          </w:tcPr>
          <w:p w14:paraId="282B8265" w14:textId="17A1E554" w:rsidR="00F24946" w:rsidRDefault="00613B06">
            <w:pPr>
              <w:pStyle w:val="P68B1DB1-Normal8"/>
              <w:spacing w:after="0" w:line="240" w:lineRule="auto"/>
              <w:jc w:val="both"/>
              <w:rPr>
                <w:rFonts w:eastAsia="Times New Roman" w:cs="Calibri"/>
                <w:noProof/>
              </w:rPr>
            </w:pPr>
            <w:r>
              <w:rPr>
                <w:noProof/>
              </w:rPr>
              <w:t xml:space="preserve">Okrepitev 62 subjektov MAI (ANEPC, GNR in gasilci) z zagotavljanjem usposabljanja in usposobljenosti operativnega osebja, ki se ukvarja z gašenjem požarov, novimi vozili in operativno opremo v višini vsaj 35 000 000 EUR. </w:t>
            </w:r>
          </w:p>
        </w:tc>
      </w:tr>
      <w:tr w:rsidR="00F24946" w14:paraId="57E6AB3E" w14:textId="77777777">
        <w:trPr>
          <w:trHeight w:val="430"/>
          <w:jc w:val="center"/>
        </w:trPr>
        <w:tc>
          <w:tcPr>
            <w:tcW w:w="1114" w:type="dxa"/>
            <w:shd w:val="clear" w:color="auto" w:fill="C4EFCE"/>
            <w:vAlign w:val="center"/>
            <w:hideMark/>
          </w:tcPr>
          <w:p w14:paraId="42ABB305" w14:textId="77777777" w:rsidR="00F24946" w:rsidRDefault="00613B06">
            <w:pPr>
              <w:pStyle w:val="P68B1DB1-Normal7"/>
              <w:spacing w:after="0" w:line="240" w:lineRule="auto"/>
              <w:jc w:val="center"/>
              <w:rPr>
                <w:rFonts w:eastAsia="Times New Roman" w:cs="Calibri"/>
                <w:noProof/>
              </w:rPr>
            </w:pPr>
            <w:r>
              <w:rPr>
                <w:noProof/>
              </w:rPr>
              <w:t>8.14</w:t>
            </w:r>
          </w:p>
        </w:tc>
        <w:tc>
          <w:tcPr>
            <w:tcW w:w="1245" w:type="dxa"/>
            <w:shd w:val="clear" w:color="auto" w:fill="C4EFCE"/>
            <w:noWrap/>
            <w:vAlign w:val="center"/>
            <w:hideMark/>
          </w:tcPr>
          <w:p w14:paraId="4FFF914B" w14:textId="77777777" w:rsidR="00F24946" w:rsidRDefault="00613B06">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A75D938"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61AED32" w14:textId="77777777" w:rsidR="00F24946" w:rsidRDefault="00613B06">
            <w:pPr>
              <w:pStyle w:val="P68B1DB1-Normal8"/>
              <w:spacing w:after="0" w:line="240" w:lineRule="auto"/>
              <w:jc w:val="center"/>
              <w:rPr>
                <w:rFonts w:eastAsia="Times New Roman" w:cs="Calibri"/>
                <w:noProof/>
              </w:rPr>
            </w:pPr>
            <w:r>
              <w:rPr>
                <w:noProof/>
              </w:rPr>
              <w:t>Vzpostavitev regionalnih in podregionalnih struktur nacionalnega organa za nujno in civilno zaščito (ANEPC)</w:t>
            </w:r>
          </w:p>
        </w:tc>
        <w:tc>
          <w:tcPr>
            <w:tcW w:w="1244" w:type="dxa"/>
            <w:shd w:val="clear" w:color="auto" w:fill="C4EFCE"/>
            <w:noWrap/>
            <w:vAlign w:val="center"/>
            <w:hideMark/>
          </w:tcPr>
          <w:p w14:paraId="420A6551"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3DD9936" w14:textId="77777777" w:rsidR="00F24946" w:rsidRDefault="00613B06">
            <w:pPr>
              <w:pStyle w:val="P68B1DB1-Normal8"/>
              <w:spacing w:after="0" w:line="240" w:lineRule="auto"/>
              <w:jc w:val="center"/>
              <w:rPr>
                <w:rFonts w:eastAsia="Times New Roman" w:cs="Calibri"/>
                <w:noProof/>
              </w:rPr>
            </w:pPr>
            <w:r>
              <w:rPr>
                <w:noProof/>
              </w:rPr>
              <w:t>Število</w:t>
            </w:r>
          </w:p>
        </w:tc>
        <w:tc>
          <w:tcPr>
            <w:tcW w:w="970" w:type="dxa"/>
            <w:shd w:val="clear" w:color="auto" w:fill="C4EFCE"/>
            <w:noWrap/>
            <w:vAlign w:val="center"/>
            <w:hideMark/>
          </w:tcPr>
          <w:p w14:paraId="074B7CB8"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75FC58FC" w14:textId="77777777" w:rsidR="00F24946" w:rsidRDefault="00613B06">
            <w:pPr>
              <w:pStyle w:val="P68B1DB1-Normal8"/>
              <w:spacing w:after="0" w:line="240" w:lineRule="auto"/>
              <w:jc w:val="center"/>
              <w:rPr>
                <w:rFonts w:eastAsia="Times New Roman" w:cs="Calibri"/>
                <w:noProof/>
              </w:rPr>
            </w:pPr>
            <w:r>
              <w:rPr>
                <w:noProof/>
              </w:rPr>
              <w:t>6</w:t>
            </w:r>
          </w:p>
        </w:tc>
        <w:tc>
          <w:tcPr>
            <w:tcW w:w="649" w:type="dxa"/>
            <w:shd w:val="clear" w:color="auto" w:fill="C4EFCE"/>
            <w:noWrap/>
            <w:vAlign w:val="center"/>
            <w:hideMark/>
          </w:tcPr>
          <w:p w14:paraId="6CEEB9F3" w14:textId="77777777" w:rsidR="00F24946" w:rsidRDefault="00613B06">
            <w:pPr>
              <w:pStyle w:val="P68B1DB1-Normal8"/>
              <w:spacing w:after="0" w:line="240" w:lineRule="auto"/>
              <w:jc w:val="center"/>
              <w:rPr>
                <w:rFonts w:eastAsia="Times New Roman" w:cs="Calibri"/>
                <w:noProof/>
              </w:rPr>
            </w:pPr>
            <w:r>
              <w:rPr>
                <w:noProof/>
              </w:rPr>
              <w:t>Q2</w:t>
            </w:r>
          </w:p>
        </w:tc>
        <w:tc>
          <w:tcPr>
            <w:tcW w:w="694" w:type="dxa"/>
            <w:shd w:val="clear" w:color="auto" w:fill="C4EFCE"/>
            <w:noWrap/>
            <w:vAlign w:val="center"/>
            <w:hideMark/>
          </w:tcPr>
          <w:p w14:paraId="1D60899A" w14:textId="77777777" w:rsidR="00F24946" w:rsidRDefault="00613B06">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B8BA932" w14:textId="77777777" w:rsidR="00F24946" w:rsidRDefault="00613B06">
            <w:pPr>
              <w:pStyle w:val="P68B1DB1-Normal8"/>
              <w:spacing w:after="0" w:line="240" w:lineRule="auto"/>
              <w:jc w:val="both"/>
              <w:rPr>
                <w:rFonts w:eastAsia="Times New Roman" w:cs="Calibri"/>
                <w:noProof/>
              </w:rPr>
            </w:pPr>
            <w:r>
              <w:rPr>
                <w:noProof/>
              </w:rPr>
              <w:t>Začetek delovanja dveh regionalnih in štirih podregionalnih poveljstev za izredne razmere in civilno zaščito (kot so opredeljena v zakonskem odloku št. 45/2019 z dne 1. aprila 2019)</w:t>
            </w:r>
          </w:p>
        </w:tc>
      </w:tr>
      <w:tr w:rsidR="00F24946" w14:paraId="1BD51647" w14:textId="77777777">
        <w:trPr>
          <w:trHeight w:val="430"/>
          <w:jc w:val="center"/>
        </w:trPr>
        <w:tc>
          <w:tcPr>
            <w:tcW w:w="1114" w:type="dxa"/>
            <w:shd w:val="clear" w:color="auto" w:fill="C4EFCE"/>
            <w:vAlign w:val="center"/>
          </w:tcPr>
          <w:p w14:paraId="735E7B4B" w14:textId="650A0E03" w:rsidR="00F24946" w:rsidRDefault="00613B06">
            <w:pPr>
              <w:pStyle w:val="P68B1DB1-Normal7"/>
              <w:spacing w:after="0" w:line="240" w:lineRule="auto"/>
              <w:jc w:val="center"/>
              <w:rPr>
                <w:rFonts w:eastAsia="Times New Roman" w:cs="Calibri"/>
                <w:noProof/>
              </w:rPr>
            </w:pPr>
            <w:r>
              <w:rPr>
                <w:noProof/>
              </w:rPr>
              <w:t>8.21</w:t>
            </w:r>
          </w:p>
        </w:tc>
        <w:tc>
          <w:tcPr>
            <w:tcW w:w="1245" w:type="dxa"/>
            <w:shd w:val="clear" w:color="auto" w:fill="C4EFCE"/>
            <w:noWrap/>
            <w:vAlign w:val="center"/>
          </w:tcPr>
          <w:p w14:paraId="0AACDDC4" w14:textId="25407601" w:rsidR="00F24946" w:rsidRDefault="00613B06">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tcPr>
          <w:p w14:paraId="24C462E0" w14:textId="4B2BBB0B"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tcPr>
          <w:p w14:paraId="1D11E778" w14:textId="31BAF8A5" w:rsidR="00F24946" w:rsidRDefault="00613B06">
            <w:pPr>
              <w:pStyle w:val="P68B1DB1-Normal8"/>
              <w:spacing w:after="0" w:line="240" w:lineRule="auto"/>
              <w:jc w:val="center"/>
              <w:rPr>
                <w:rFonts w:eastAsia="Times New Roman" w:cs="Calibri"/>
                <w:noProof/>
              </w:rPr>
            </w:pPr>
            <w:r>
              <w:rPr>
                <w:noProof/>
              </w:rPr>
              <w:t>Razvoj kampanje ozaveščanja za preprečevanje tveganega vedenja</w:t>
            </w:r>
          </w:p>
        </w:tc>
        <w:tc>
          <w:tcPr>
            <w:tcW w:w="1244" w:type="dxa"/>
            <w:shd w:val="clear" w:color="auto" w:fill="C4EFCE"/>
            <w:noWrap/>
            <w:vAlign w:val="center"/>
          </w:tcPr>
          <w:p w14:paraId="52E9B3FE" w14:textId="580495C0" w:rsidR="00F24946" w:rsidRDefault="00613B06">
            <w:pPr>
              <w:pStyle w:val="P68B1DB1-Normal8"/>
              <w:spacing w:after="0" w:line="240" w:lineRule="auto"/>
              <w:jc w:val="center"/>
              <w:rPr>
                <w:rFonts w:eastAsia="Times New Roman" w:cs="Calibri"/>
                <w:noProof/>
              </w:rPr>
            </w:pPr>
            <w:r>
              <w:rPr>
                <w:noProof/>
              </w:rPr>
              <w:t>Razvoj kampanje ozaveščanja</w:t>
            </w:r>
          </w:p>
        </w:tc>
        <w:tc>
          <w:tcPr>
            <w:tcW w:w="971" w:type="dxa"/>
            <w:shd w:val="clear" w:color="auto" w:fill="C4EFCE"/>
            <w:noWrap/>
            <w:vAlign w:val="center"/>
          </w:tcPr>
          <w:p w14:paraId="6AAB0976" w14:textId="77777777" w:rsidR="00F24946" w:rsidRDefault="00F24946">
            <w:pPr>
              <w:spacing w:after="0" w:line="240" w:lineRule="auto"/>
              <w:jc w:val="center"/>
              <w:rPr>
                <w:rFonts w:ascii="Calibri" w:eastAsia="Times New Roman" w:hAnsi="Calibri" w:cs="Calibri"/>
                <w:noProof/>
                <w:sz w:val="16"/>
              </w:rPr>
            </w:pPr>
          </w:p>
        </w:tc>
        <w:tc>
          <w:tcPr>
            <w:tcW w:w="970" w:type="dxa"/>
            <w:shd w:val="clear" w:color="auto" w:fill="C4EFCE"/>
            <w:noWrap/>
            <w:vAlign w:val="center"/>
          </w:tcPr>
          <w:p w14:paraId="3E96ED2D" w14:textId="77777777" w:rsidR="00F24946" w:rsidRDefault="00F24946">
            <w:pPr>
              <w:spacing w:after="0" w:line="240" w:lineRule="auto"/>
              <w:jc w:val="center"/>
              <w:rPr>
                <w:rFonts w:ascii="Calibri" w:eastAsia="Times New Roman" w:hAnsi="Calibri" w:cs="Calibri"/>
                <w:noProof/>
                <w:sz w:val="16"/>
              </w:rPr>
            </w:pPr>
          </w:p>
        </w:tc>
        <w:tc>
          <w:tcPr>
            <w:tcW w:w="603" w:type="dxa"/>
            <w:shd w:val="clear" w:color="auto" w:fill="C4EFCE"/>
            <w:noWrap/>
            <w:vAlign w:val="center"/>
          </w:tcPr>
          <w:p w14:paraId="3F15B41C" w14:textId="77777777" w:rsidR="00F24946" w:rsidRDefault="00F24946">
            <w:pPr>
              <w:spacing w:after="0" w:line="240" w:lineRule="auto"/>
              <w:jc w:val="center"/>
              <w:rPr>
                <w:rFonts w:ascii="Calibri" w:eastAsia="Times New Roman" w:hAnsi="Calibri" w:cs="Calibri"/>
                <w:noProof/>
                <w:sz w:val="16"/>
              </w:rPr>
            </w:pPr>
          </w:p>
        </w:tc>
        <w:tc>
          <w:tcPr>
            <w:tcW w:w="649" w:type="dxa"/>
            <w:shd w:val="clear" w:color="auto" w:fill="C4EFCE"/>
            <w:noWrap/>
            <w:vAlign w:val="center"/>
          </w:tcPr>
          <w:p w14:paraId="3EAB6B11" w14:textId="1E35D20C" w:rsidR="00F24946" w:rsidRDefault="00613B06">
            <w:pPr>
              <w:pStyle w:val="P68B1DB1-Normal8"/>
              <w:spacing w:after="0" w:line="240" w:lineRule="auto"/>
              <w:jc w:val="center"/>
              <w:rPr>
                <w:rFonts w:eastAsia="Times New Roman" w:cs="Calibri"/>
                <w:noProof/>
              </w:rPr>
            </w:pPr>
            <w:r>
              <w:rPr>
                <w:noProof/>
              </w:rPr>
              <w:t>ČETRTLETJE 1</w:t>
            </w:r>
          </w:p>
        </w:tc>
        <w:tc>
          <w:tcPr>
            <w:tcW w:w="694" w:type="dxa"/>
            <w:shd w:val="clear" w:color="auto" w:fill="C4EFCE"/>
            <w:noWrap/>
            <w:vAlign w:val="center"/>
          </w:tcPr>
          <w:p w14:paraId="51373D4C" w14:textId="4B225C32" w:rsidR="00F24946" w:rsidRDefault="00613B06">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tcPr>
          <w:p w14:paraId="4F376972" w14:textId="22BF7B73" w:rsidR="00F24946" w:rsidRDefault="00613B06">
            <w:pPr>
              <w:pStyle w:val="P68B1DB1-Normal8"/>
              <w:spacing w:after="0" w:line="240" w:lineRule="auto"/>
              <w:jc w:val="both"/>
              <w:rPr>
                <w:rFonts w:eastAsia="Times New Roman" w:cs="Calibri"/>
                <w:noProof/>
              </w:rPr>
            </w:pPr>
            <w:r>
              <w:rPr>
                <w:noProof/>
              </w:rPr>
              <w:t>Razvoj kampanje ozaveščanja in obveščanja v okviru programov „Varna vas“ in „Varnost ljudi“, da se prepreči tvegano vedenje prebivalstva</w:t>
            </w:r>
          </w:p>
        </w:tc>
      </w:tr>
      <w:tr w:rsidR="00F24946" w14:paraId="238DE77F" w14:textId="77777777">
        <w:trPr>
          <w:trHeight w:val="509"/>
          <w:jc w:val="center"/>
        </w:trPr>
        <w:tc>
          <w:tcPr>
            <w:tcW w:w="1114" w:type="dxa"/>
            <w:shd w:val="clear" w:color="auto" w:fill="C4EFCE"/>
            <w:vAlign w:val="center"/>
            <w:hideMark/>
          </w:tcPr>
          <w:p w14:paraId="47445FAF" w14:textId="77777777" w:rsidR="00F24946" w:rsidRDefault="00613B06">
            <w:pPr>
              <w:pStyle w:val="P68B1DB1-Normal7"/>
              <w:spacing w:after="0" w:line="240" w:lineRule="auto"/>
              <w:jc w:val="center"/>
              <w:rPr>
                <w:rFonts w:eastAsia="Times New Roman" w:cs="Calibri"/>
                <w:noProof/>
              </w:rPr>
            </w:pPr>
            <w:r>
              <w:rPr>
                <w:noProof/>
              </w:rPr>
              <w:t>8.15</w:t>
            </w:r>
          </w:p>
        </w:tc>
        <w:tc>
          <w:tcPr>
            <w:tcW w:w="1245" w:type="dxa"/>
            <w:shd w:val="clear" w:color="auto" w:fill="C4EFCE"/>
            <w:noWrap/>
            <w:vAlign w:val="center"/>
            <w:hideMark/>
          </w:tcPr>
          <w:p w14:paraId="2517A793" w14:textId="77777777" w:rsidR="00F24946" w:rsidRDefault="00613B06">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7847491"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4F78A110" w14:textId="38D2100B" w:rsidR="00F24946" w:rsidRDefault="00613B06">
            <w:pPr>
              <w:pStyle w:val="P68B1DB1-Normal8"/>
              <w:spacing w:after="0" w:line="240" w:lineRule="auto"/>
              <w:jc w:val="center"/>
              <w:rPr>
                <w:rFonts w:eastAsia="Times New Roman" w:cs="Calibri"/>
                <w:noProof/>
              </w:rPr>
            </w:pPr>
            <w:r>
              <w:rPr>
                <w:noProof/>
              </w:rPr>
              <w:t>Objava začetnega poročila Inštituta za ohranjanje narave in gozdove, I.P.</w:t>
            </w:r>
          </w:p>
        </w:tc>
        <w:tc>
          <w:tcPr>
            <w:tcW w:w="1244" w:type="dxa"/>
            <w:shd w:val="clear" w:color="auto" w:fill="C4EFCE"/>
            <w:noWrap/>
            <w:vAlign w:val="center"/>
            <w:hideMark/>
          </w:tcPr>
          <w:p w14:paraId="61C7BA1A" w14:textId="00CFABEF" w:rsidR="00F24946" w:rsidRDefault="00613B06">
            <w:pPr>
              <w:pStyle w:val="P68B1DB1-Normal8"/>
              <w:spacing w:after="0" w:line="240" w:lineRule="auto"/>
              <w:jc w:val="center"/>
              <w:rPr>
                <w:rFonts w:eastAsia="Times New Roman" w:cs="Calibri"/>
                <w:noProof/>
              </w:rPr>
            </w:pPr>
            <w:r>
              <w:rPr>
                <w:noProof/>
              </w:rPr>
              <w:t xml:space="preserve"> Objava poročila o programskih pogodbah med Inštitutom za ohranjanje narave in gozdove I.P. ter organizacijami lastnikov gozdov (OPF) in strokovnimi centri</w:t>
            </w:r>
          </w:p>
        </w:tc>
        <w:tc>
          <w:tcPr>
            <w:tcW w:w="971" w:type="dxa"/>
            <w:shd w:val="clear" w:color="auto" w:fill="C4EFCE"/>
            <w:noWrap/>
            <w:vAlign w:val="center"/>
            <w:hideMark/>
          </w:tcPr>
          <w:p w14:paraId="463B68BD"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702DE6B6"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BF8BBF8"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004FE9A5" w14:textId="77777777" w:rsidR="00F24946" w:rsidRDefault="00613B06">
            <w:pPr>
              <w:pStyle w:val="P68B1DB1-Normal8"/>
              <w:spacing w:after="0" w:line="240" w:lineRule="auto"/>
              <w:jc w:val="center"/>
              <w:rPr>
                <w:rFonts w:eastAsia="Times New Roman" w:cs="Calibri"/>
                <w:noProof/>
              </w:rPr>
            </w:pPr>
            <w:r>
              <w:rPr>
                <w:noProof/>
              </w:rPr>
              <w:t>Q2</w:t>
            </w:r>
          </w:p>
        </w:tc>
        <w:tc>
          <w:tcPr>
            <w:tcW w:w="694" w:type="dxa"/>
            <w:shd w:val="clear" w:color="auto" w:fill="C4EFCE"/>
            <w:noWrap/>
            <w:vAlign w:val="center"/>
            <w:hideMark/>
          </w:tcPr>
          <w:p w14:paraId="14C31C89" w14:textId="77777777" w:rsidR="00F24946" w:rsidRDefault="00613B06">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C2A7317" w14:textId="72498C86" w:rsidR="00F24946" w:rsidRDefault="00613B06">
            <w:pPr>
              <w:pStyle w:val="P68B1DB1-Normal8"/>
              <w:spacing w:after="0" w:line="240" w:lineRule="auto"/>
              <w:jc w:val="both"/>
              <w:rPr>
                <w:rFonts w:eastAsia="Times New Roman" w:cs="Calibri"/>
                <w:noProof/>
              </w:rPr>
            </w:pPr>
            <w:r>
              <w:rPr>
                <w:noProof/>
              </w:rPr>
              <w:t>Poročilo vsebuje podrobnosti o programskih pogodbah med Inštitutom za ohranjanje narave in gozdove, I.P. ter organizacijami lastnikov gozdov (OPF) in strokovnimi centri, vključno z informacijami o ciljih in ciljih, ki jih je treba doseči vsako leto. Po začetnem poročilu se vsako polletje objavita izvajanje in napredek programskih pogodb.</w:t>
            </w:r>
          </w:p>
        </w:tc>
      </w:tr>
      <w:tr w:rsidR="00F24946" w14:paraId="306EF906" w14:textId="77777777">
        <w:trPr>
          <w:trHeight w:val="2243"/>
          <w:jc w:val="center"/>
        </w:trPr>
        <w:tc>
          <w:tcPr>
            <w:tcW w:w="1114" w:type="dxa"/>
            <w:shd w:val="clear" w:color="auto" w:fill="C4EFCE"/>
            <w:vAlign w:val="center"/>
            <w:hideMark/>
          </w:tcPr>
          <w:p w14:paraId="66DD3540" w14:textId="77777777" w:rsidR="00F24946" w:rsidRDefault="00613B06">
            <w:pPr>
              <w:pStyle w:val="P68B1DB1-Normal7"/>
              <w:spacing w:after="0" w:line="240" w:lineRule="auto"/>
              <w:jc w:val="center"/>
              <w:rPr>
                <w:rFonts w:eastAsia="Times New Roman" w:cs="Calibri"/>
                <w:noProof/>
              </w:rPr>
            </w:pPr>
            <w:r>
              <w:rPr>
                <w:noProof/>
              </w:rPr>
              <w:t>8.16</w:t>
            </w:r>
          </w:p>
        </w:tc>
        <w:tc>
          <w:tcPr>
            <w:tcW w:w="1245" w:type="dxa"/>
            <w:shd w:val="clear" w:color="auto" w:fill="C4EFCE"/>
            <w:noWrap/>
            <w:vAlign w:val="center"/>
            <w:hideMark/>
          </w:tcPr>
          <w:p w14:paraId="4F50D588" w14:textId="77777777" w:rsidR="00F24946" w:rsidRDefault="00613B06">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6B1C90DB" w14:textId="77777777" w:rsidR="00F24946" w:rsidRDefault="00613B06">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1EE0237" w14:textId="77777777" w:rsidR="00F24946" w:rsidRDefault="00613B06">
            <w:pPr>
              <w:pStyle w:val="P68B1DB1-Normal8"/>
              <w:spacing w:after="0" w:line="240" w:lineRule="auto"/>
              <w:jc w:val="center"/>
              <w:rPr>
                <w:rFonts w:eastAsia="Times New Roman" w:cs="Calibri"/>
                <w:noProof/>
              </w:rPr>
            </w:pPr>
            <w:r>
              <w:rPr>
                <w:noProof/>
              </w:rPr>
              <w:t xml:space="preserve">Izvajanje nacionalnega programa usposabljanja </w:t>
            </w:r>
          </w:p>
        </w:tc>
        <w:tc>
          <w:tcPr>
            <w:tcW w:w="1244" w:type="dxa"/>
            <w:shd w:val="clear" w:color="auto" w:fill="C4EFCE"/>
            <w:noWrap/>
            <w:vAlign w:val="center"/>
            <w:hideMark/>
          </w:tcPr>
          <w:p w14:paraId="62D7DE1B" w14:textId="77777777" w:rsidR="00F24946" w:rsidRDefault="00613B06">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0E70A1C1" w14:textId="77777777" w:rsidR="00F24946" w:rsidRDefault="00613B06">
            <w:pPr>
              <w:pStyle w:val="P68B1DB1-Normal8"/>
              <w:spacing w:after="0" w:line="240" w:lineRule="auto"/>
              <w:jc w:val="center"/>
              <w:rPr>
                <w:rFonts w:eastAsia="Times New Roman" w:cs="Calibri"/>
                <w:noProof/>
              </w:rPr>
            </w:pPr>
            <w:r>
              <w:rPr>
                <w:noProof/>
              </w:rPr>
              <w:t>Število</w:t>
            </w:r>
          </w:p>
        </w:tc>
        <w:tc>
          <w:tcPr>
            <w:tcW w:w="970" w:type="dxa"/>
            <w:shd w:val="clear" w:color="auto" w:fill="C4EFCE"/>
            <w:noWrap/>
            <w:vAlign w:val="center"/>
            <w:hideMark/>
          </w:tcPr>
          <w:p w14:paraId="11FA2AD4" w14:textId="77777777" w:rsidR="00F24946" w:rsidRDefault="00613B06">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549C5F5" w14:textId="77777777" w:rsidR="00F24946" w:rsidRDefault="00613B06">
            <w:pPr>
              <w:pStyle w:val="P68B1DB1-Normal8"/>
              <w:spacing w:after="0" w:line="240" w:lineRule="auto"/>
              <w:jc w:val="center"/>
              <w:rPr>
                <w:rFonts w:eastAsia="Times New Roman" w:cs="Calibri"/>
                <w:noProof/>
              </w:rPr>
            </w:pPr>
            <w:r>
              <w:rPr>
                <w:noProof/>
              </w:rPr>
              <w:t>150</w:t>
            </w:r>
          </w:p>
        </w:tc>
        <w:tc>
          <w:tcPr>
            <w:tcW w:w="649" w:type="dxa"/>
            <w:shd w:val="clear" w:color="auto" w:fill="C4EFCE"/>
            <w:noWrap/>
            <w:vAlign w:val="center"/>
            <w:hideMark/>
          </w:tcPr>
          <w:p w14:paraId="3A3C11A9"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2D7E4914" w14:textId="77777777" w:rsidR="00F24946" w:rsidRDefault="00613B06">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60C63F15" w14:textId="2481ACA9" w:rsidR="00F24946" w:rsidRDefault="00613B06">
            <w:pPr>
              <w:pStyle w:val="P68B1DB1-Normal8"/>
              <w:spacing w:after="0" w:line="240" w:lineRule="auto"/>
              <w:jc w:val="both"/>
              <w:rPr>
                <w:rFonts w:eastAsia="Times New Roman" w:cs="Calibri"/>
                <w:noProof/>
              </w:rPr>
            </w:pPr>
            <w:r>
              <w:rPr>
                <w:noProof/>
              </w:rPr>
              <w:t>150 tehnikov iz organizacij gozdarskih proizvajalcev (OPF) se udeleži usposabljanja, ki traja vsaj 684 ur. Usposabljanje se osredotoča na naslednje teme: upravljanje organizacij, preprečevanje požarov na podeželju, nadzorovano gašenje požarov, zdravstveno varstvo rastlin, certificiranje trajnostnega gospodarjenja z gozdovi, večfunkcionalnost gozdnih območij, nelesni gozdni proizvodi, plačilo ekosistemskih storitev, biotska raznovrstnost, gozdna infrastruktura, gozdarski projekti, popis gozdov ali zemljiška knjiga.</w:t>
            </w:r>
          </w:p>
        </w:tc>
      </w:tr>
      <w:tr w:rsidR="00F24946" w14:paraId="69BDF293" w14:textId="77777777">
        <w:trPr>
          <w:trHeight w:val="840"/>
          <w:jc w:val="center"/>
        </w:trPr>
        <w:tc>
          <w:tcPr>
            <w:tcW w:w="1114" w:type="dxa"/>
            <w:shd w:val="clear" w:color="auto" w:fill="C4EFCE"/>
            <w:vAlign w:val="center"/>
            <w:hideMark/>
          </w:tcPr>
          <w:p w14:paraId="2C542057" w14:textId="77777777" w:rsidR="00F24946" w:rsidRDefault="00613B06">
            <w:pPr>
              <w:pStyle w:val="P68B1DB1-Normal7"/>
              <w:spacing w:after="0" w:line="240" w:lineRule="auto"/>
              <w:jc w:val="center"/>
              <w:rPr>
                <w:rFonts w:eastAsia="Times New Roman" w:cs="Calibri"/>
                <w:noProof/>
              </w:rPr>
            </w:pPr>
            <w:r>
              <w:rPr>
                <w:noProof/>
              </w:rPr>
              <w:t>8.17</w:t>
            </w:r>
          </w:p>
        </w:tc>
        <w:tc>
          <w:tcPr>
            <w:tcW w:w="1245" w:type="dxa"/>
            <w:shd w:val="clear" w:color="auto" w:fill="C4EFCE"/>
            <w:noWrap/>
            <w:vAlign w:val="center"/>
            <w:hideMark/>
          </w:tcPr>
          <w:p w14:paraId="3269762F" w14:textId="77777777" w:rsidR="00F24946" w:rsidRDefault="00613B06">
            <w:pPr>
              <w:pStyle w:val="P68B1DB1-Normal8"/>
              <w:spacing w:after="0" w:line="240" w:lineRule="auto"/>
              <w:jc w:val="center"/>
              <w:rPr>
                <w:rFonts w:eastAsia="Times New Roman" w:cs="Calibri"/>
                <w:noProof/>
              </w:rPr>
            </w:pPr>
            <w:r>
              <w:rPr>
                <w:noProof/>
              </w:rPr>
              <w:t>Re-C08-r19</w:t>
            </w:r>
          </w:p>
        </w:tc>
        <w:tc>
          <w:tcPr>
            <w:tcW w:w="1107" w:type="dxa"/>
            <w:shd w:val="clear" w:color="auto" w:fill="C4EFCE"/>
            <w:noWrap/>
            <w:vAlign w:val="center"/>
            <w:hideMark/>
          </w:tcPr>
          <w:p w14:paraId="12E7B4FB"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E16B4BC" w14:textId="77777777" w:rsidR="00F24946" w:rsidRDefault="00613B06">
            <w:pPr>
              <w:pStyle w:val="P68B1DB1-Normal8"/>
              <w:spacing w:after="0" w:line="240" w:lineRule="auto"/>
              <w:jc w:val="center"/>
              <w:rPr>
                <w:rFonts w:eastAsia="Times New Roman" w:cs="Calibri"/>
                <w:noProof/>
              </w:rPr>
            </w:pPr>
            <w:r>
              <w:rPr>
                <w:noProof/>
              </w:rPr>
              <w:t xml:space="preserve">Pravni okvir o obvezni zemljiški posesti na gozdnih območjih </w:t>
            </w:r>
          </w:p>
        </w:tc>
        <w:tc>
          <w:tcPr>
            <w:tcW w:w="1244" w:type="dxa"/>
            <w:shd w:val="clear" w:color="auto" w:fill="C4EFCE"/>
            <w:noWrap/>
            <w:vAlign w:val="center"/>
            <w:hideMark/>
          </w:tcPr>
          <w:p w14:paraId="7E669474" w14:textId="77777777" w:rsidR="00F24946" w:rsidRDefault="00613B06">
            <w:pPr>
              <w:pStyle w:val="P68B1DB1-Normal8"/>
              <w:spacing w:after="0" w:line="240" w:lineRule="auto"/>
              <w:jc w:val="center"/>
              <w:rPr>
                <w:rFonts w:eastAsia="Times New Roman" w:cs="Calibri"/>
                <w:noProof/>
              </w:rPr>
            </w:pPr>
            <w:r>
              <w:rPr>
                <w:noProof/>
              </w:rPr>
              <w:t>Začetek veljavnosti pravnega okvira o obvezni zemljiški posesti na gozdnih območjih.</w:t>
            </w:r>
          </w:p>
        </w:tc>
        <w:tc>
          <w:tcPr>
            <w:tcW w:w="971" w:type="dxa"/>
            <w:shd w:val="clear" w:color="auto" w:fill="C4EFCE"/>
            <w:noWrap/>
            <w:vAlign w:val="center"/>
            <w:hideMark/>
          </w:tcPr>
          <w:p w14:paraId="405A1B1B"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BCEA31D"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154743E"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3FFC26CB"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hideMark/>
          </w:tcPr>
          <w:p w14:paraId="47692365" w14:textId="77777777" w:rsidR="00F24946" w:rsidRDefault="00613B06">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201F1AD9" w14:textId="77777777" w:rsidR="00F24946" w:rsidRDefault="00613B06">
            <w:pPr>
              <w:pStyle w:val="P68B1DB1-Normal8"/>
              <w:spacing w:after="0" w:line="240" w:lineRule="auto"/>
              <w:jc w:val="both"/>
              <w:rPr>
                <w:rFonts w:eastAsia="Times New Roman" w:cs="Calibri"/>
                <w:noProof/>
              </w:rPr>
            </w:pPr>
            <w:r>
              <w:rPr>
                <w:noProof/>
              </w:rPr>
              <w:t xml:space="preserve">Začetek veljavnosti pravnega okvira za izvajanje obvezne posesti podeželskih zemljišč na gozdnih območjih. Obvezni najem se uporablja izključno, če se lastniki zemljišč ne zavežejo, da bodo izvajali ukrepe, opredeljene v operaciji celostnega upravljanja krajine (OIGP), določene za območje celostnega upravljanja krajine (AIGP), če želijo, da se njihova nepremičnina nahaja. </w:t>
            </w:r>
          </w:p>
          <w:p w14:paraId="477BB2F7" w14:textId="77777777" w:rsidR="00F24946" w:rsidRDefault="00F24946">
            <w:pPr>
              <w:spacing w:after="0" w:line="240" w:lineRule="auto"/>
              <w:jc w:val="both"/>
              <w:rPr>
                <w:rFonts w:ascii="Calibri" w:eastAsia="Times New Roman" w:hAnsi="Calibri" w:cs="Calibri"/>
                <w:noProof/>
                <w:sz w:val="16"/>
              </w:rPr>
            </w:pPr>
          </w:p>
          <w:p w14:paraId="277FB7E1" w14:textId="6455B7DE" w:rsidR="00F24946" w:rsidRDefault="00613B06">
            <w:pPr>
              <w:pStyle w:val="P68B1DB1-Normal8"/>
              <w:spacing w:after="0" w:line="240" w:lineRule="auto"/>
              <w:jc w:val="both"/>
              <w:rPr>
                <w:rFonts w:eastAsia="Times New Roman" w:cs="Calibri"/>
                <w:noProof/>
              </w:rPr>
            </w:pPr>
            <w:r>
              <w:rPr>
                <w:noProof/>
              </w:rPr>
              <w:t>Zakon št. 68/2020 z dne 5. novembra pooblašča vlado, da spremeni zakon št. 31/2014 z dne 30. maja (ki določa splošne podlage za javno politiko na področju prostorskega načrtovanja ter prostorskega načrtovanja, da se odobri pravna ureditev obvezne posesti</w:t>
            </w:r>
          </w:p>
        </w:tc>
      </w:tr>
      <w:tr w:rsidR="00F24946" w14:paraId="233038E2" w14:textId="77777777">
        <w:trPr>
          <w:trHeight w:val="2388"/>
          <w:jc w:val="center"/>
        </w:trPr>
        <w:tc>
          <w:tcPr>
            <w:tcW w:w="1114" w:type="dxa"/>
            <w:shd w:val="clear" w:color="auto" w:fill="C4EFCE"/>
            <w:vAlign w:val="center"/>
            <w:hideMark/>
          </w:tcPr>
          <w:p w14:paraId="0E2ACB3B" w14:textId="77777777" w:rsidR="00F24946" w:rsidRDefault="00613B06">
            <w:pPr>
              <w:pStyle w:val="P68B1DB1-Normal7"/>
              <w:spacing w:after="0" w:line="240" w:lineRule="auto"/>
              <w:jc w:val="center"/>
              <w:rPr>
                <w:rFonts w:eastAsia="Times New Roman" w:cs="Calibri"/>
                <w:noProof/>
              </w:rPr>
            </w:pPr>
            <w:r>
              <w:rPr>
                <w:noProof/>
              </w:rPr>
              <w:t>8.18</w:t>
            </w:r>
          </w:p>
        </w:tc>
        <w:tc>
          <w:tcPr>
            <w:tcW w:w="1245" w:type="dxa"/>
            <w:shd w:val="clear" w:color="auto" w:fill="C4EFCE"/>
            <w:noWrap/>
            <w:vAlign w:val="center"/>
            <w:hideMark/>
          </w:tcPr>
          <w:p w14:paraId="1AC3438B" w14:textId="77777777" w:rsidR="00F24946" w:rsidRDefault="00613B06">
            <w:pPr>
              <w:pStyle w:val="P68B1DB1-Normal8"/>
              <w:spacing w:after="0" w:line="240" w:lineRule="auto"/>
              <w:jc w:val="center"/>
              <w:rPr>
                <w:rFonts w:eastAsia="Times New Roman" w:cs="Calibri"/>
                <w:noProof/>
              </w:rPr>
            </w:pPr>
            <w:r>
              <w:rPr>
                <w:noProof/>
              </w:rPr>
              <w:t>Re-C08-r20</w:t>
            </w:r>
          </w:p>
        </w:tc>
        <w:tc>
          <w:tcPr>
            <w:tcW w:w="1107" w:type="dxa"/>
            <w:shd w:val="clear" w:color="auto" w:fill="C4EFCE"/>
            <w:noWrap/>
            <w:vAlign w:val="center"/>
            <w:hideMark/>
          </w:tcPr>
          <w:p w14:paraId="5002EC4F"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B30711D" w14:textId="77777777" w:rsidR="00F24946" w:rsidRDefault="00613B06">
            <w:pPr>
              <w:pStyle w:val="P68B1DB1-Normal8"/>
              <w:spacing w:after="0" w:line="240" w:lineRule="auto"/>
              <w:jc w:val="center"/>
              <w:rPr>
                <w:rFonts w:eastAsia="Times New Roman" w:cs="Calibri"/>
                <w:noProof/>
              </w:rPr>
            </w:pPr>
            <w:r>
              <w:rPr>
                <w:noProof/>
              </w:rPr>
              <w:t>Sistem za spremljanje pokrovnosti tal (SMOS)</w:t>
            </w:r>
          </w:p>
        </w:tc>
        <w:tc>
          <w:tcPr>
            <w:tcW w:w="1244" w:type="dxa"/>
            <w:shd w:val="clear" w:color="auto" w:fill="C4EFCE"/>
            <w:noWrap/>
            <w:vAlign w:val="center"/>
            <w:hideMark/>
          </w:tcPr>
          <w:p w14:paraId="2C7013EB" w14:textId="1DC9A7AA" w:rsidR="00F24946" w:rsidRDefault="00613B06">
            <w:pPr>
              <w:pStyle w:val="P68B1DB1-Normal8"/>
              <w:spacing w:after="0" w:line="240" w:lineRule="auto"/>
              <w:jc w:val="center"/>
              <w:rPr>
                <w:rFonts w:eastAsia="Times New Roman" w:cs="Calibri"/>
                <w:noProof/>
              </w:rPr>
            </w:pPr>
            <w:r>
              <w:rPr>
                <w:noProof/>
              </w:rPr>
              <w:t>Začetek delovanja sistema za spremljanje pokrovnosti tal (SMOS)</w:t>
            </w:r>
          </w:p>
        </w:tc>
        <w:tc>
          <w:tcPr>
            <w:tcW w:w="971" w:type="dxa"/>
            <w:shd w:val="clear" w:color="auto" w:fill="C4EFCE"/>
            <w:noWrap/>
            <w:vAlign w:val="center"/>
            <w:hideMark/>
          </w:tcPr>
          <w:p w14:paraId="62B8E28E"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69D846A9"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91BC2DF"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290FBA0F" w14:textId="77777777" w:rsidR="00F24946" w:rsidRDefault="00613B06">
            <w:pPr>
              <w:pStyle w:val="P68B1DB1-Normal8"/>
              <w:spacing w:after="0" w:line="240" w:lineRule="auto"/>
              <w:jc w:val="center"/>
              <w:rPr>
                <w:rFonts w:eastAsia="Times New Roman" w:cs="Calibri"/>
                <w:noProof/>
              </w:rPr>
            </w:pPr>
            <w:r>
              <w:rPr>
                <w:noProof/>
              </w:rPr>
              <w:t>Q4</w:t>
            </w:r>
          </w:p>
        </w:tc>
        <w:tc>
          <w:tcPr>
            <w:tcW w:w="694" w:type="dxa"/>
            <w:shd w:val="clear" w:color="auto" w:fill="C4EFCE"/>
            <w:noWrap/>
            <w:vAlign w:val="center"/>
            <w:hideMark/>
          </w:tcPr>
          <w:p w14:paraId="5B618B25" w14:textId="77777777" w:rsidR="00F24946" w:rsidRDefault="00613B06">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823DF09" w14:textId="7F190947" w:rsidR="00F24946" w:rsidRDefault="00613B06">
            <w:pPr>
              <w:pStyle w:val="P68B1DB1-Normal8"/>
              <w:spacing w:after="0" w:line="240" w:lineRule="auto"/>
              <w:jc w:val="both"/>
              <w:rPr>
                <w:rFonts w:eastAsia="Times New Roman" w:cs="Calibri"/>
                <w:noProof/>
              </w:rPr>
            </w:pPr>
            <w:r>
              <w:rPr>
                <w:noProof/>
              </w:rPr>
              <w:t xml:space="preserve">Začetek delovanja sistema za spremljanje pokrovnosti tal (SMOS), ki zajema pokritost LiDAR, digitalni model terena, model posevkov in vegetacije, posevke in zemljevide vegetacije, zemljevide pokrovnosti tal in pokritost s satelitskimi slikami. </w:t>
            </w:r>
          </w:p>
        </w:tc>
      </w:tr>
      <w:tr w:rsidR="00F24946" w14:paraId="538F72C3" w14:textId="77777777">
        <w:trPr>
          <w:trHeight w:val="3977"/>
          <w:jc w:val="center"/>
        </w:trPr>
        <w:tc>
          <w:tcPr>
            <w:tcW w:w="1114" w:type="dxa"/>
            <w:shd w:val="clear" w:color="auto" w:fill="C4EFCE"/>
            <w:vAlign w:val="center"/>
            <w:hideMark/>
          </w:tcPr>
          <w:p w14:paraId="0C02FD10" w14:textId="77777777" w:rsidR="00F24946" w:rsidRDefault="00613B06">
            <w:pPr>
              <w:pStyle w:val="P68B1DB1-Normal7"/>
              <w:spacing w:after="0" w:line="240" w:lineRule="auto"/>
              <w:jc w:val="center"/>
              <w:rPr>
                <w:rFonts w:eastAsia="Times New Roman" w:cs="Calibri"/>
                <w:noProof/>
              </w:rPr>
            </w:pPr>
            <w:r>
              <w:rPr>
                <w:noProof/>
              </w:rPr>
              <w:t>8.19</w:t>
            </w:r>
          </w:p>
        </w:tc>
        <w:tc>
          <w:tcPr>
            <w:tcW w:w="1245" w:type="dxa"/>
            <w:shd w:val="clear" w:color="auto" w:fill="C4EFCE"/>
            <w:noWrap/>
            <w:vAlign w:val="center"/>
            <w:hideMark/>
          </w:tcPr>
          <w:p w14:paraId="69B302CF" w14:textId="77777777" w:rsidR="00F24946" w:rsidRDefault="00613B06">
            <w:pPr>
              <w:pStyle w:val="P68B1DB1-Normal8"/>
              <w:spacing w:after="0" w:line="240" w:lineRule="auto"/>
              <w:jc w:val="center"/>
              <w:rPr>
                <w:rFonts w:eastAsia="Times New Roman" w:cs="Calibri"/>
                <w:noProof/>
              </w:rPr>
            </w:pPr>
            <w:r>
              <w:rPr>
                <w:noProof/>
              </w:rPr>
              <w:t>Re-C08-r21</w:t>
            </w:r>
          </w:p>
        </w:tc>
        <w:tc>
          <w:tcPr>
            <w:tcW w:w="1107" w:type="dxa"/>
            <w:shd w:val="clear" w:color="auto" w:fill="C4EFCE"/>
            <w:noWrap/>
            <w:vAlign w:val="center"/>
            <w:hideMark/>
          </w:tcPr>
          <w:p w14:paraId="137FC1A7" w14:textId="77777777" w:rsidR="00F24946" w:rsidRDefault="00613B06">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2734E036" w14:textId="77777777" w:rsidR="00F24946" w:rsidRDefault="00613B06">
            <w:pPr>
              <w:pStyle w:val="P68B1DB1-Normal8"/>
              <w:spacing w:after="0" w:line="240" w:lineRule="auto"/>
              <w:jc w:val="center"/>
              <w:rPr>
                <w:rFonts w:eastAsia="Times New Roman" w:cs="Calibri"/>
                <w:noProof/>
              </w:rPr>
            </w:pPr>
            <w:r>
              <w:rPr>
                <w:noProof/>
              </w:rPr>
              <w:t>Zakon o vzpostavitvi integriranega sistema upravljanja za požare na podeželju (SGIFR)</w:t>
            </w:r>
          </w:p>
        </w:tc>
        <w:tc>
          <w:tcPr>
            <w:tcW w:w="1244" w:type="dxa"/>
            <w:shd w:val="clear" w:color="auto" w:fill="C4EFCE"/>
            <w:noWrap/>
            <w:vAlign w:val="center"/>
            <w:hideMark/>
          </w:tcPr>
          <w:p w14:paraId="328A4877" w14:textId="77777777" w:rsidR="00F24946" w:rsidRDefault="00613B06">
            <w:pPr>
              <w:pStyle w:val="P68B1DB1-Normal8"/>
              <w:spacing w:after="0" w:line="240" w:lineRule="auto"/>
              <w:jc w:val="center"/>
              <w:rPr>
                <w:rFonts w:eastAsia="Times New Roman" w:cs="Calibri"/>
                <w:noProof/>
              </w:rPr>
            </w:pPr>
            <w:r>
              <w:rPr>
                <w:noProof/>
              </w:rPr>
              <w:t>Začetek veljavnosti zakona o vzpostavitvi integriranega sistema upravljanja za požare na podeželju (SIGIFR) in določitvi njegovih pravil delovanja.</w:t>
            </w:r>
          </w:p>
        </w:tc>
        <w:tc>
          <w:tcPr>
            <w:tcW w:w="971" w:type="dxa"/>
            <w:shd w:val="clear" w:color="auto" w:fill="C4EFCE"/>
            <w:noWrap/>
            <w:vAlign w:val="center"/>
            <w:hideMark/>
          </w:tcPr>
          <w:p w14:paraId="7E0AD6B1" w14:textId="77777777" w:rsidR="00F24946" w:rsidRDefault="00613B06">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0DB3FDD" w14:textId="77777777" w:rsidR="00F24946" w:rsidRDefault="00613B06">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762DA2A0" w14:textId="77777777" w:rsidR="00F24946" w:rsidRDefault="00613B06">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4FC4CDCF" w14:textId="77777777" w:rsidR="00F24946" w:rsidRDefault="00613B06">
            <w:pPr>
              <w:pStyle w:val="P68B1DB1-Normal8"/>
              <w:spacing w:after="0" w:line="240" w:lineRule="auto"/>
              <w:jc w:val="center"/>
              <w:rPr>
                <w:rFonts w:eastAsia="Times New Roman" w:cs="Calibri"/>
                <w:noProof/>
              </w:rPr>
            </w:pPr>
            <w:r>
              <w:rPr>
                <w:noProof/>
              </w:rPr>
              <w:t>Q3</w:t>
            </w:r>
          </w:p>
        </w:tc>
        <w:tc>
          <w:tcPr>
            <w:tcW w:w="694" w:type="dxa"/>
            <w:shd w:val="clear" w:color="auto" w:fill="C4EFCE"/>
            <w:noWrap/>
            <w:vAlign w:val="center"/>
            <w:hideMark/>
          </w:tcPr>
          <w:p w14:paraId="4C1862FA" w14:textId="77777777" w:rsidR="00F24946" w:rsidRDefault="00613B06">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1830D13D" w14:textId="77777777" w:rsidR="00F24946" w:rsidRDefault="00613B06">
            <w:pPr>
              <w:pStyle w:val="P68B1DB1-Normal8"/>
              <w:spacing w:after="0" w:line="240" w:lineRule="auto"/>
              <w:jc w:val="both"/>
              <w:rPr>
                <w:rFonts w:eastAsia="Times New Roman" w:cs="Calibri"/>
                <w:noProof/>
              </w:rPr>
            </w:pPr>
            <w:r>
              <w:rPr>
                <w:noProof/>
              </w:rPr>
              <w:t xml:space="preserve">Integrirani sistem upravljanja požarov na podeželju (SGIFR) na nacionalni ravni zagotavlja makropolitike in strateške smernice, ki prispevajo k zmanjšanju tveganja požarov na podeželju in spremembi vedenja lastnikov, uporabnikov ter neposrednih in posrednih upravičencev podeželskega ozemlja. Sistem opredeljuje modele medresorskega usklajevanja ter razmejuje pristojnosti in področje delovanja vsakega subjekta v okviru SIGIFR. </w:t>
            </w:r>
          </w:p>
          <w:p w14:paraId="5E99F66C" w14:textId="3F1EB5CA" w:rsidR="00F24946" w:rsidRDefault="00613B06">
            <w:pPr>
              <w:pStyle w:val="P68B1DB1-Normal8"/>
              <w:spacing w:after="0" w:line="240" w:lineRule="auto"/>
              <w:jc w:val="both"/>
              <w:rPr>
                <w:rFonts w:eastAsia="Times New Roman" w:cs="Calibri"/>
                <w:noProof/>
              </w:rPr>
            </w:pPr>
            <w:r>
              <w:rPr>
                <w:noProof/>
              </w:rPr>
              <w:t>Opredeljuje vsebino različnih orodij za celostno načrtovanje požarnega načrtovanja na podeželju na nacionalni, regionalni, podregionalni in občinski ravni. Vzpostavljen je informacijski sistem za požare na podeželju za združevanje in razširjanje vseh ustreznih tehničnih informacij iz SIGIFR, obstaja pa tudi jasna zaveza za opredelitev modela, ki temelji na preprečevanju in zmanjševanju tveganj, bodisi z dejavnostmi ozaveščanja bodisi z vzpostavitvijo regionalnih obrambnih mrež, v katerih ima upravljanje goriva vodilno vlogo v sistemu sankcij. Določa tudi model upravljanja, spremljanja in ocenjevanja, ki bo prispeval k stalnemu izboljševanju javnih politik in programov.</w:t>
            </w:r>
          </w:p>
        </w:tc>
      </w:tr>
    </w:tbl>
    <w:p w14:paraId="57422AFC"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349777E8"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174"/>
          <w:headerReference w:type="default" r:id="rId175"/>
          <w:footerReference w:type="even" r:id="rId176"/>
          <w:footerReference w:type="default" r:id="rId177"/>
          <w:headerReference w:type="first" r:id="rId178"/>
          <w:footerReference w:type="first" r:id="rId179"/>
          <w:pgSz w:w="16839" w:h="11907" w:orient="landscape"/>
          <w:pgMar w:top="1134" w:right="1134" w:bottom="1134" w:left="1134" w:header="567" w:footer="567" w:gutter="0"/>
          <w:cols w:space="720"/>
          <w:docGrid w:linePitch="360"/>
        </w:sectPr>
      </w:pPr>
    </w:p>
    <w:p w14:paraId="31DFC5DD"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I. KOMPONENTA 9: Upravljanje z vodo</w:t>
      </w:r>
    </w:p>
    <w:p w14:paraId="70B68D2B" w14:textId="77777777" w:rsidR="00F24946" w:rsidRDefault="00613B06">
      <w:pPr>
        <w:pStyle w:val="P68B1DB1-Normal4"/>
        <w:keepNext/>
        <w:spacing w:before="40" w:after="0" w:line="259" w:lineRule="auto"/>
        <w:jc w:val="both"/>
        <w:rPr>
          <w:rFonts w:eastAsiaTheme="minorEastAsia" w:cs="Times New Roman"/>
          <w:i/>
          <w:noProof/>
        </w:rPr>
      </w:pPr>
      <w:r>
        <w:rPr>
          <w:noProof/>
        </w:rPr>
        <w:t>Komponenta obravnava naslednje izzive: obvladovanje velikega pritiska na sisteme za shranjevanje, ki zagotavljajo oskrbo z vodo, in izboljšanje učinkovite rabe vode, da se preprečijo omejitve zaradi pričakovanega letnega zmanjšanja padavin, pogostejših suš, sezonskosti in povečanja uhajanja vode</w:t>
      </w:r>
    </w:p>
    <w:p w14:paraId="26529B5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Cilji komponente so ublažiti pomanjkanje vode in zagotoviti odpornost regij z največjim problemom suše in nujno potrebo po učinkovitem ukrepanju za zagotovitev oskrbe z vodo v Algarveju, Alenteju in Madeiri. </w:t>
      </w:r>
    </w:p>
    <w:p w14:paraId="4A1D2D18" w14:textId="77777777" w:rsidR="00F24946" w:rsidRDefault="00613B06">
      <w:pPr>
        <w:pStyle w:val="P68B1DB1-Normal4"/>
        <w:keepNext/>
        <w:spacing w:before="40" w:after="0" w:line="259" w:lineRule="auto"/>
        <w:jc w:val="both"/>
        <w:rPr>
          <w:rFonts w:eastAsiaTheme="minorEastAsia" w:cs="Times New Roman"/>
          <w:noProof/>
        </w:rPr>
      </w:pPr>
      <w:r>
        <w:rPr>
          <w:noProof/>
        </w:rPr>
        <w:t>Večja odpornost na vodo je bistvenega pomena za razvoj teh treh regij, saj predstavlja tudi obvezen pogoj za turizem in ekosisteme (zlasti v Algarveju in Madeiri), kmetijstvo (Alentejo in Madeira), preoblikovanje gospodarske dejavnosti (Alentejo) ter obvladovanje skupnih obremenitev vrhuncev potreb po namakanju in za prehrano ljudi (Madeira).</w:t>
      </w:r>
    </w:p>
    <w:p w14:paraId="5C57D42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Komponenta prispeva k obravnavi priporočila za posamezne države o naložbah v podnebni prehod (priporočilo za posamezno državo št. 3 2020). </w:t>
      </w:r>
    </w:p>
    <w:p w14:paraId="30738FC0"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 xml:space="preserve">I.1. </w:t>
      </w:r>
      <w:r>
        <w:rPr>
          <w:noProof/>
        </w:rPr>
        <w:tab/>
        <w:t>Opis reform in naložb za nepovratno finančno podporo</w:t>
      </w:r>
    </w:p>
    <w:p w14:paraId="5C5E8493"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RE-C09-i01: Regionalni načrt za učinkovito rabo vode Algarve</w:t>
      </w:r>
    </w:p>
    <w:p w14:paraId="3110F4B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odziv na pomanjkanje vode v Algarveju, ki se zaradi podnebnih sprememb še naprej poslabšuje. Potreben je odziv za nadaljevanje in razvoj gospodarske dejavnosti ter diverzifikacijo gospodarstva Algarve. </w:t>
      </w:r>
    </w:p>
    <w:p w14:paraId="7288C6E0" w14:textId="77777777" w:rsidR="00F24946" w:rsidRDefault="00613B06">
      <w:pPr>
        <w:pStyle w:val="P68B1DB1-Normal4"/>
        <w:keepNext/>
        <w:spacing w:before="40" w:after="0" w:line="259" w:lineRule="auto"/>
        <w:jc w:val="both"/>
        <w:rPr>
          <w:rFonts w:eastAsiaTheme="minorEastAsia" w:cs="Times New Roman"/>
          <w:noProof/>
        </w:rPr>
      </w:pPr>
      <w:r>
        <w:rPr>
          <w:noProof/>
        </w:rPr>
        <w:t>Naložba zajema ukrepe za zmanjšanje izgub vode v mestnem in kmetijskem sektorju Algarve z učinkovitejšimi namakalnimi tehnologijami ter spodbujanje ponovne uporabe očiščene odpadne vode. Na ravni oskrbe se pri ukrepih upošteva izkoriščanje obstoječih zmogljivosti in izboljšanje odpornosti obstoječih zbiralnikov s povečanjem pritoka v zbiralnik Odeleite z odvzemom na reki Guadiana, krepitvijo strateških rezerv in namestitvijo desalinatorja. Zlasti ti novi vodni viri delujejo kot dopolnilo, da bi zadostili obstoječi rabi, da bi se soočili s predvidljivimi učinki podnebnih sprememb. Vključuje tudi ukrepe za okrepitev spremljanja, izdajanja dovoljenj in izvrševanja.</w:t>
      </w:r>
    </w:p>
    <w:p w14:paraId="04427AA3"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ta ukrep ne bo bistveno škodoval okoljskim ciljem v smislu člena 17 Uredbe (EU) 2020/852, ob upoštevanju opisa ukrepa in blažilnih ukrepov, določenih v načrtu za okrevanje in odpornost v skladu s tehničnimi smernicami za načelo, da se ne škoduje bistveno (2021/C58/01), ter mejnikov in ciljev, ki jih mora Portugalska izpolniti. Zlasti za vse projekte, ki bi lahko pomembno vplivali na okolje, je treba opraviti presojo vplivov na okolje, ki se zaključi v skladu z Direktivo 2011/92/EU Evropskega parlamenta in Sveta z dne 13. decembra 2011 o presoji vplivov nekaterih javnih in zasebnih projektov na okolje ter ustrezne presoje v okviru Direktive 2000/60/ES Evropskega parlamenta in Sveta o določitvi okvira za ukrepe Skupnosti na področju vodne politike ali, nazadnje, okvirne direktive EU o vodah, vključno z izvajanjem potrebnih blažilnih ukrepov, s čimer se zagotovi skladnost s tehničnimi smernicami za nebistveno škodovanje (2021/C58/01). Vsi ukrepi, ki so v okviru presoje vplivov na okolje in presoje v skladu z Direktivo 2000/60/ES opredeljeni kot potrebni za zagotovitev skladnosti z načelom, da se ne škoduje bistveno, se vključijo v projekt in dosledno upoštevajo v fazah gradnje, delovanja in razgradnje infrastrukture.</w:t>
      </w:r>
    </w:p>
    <w:p w14:paraId="05676B0D" w14:textId="77777777" w:rsidR="00F24946" w:rsidRDefault="00613B06">
      <w:pPr>
        <w:pStyle w:val="P68B1DB1-Normal17"/>
        <w:keepNext/>
        <w:autoSpaceDE w:val="0"/>
        <w:autoSpaceDN w:val="0"/>
        <w:spacing w:before="40" w:after="40" w:line="240" w:lineRule="auto"/>
        <w:jc w:val="both"/>
        <w:rPr>
          <w:rFonts w:ascii="Times New Roman" w:eastAsia="Times New Roman" w:hAnsi="Times New Roman" w:cs="Times New Roman"/>
          <w:noProof/>
        </w:rPr>
      </w:pPr>
      <w:r>
        <w:rPr>
          <w:rFonts w:ascii="Times New Roman" w:hAnsi="Times New Roman"/>
          <w:noProof/>
        </w:rPr>
        <w:t>Kadar se voda odvzema, ustrezni organ izda ustrezno dovoljenje, v katerem so opredeljeni pogoji za preprečitev poslabšanja stanja in zagotovitev, da prizadeta vodna telesa ostanejo v dobrem ekološkem stanju v skladu z zahtevami okvirne direktive o vodah 2000/60/ES.</w:t>
      </w:r>
      <w:r>
        <w:rPr>
          <w:rFonts w:ascii="Segoe UI" w:hAnsi="Segoe UI"/>
          <w:noProof/>
        </w:rPr>
        <w:t xml:space="preserve"> </w:t>
      </w:r>
    </w:p>
    <w:p w14:paraId="6B828F29" w14:textId="6F5CF201" w:rsidR="00F24946" w:rsidRDefault="00613B06">
      <w:pPr>
        <w:pStyle w:val="P68B1DB1-Normal4"/>
        <w:keepNext/>
        <w:autoSpaceDE w:val="0"/>
        <w:autoSpaceDN w:val="0"/>
        <w:spacing w:before="40" w:after="40" w:line="240" w:lineRule="auto"/>
        <w:jc w:val="both"/>
        <w:rPr>
          <w:rFonts w:eastAsiaTheme="minorEastAsia" w:cs="Times New Roman"/>
          <w:noProof/>
        </w:rPr>
      </w:pPr>
      <w:r>
        <w:rPr>
          <w:noProof/>
        </w:rPr>
        <w:t>Naložba se izvede do 30. junija 2026.</w:t>
      </w:r>
    </w:p>
    <w:p w14:paraId="0ABB1601" w14:textId="221BFC68"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RE-C09-i02: Večnamensko hidravlično podjetje Crato, faza načrtovanja</w:t>
      </w:r>
    </w:p>
    <w:p w14:paraId="5CCA52C3" w14:textId="77777777" w:rsidR="00F24946" w:rsidRDefault="00613B06">
      <w:pPr>
        <w:pStyle w:val="P68B1DB1-Normal4"/>
        <w:keepNext/>
        <w:spacing w:before="40" w:after="0" w:line="259" w:lineRule="auto"/>
        <w:jc w:val="both"/>
        <w:rPr>
          <w:rFonts w:eastAsia="Times New Roman" w:cs="Times New Roman"/>
          <w:noProof/>
        </w:rPr>
      </w:pPr>
      <w:r>
        <w:rPr>
          <w:noProof/>
        </w:rPr>
        <w:t xml:space="preserve">Cilji tega ukrepa so zagotoviti oskrbo s pitno vodo, preprečevati dezertifikacijo regije, diverzificirati kmetijstvo in prispevati k preoblikovanju proizvodnje energije na tem območju. Ukrep je sestavljen iz naslednjih korakov: gradnja jezu v dolini Crata, da bi zagotovili oskrbo z vodo za prehrano ljudi in preoblikovanje kmetijstva, hkrati pa ponudili privilegirano lokacijo za namestitev plavajočih fotonapetostnih panelov (ki bodo nameščeni v vodnem ogledalu s sredstvi zunaj mehanizma za okrevanje in odpornost) in samostojno proizvodnjo električne energije iz predvidene naprave za mini hidroelektrarne. </w:t>
      </w:r>
    </w:p>
    <w:p w14:paraId="07D1FD53" w14:textId="0A00FDE9" w:rsidR="00F24946" w:rsidRDefault="00613B06">
      <w:pPr>
        <w:pStyle w:val="P68B1DB1-Normal4"/>
        <w:keepNext/>
        <w:spacing w:before="40" w:after="0" w:line="259" w:lineRule="auto"/>
        <w:jc w:val="both"/>
        <w:rPr>
          <w:rFonts w:eastAsiaTheme="minorEastAsia" w:cs="Times New Roman"/>
          <w:noProof/>
        </w:rPr>
      </w:pPr>
      <w:r>
        <w:rPr>
          <w:noProof/>
        </w:rPr>
        <w:t>Na primer, pri inštalirani zmogljivosti 75 MW bi fotonapetostna elektrarna zadostila več kot 60 % trenutnih potreb po energiji na območju</w:t>
      </w:r>
    </w:p>
    <w:p w14:paraId="6FC26120" w14:textId="354A61C0" w:rsidR="00F24946" w:rsidRDefault="00613B06">
      <w:pPr>
        <w:pStyle w:val="P68B1DB1-Normal4"/>
        <w:keepNext/>
        <w:spacing w:before="40" w:after="0" w:line="259" w:lineRule="auto"/>
        <w:jc w:val="both"/>
        <w:rPr>
          <w:rFonts w:eastAsia="Times New Roman" w:cs="Times New Roman"/>
          <w:noProof/>
        </w:rPr>
      </w:pPr>
      <w:r>
        <w:rPr>
          <w:noProof/>
        </w:rPr>
        <w:t>redundanca oskrbe in zmanjšanje emisij ogljikovega dioksida za več kot 80000 ton/leto. Glede na območje jezer, ki ga je treba ustvariti – 7,24 km 2 –</w:t>
      </w:r>
      <w:r>
        <w:rPr>
          <w:noProof/>
          <w:vertAlign w:val="superscript"/>
        </w:rPr>
        <w:t>in</w:t>
      </w:r>
      <w:r>
        <w:rPr>
          <w:noProof/>
        </w:rPr>
        <w:t xml:space="preserve"> največjo površino, ki bi se lahko uporabila za namestitev fotonapetostnih panelov, je 20 % od tega). </w:t>
      </w:r>
    </w:p>
    <w:p w14:paraId="4647CC73" w14:textId="7E6C724D" w:rsidR="00F24946" w:rsidRDefault="00613B06">
      <w:pPr>
        <w:pStyle w:val="P68B1DB1-Normal4"/>
        <w:keepNext/>
        <w:spacing w:before="40" w:after="0" w:line="259" w:lineRule="auto"/>
        <w:jc w:val="both"/>
        <w:rPr>
          <w:rFonts w:eastAsia="Times New Roman" w:cs="Times New Roman"/>
          <w:noProof/>
        </w:rPr>
      </w:pPr>
      <w:r>
        <w:rPr>
          <w:noProof/>
        </w:rPr>
        <w:t>Prispeva tudi k diverzifikaciji kmetijske dejavnosti in privabljanju prebivalcev na to demografsko prikrajšano območje države, hkrati pa ohranja učinkovit sistem gospodarjenja z vodami.</w:t>
      </w:r>
    </w:p>
    <w:p w14:paraId="4B7B386F" w14:textId="2169FF6B" w:rsidR="00F24946" w:rsidRDefault="00613B06">
      <w:pPr>
        <w:pStyle w:val="P68B1DB1-Normal4"/>
        <w:widowControl w:val="0"/>
        <w:spacing w:after="120" w:line="307" w:lineRule="exact"/>
        <w:jc w:val="both"/>
        <w:rPr>
          <w:rFonts w:eastAsia="Calibri" w:cs="Times New Roman"/>
          <w:noProof/>
        </w:rPr>
      </w:pPr>
      <w:r>
        <w:rPr>
          <w:noProof/>
        </w:rPr>
        <w:t>Razvoj se nahaja v povodju reke Tagus v pasu blizu meje porečja reke Guadiana. Naložba vključuje naslednje korake:</w:t>
      </w:r>
    </w:p>
    <w:p w14:paraId="5130E04D" w14:textId="772268AC" w:rsidR="00F24946" w:rsidRDefault="00613B06">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Jez</w:t>
      </w:r>
      <w:r>
        <w:rPr>
          <w:noProof/>
        </w:rPr>
        <w:t>: Vzpostaviti celoten rezervoar za shranjevanje na nadmorski višini 248 m (višina 48 m) s poplavljenim območjem 7,24 km</w:t>
      </w:r>
      <w:r>
        <w:rPr>
          <w:noProof/>
          <w:vertAlign w:val="superscript"/>
        </w:rPr>
        <w:t>2</w:t>
      </w:r>
      <w:r>
        <w:rPr>
          <w:noProof/>
        </w:rPr>
        <w:t>, zmogljivostjo skladiščenja 116,1 hm</w:t>
      </w:r>
      <w:r>
        <w:rPr>
          <w:noProof/>
          <w:vertAlign w:val="superscript"/>
        </w:rPr>
        <w:t xml:space="preserve">3 </w:t>
      </w:r>
      <w:r>
        <w:rPr>
          <w:noProof/>
        </w:rPr>
        <w:t>in povprečno letno količino 57,83 hm 3/leto, kar omogoča 50,3 hm</w:t>
      </w:r>
      <w:r>
        <w:rPr>
          <w:noProof/>
          <w:vertAlign w:val="superscript"/>
        </w:rPr>
        <w:t>3</w:t>
      </w:r>
      <w:r>
        <w:rPr>
          <w:noProof/>
        </w:rPr>
        <w:t xml:space="preserve"> /leto za javno oskrbo s pitno vodo (javna oskrba s pitno vodo (3,3 hm3/leto) in namakanje (47 hm3/leto)), kar je bistveno za zagotovitev redundance v oskrbi, tj. dovolj vode za oskrbo prebivalstva (približno 55000 oseb) Alter do Chão, Avis, Crato, Fronteira, Gavião, Nisa, Ponte de Sor in Sousel.</w:t>
      </w:r>
    </w:p>
    <w:p w14:paraId="5B19CBFA" w14:textId="77777777" w:rsidR="00F24946" w:rsidRDefault="00613B06">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Minihidro</w:t>
      </w:r>
      <w:r>
        <w:rPr>
          <w:noProof/>
        </w:rPr>
        <w:t>: Za porabo energije pri pretokih, ki se sprostijo v namakanje v dolini spodnjega toka, kar ima koristi od padca, ki ga zagotavlja višina jezov. Inštalirana zmogljivost je 1,0 MW.</w:t>
      </w:r>
    </w:p>
    <w:p w14:paraId="7ECAF144" w14:textId="604696DD" w:rsidR="00F24946" w:rsidRDefault="00613B06">
      <w:pPr>
        <w:pStyle w:val="P68B1DB1-Normal4"/>
        <w:widowControl w:val="0"/>
        <w:numPr>
          <w:ilvl w:val="0"/>
          <w:numId w:val="28"/>
        </w:numPr>
        <w:spacing w:before="40" w:after="0" w:line="302" w:lineRule="exact"/>
        <w:ind w:left="714" w:hanging="357"/>
        <w:jc w:val="both"/>
        <w:rPr>
          <w:rFonts w:eastAsia="Calibri" w:cs="Times New Roman"/>
          <w:noProof/>
        </w:rPr>
      </w:pPr>
      <w:r>
        <w:rPr>
          <w:noProof/>
          <w:shd w:val="clear" w:color="auto" w:fill="FFFFFF"/>
        </w:rPr>
        <w:t xml:space="preserve">Sistem za krepitev oskrbe jezu Póvoa e Meadas iz Pisão </w:t>
      </w:r>
      <w:r>
        <w:rPr>
          <w:noProof/>
        </w:rPr>
        <w:t>d</w:t>
      </w:r>
      <w:r>
        <w:rPr>
          <w:noProof/>
          <w:shd w:val="clear" w:color="auto" w:fill="FFFFFF"/>
        </w:rPr>
        <w:t>ams</w:t>
      </w:r>
      <w:r>
        <w:rPr>
          <w:noProof/>
        </w:rPr>
        <w:t>: povezava od zbiralnika do čistilne naprave v mestu Póvoa e Meadas, da se zagotovi potreba po mestni porabi občin Alter do Chão, Avis, Crato, Fronteira, Gavião, Nisa, Ponte de Sor in Sousel.</w:t>
      </w:r>
    </w:p>
    <w:p w14:paraId="4A96B4C4" w14:textId="77777777" w:rsidR="00F24946" w:rsidRDefault="00613B06">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Namakalna infrastruktura za podporo obstoječim kmetijskim območjem:</w:t>
      </w:r>
      <w:r>
        <w:rPr>
          <w:b/>
          <w:noProof/>
          <w:shd w:val="clear" w:color="auto" w:fill="FFFFFF"/>
        </w:rPr>
        <w:t xml:space="preserve"> </w:t>
      </w:r>
      <w:r>
        <w:rPr>
          <w:noProof/>
          <w:shd w:val="clear" w:color="auto" w:fill="FFFFFF"/>
        </w:rPr>
        <w:t xml:space="preserve">to </w:t>
      </w:r>
      <w:r>
        <w:rPr>
          <w:noProof/>
        </w:rPr>
        <w:t>vključuje dvižne postaje za namakanje, vode, izravnalne zbiralnike in distribucijska omrežja, namakalna omrežja in izboljšanje dostopa do kmetijstva, po pričakovanjih pa naj bi ustvarilo 5 078 ha novih namakalnih blokov (Alter do Chão, Avis, Crato, Fronteira in Sousel).</w:t>
      </w:r>
    </w:p>
    <w:p w14:paraId="12A18ECF" w14:textId="58490B1B" w:rsidR="00F24946" w:rsidRDefault="00613B06">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Solarna fotovoltaična</w:t>
      </w:r>
      <w:r>
        <w:rPr>
          <w:b/>
          <w:noProof/>
          <w:shd w:val="clear" w:color="auto" w:fill="FFFFFF"/>
        </w:rPr>
        <w:t xml:space="preserve"> </w:t>
      </w:r>
      <w:r>
        <w:rPr>
          <w:noProof/>
          <w:shd w:val="clear" w:color="auto" w:fill="FFFFFF"/>
        </w:rPr>
        <w:t>elektrarna</w:t>
      </w:r>
      <w:r>
        <w:rPr>
          <w:noProof/>
        </w:rPr>
        <w:t>(sončne plošče, razsmerniki, plavajoče naprave, nizkonapetostna in srednjenapetostna napeljava): namestitev fotonapetostnih panelov v vodno ogledalo zbiralnika. Financiranje se izvaja zunaj načrta za okrevanje in odpornost.</w:t>
      </w:r>
    </w:p>
    <w:p w14:paraId="5AF0593D" w14:textId="7BA9A102" w:rsidR="00F24946" w:rsidRDefault="00613B06">
      <w:pPr>
        <w:pStyle w:val="P68B1DB1-Normal4"/>
        <w:spacing w:before="40" w:after="0" w:line="259" w:lineRule="auto"/>
        <w:jc w:val="both"/>
        <w:rPr>
          <w:rFonts w:eastAsiaTheme="minorEastAsia" w:cs="Times New Roman"/>
          <w:noProof/>
        </w:rPr>
      </w:pPr>
      <w:r>
        <w:rPr>
          <w:noProof/>
        </w:rPr>
        <w:t xml:space="preserve">Ta ukrep ne škoduje bistveno okoljskim ciljem v smislu člena 17 Uredbe (EU) 2020/852, ob upoštevanju opisa ukrepa in blažilnih ukrepov, določenih v načrtu za okrevanje in odpornost v skladu s tehničnimi smernicami za nebistveno škodovanje (2021/C58/01), ter mejnikov in ciljev, ki jih mora Portugalska izpolniti. Dokaže se popolna in vsebinska skladnost z veljavnimi pravnimi določbami. Pri objavi osnutka presoje vplivov na okolje za javno posvetovanje vključuje 1) predvidene vodne tokove v prizadetem vodnem telesu v osnovnem scenariju (brez naložbe) in po njej, pri čemer se v celoti upoštevajo negativni vplivi podnebnih sprememb na podlagi najboljše razpoložljive znanstvene napovedi, vključno z verjetnim najslabšim možnim scenarijem; in 2) utemeljitev namena naložbe v primerjavi z alternativami, ki bi lahko imele manjši vpliv na okolje, tako v smislu njihovih ciljev (obseg namakanih zemljišč v primerjavi s trajnostno obnovo podeželja) kot glede na sredstva (zmanjšanje povpraševanja po vodi in sonaravnih rešitev). Zlasti za vse projekte, ki bi lahko pomembno vplivali na okolje, se izvedejo presoja vplivov na okolje, ki se zaključi v skladu z Direktivo 2011/92/EU, in ustrezne presoje v okviru Direktive 2000/60/ES, vključno z izvajanjem potrebnih blažilnih ukrepov, s čimer se zagotovi skladnost s tehničnimi smernicami za nebistveno škodovanje (2021/C58/01). </w:t>
      </w:r>
    </w:p>
    <w:p w14:paraId="519C6249" w14:textId="77777777" w:rsidR="00F24946" w:rsidRDefault="00613B06">
      <w:pPr>
        <w:pStyle w:val="P68B1DB1-Normal4"/>
        <w:spacing w:before="40" w:after="0" w:line="259" w:lineRule="auto"/>
        <w:jc w:val="both"/>
        <w:rPr>
          <w:rFonts w:eastAsiaTheme="minorEastAsia" w:cs="Times New Roman"/>
          <w:noProof/>
        </w:rPr>
      </w:pPr>
      <w:r>
        <w:rPr>
          <w:noProof/>
        </w:rPr>
        <w:t>Vsi ukrepi, ki so v okviru presoje vplivov na okolje in presoje v skladu z Direktivo 2000/60/ES opredeljeni kot potrebni za zagotovitev skladnosti z načelom, da se ne škoduje bistveno, se vključijo v projekt in dosledno upoštevajo v fazah gradnje, delovanja in razgradnje infrastrukture.</w:t>
      </w:r>
    </w:p>
    <w:p w14:paraId="77735E49" w14:textId="77777777" w:rsidR="00F24946" w:rsidRDefault="00613B06">
      <w:pPr>
        <w:pStyle w:val="P68B1DB1-Normal4"/>
        <w:spacing w:before="40" w:after="0" w:line="259" w:lineRule="auto"/>
        <w:jc w:val="both"/>
        <w:rPr>
          <w:rFonts w:eastAsiaTheme="minorEastAsia" w:cs="Times New Roman"/>
          <w:noProof/>
        </w:rPr>
      </w:pPr>
      <w:r>
        <w:rPr>
          <w:noProof/>
        </w:rPr>
        <w:t>Presoja vplivov na okolje temelji na najnovejših, celovitih in točnih podatkih, vključno s podatki o spremljanju bioloških elementov kakovosti, ki so posebej občutljivi na hidromorfološke spremembe, in na pričakovanem stanju vodnega telesa zaradi novih dejavnosti v primerjavi s trenutnim stanjem. Oceni zlasti skupne vplive tega novega projekta z drugo obstoječo ali načrtovano infrastrukturo v povodju.</w:t>
      </w:r>
    </w:p>
    <w:p w14:paraId="3A356255" w14:textId="77777777" w:rsidR="00F24946" w:rsidRDefault="00613B06">
      <w:pPr>
        <w:pStyle w:val="P68B1DB1-Normal4"/>
        <w:spacing w:before="40" w:after="0" w:line="259" w:lineRule="auto"/>
        <w:jc w:val="both"/>
        <w:rPr>
          <w:rFonts w:eastAsiaTheme="minorEastAsia" w:cs="Times New Roman"/>
          <w:noProof/>
        </w:rPr>
      </w:pPr>
      <w:r>
        <w:rPr>
          <w:noProof/>
        </w:rPr>
        <w:t>Da bi bil ukrep skladen z Direktivo 2000/60/ES, se na podlagi ocene vseh možnih vplivov na stanje vodnih teles v istem povodju ter na zaščitene habitate in vrste, ki so neposredno odvisni od vode, ob upoštevanju zlasti trenutnih obremenitev, povezanih z odvzemom vode, dokaže, da ukrep:</w:t>
      </w:r>
    </w:p>
    <w:p w14:paraId="4E8790D8" w14:textId="77777777" w:rsidR="00F24946" w:rsidRDefault="00613B06">
      <w:pPr>
        <w:pStyle w:val="P68B1DB1-Normal4"/>
        <w:spacing w:before="40" w:after="0" w:line="259" w:lineRule="auto"/>
        <w:jc w:val="both"/>
        <w:rPr>
          <w:rFonts w:eastAsiaTheme="minorEastAsia" w:cs="Times New Roman"/>
          <w:noProof/>
        </w:rPr>
      </w:pPr>
      <w:r>
        <w:rPr>
          <w:noProof/>
        </w:rPr>
        <w:t xml:space="preserve">I) ne vpliva bistveno ali nepopravljivo na prizadeta vodna telesa niti preprečuje, da bi določeno vodno telo, na katero se nanaša, ali druga vodna telesa v istem povodju do četrtega četrtletja 2025 dosegla dobro stanje ali potencial; in </w:t>
      </w:r>
    </w:p>
    <w:p w14:paraId="41CC86CF" w14:textId="77777777" w:rsidR="00F24946" w:rsidRDefault="00613B06">
      <w:pPr>
        <w:pStyle w:val="P68B1DB1-Normal4"/>
        <w:spacing w:before="40" w:after="0" w:line="259" w:lineRule="auto"/>
        <w:jc w:val="both"/>
        <w:rPr>
          <w:rFonts w:eastAsiaTheme="minorEastAsia" w:cs="Times New Roman"/>
          <w:noProof/>
        </w:rPr>
      </w:pPr>
      <w:r>
        <w:rPr>
          <w:noProof/>
        </w:rPr>
        <w:t>II) ne povzroča znatnega negativnega vpliva na zaščitene habitate in vrste, ki so neposredno odvisni od vode.</w:t>
      </w:r>
    </w:p>
    <w:p w14:paraId="5E5C92F5" w14:textId="0CA8BF50" w:rsidR="00F24946" w:rsidRDefault="00613B06">
      <w:pPr>
        <w:pStyle w:val="P68B1DB1-Normal4"/>
        <w:keepNext/>
        <w:spacing w:before="40" w:after="0" w:line="259" w:lineRule="auto"/>
        <w:jc w:val="both"/>
        <w:rPr>
          <w:rFonts w:eastAsiaTheme="minorEastAsia" w:cs="Times New Roman"/>
          <w:noProof/>
        </w:rPr>
      </w:pPr>
      <w:r>
        <w:rPr>
          <w:noProof/>
        </w:rPr>
        <w:t xml:space="preserve">Pristojni organ izda dovoljenje za projekt, v katerem so navedeni vsi tehnično izvedljivi in ekološko ustrezni ukrepi, ki se izvajajo za ublažitev vplivov in zagotovitev doseganja dobrega ekološkega stanja in potenciala prizadetih vodnih teles do četrtega četrtletja 2025, ter spremljanje učinkovitosti teh ukrepov v skladu z zahtevami okvirne direktive o vodah 2000/60/ES. </w:t>
      </w:r>
    </w:p>
    <w:p w14:paraId="207EA017" w14:textId="19E4EEFD"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2022.</w:t>
      </w:r>
    </w:p>
    <w:p w14:paraId="34D05917" w14:textId="77777777" w:rsidR="00F24946" w:rsidRDefault="00613B06">
      <w:pPr>
        <w:pStyle w:val="P68B1DB1-Normal5"/>
        <w:spacing w:before="240" w:after="0" w:line="259" w:lineRule="auto"/>
        <w:ind w:left="851"/>
        <w:jc w:val="both"/>
        <w:outlineLvl w:val="3"/>
        <w:rPr>
          <w:rFonts w:eastAsiaTheme="minorEastAsia" w:cs="Times New Roman"/>
          <w:noProof/>
        </w:rPr>
      </w:pPr>
      <w:r>
        <w:rPr>
          <w:noProof/>
        </w:rPr>
        <w:t>Naložba RE-C09-i03-RAM: Načrt za učinkovito rabo vode ter krepitev oskrbe in namakalnih sistemov na Madeiri</w:t>
      </w:r>
    </w:p>
    <w:p w14:paraId="37F68CD1" w14:textId="17F84417" w:rsidR="00F24946" w:rsidRDefault="00613B06">
      <w:pPr>
        <w:pStyle w:val="P68B1DB1-Normal4"/>
        <w:spacing w:before="40" w:after="0" w:line="259" w:lineRule="auto"/>
        <w:jc w:val="both"/>
        <w:rPr>
          <w:rFonts w:eastAsiaTheme="minorEastAsia" w:cs="Times New Roman"/>
          <w:noProof/>
        </w:rPr>
      </w:pPr>
      <w:r>
        <w:rPr>
          <w:noProof/>
        </w:rPr>
        <w:t xml:space="preserve">Cilj ukrepa je povečati odpornost vodnih virov na otokih Madeira in Porto Santo. </w:t>
      </w:r>
    </w:p>
    <w:p w14:paraId="0884F004" w14:textId="7EB121EB" w:rsidR="00F24946" w:rsidRDefault="00613B06">
      <w:pPr>
        <w:pStyle w:val="P68B1DB1-Normal4"/>
        <w:spacing w:before="40" w:after="0" w:line="259" w:lineRule="auto"/>
        <w:jc w:val="both"/>
        <w:rPr>
          <w:rFonts w:eastAsiaTheme="minorEastAsia" w:cs="Times New Roman"/>
          <w:noProof/>
        </w:rPr>
      </w:pPr>
      <w:r>
        <w:rPr>
          <w:noProof/>
        </w:rPr>
        <w:t xml:space="preserve">Naložba vključuje zagotavljanje oskrbe z vodnimi viri z optimizacijo uporabe obstoječih virov, odvzem presežne vode brez vpliva na ekosisteme, vzpostavitev in širitev strateških rezerv ter medsebojno povezanost različnih vodnih virov. </w:t>
      </w:r>
    </w:p>
    <w:p w14:paraId="6EF884DE" w14:textId="77777777" w:rsidR="00F24946" w:rsidRDefault="00613B06">
      <w:pPr>
        <w:pStyle w:val="P68B1DB1-Normal4"/>
        <w:spacing w:before="40" w:after="0" w:line="259" w:lineRule="auto"/>
        <w:jc w:val="both"/>
        <w:rPr>
          <w:rFonts w:eastAsiaTheme="minorEastAsia" w:cs="Times New Roman"/>
          <w:noProof/>
        </w:rPr>
      </w:pPr>
      <w:r>
        <w:rPr>
          <w:noProof/>
        </w:rPr>
        <w:t>Pričakuje se, da ta ukrep ne bo bistveno škodoval okoljskim ciljem v smislu člena 17 Uredbe (EU) 2020/852, ob upoštevanju opisa ukrepa in blažilnih ukrepov, določenih v načrtu za okrevanje in odpornost v skladu s tehničnimi smernicami za načelo, da se ne škoduje bistveno (2021/C58/01), ter mejnikov in ciljev, ki jih mora Portugalska izpolniti. Zlasti je treba za vse projekte, ki bi lahko pomembno vplivali na okolje, nujno opraviti presojo vplivov na okolje v skladu z Direktivo 2011/92/EU ter ustrezne presoje v okviru Direktive 2000/60/ES in Direktive 92/43/EGS, vključno z izvajanjem potrebnih blažilnih ukrepov.</w:t>
      </w:r>
    </w:p>
    <w:p w14:paraId="38F7BA54" w14:textId="4535BBF2" w:rsidR="00F24946" w:rsidRDefault="00613B06">
      <w:pPr>
        <w:pStyle w:val="P68B1DB1-Normal4"/>
        <w:keepNext/>
        <w:spacing w:before="40" w:after="0" w:line="259" w:lineRule="auto"/>
        <w:jc w:val="both"/>
        <w:rPr>
          <w:rFonts w:eastAsiaTheme="minorEastAsia" w:cs="Times New Roman"/>
          <w:noProof/>
        </w:rPr>
        <w:sectPr w:rsidR="00F24946" w:rsidSect="00E00EDD">
          <w:headerReference w:type="even" r:id="rId180"/>
          <w:headerReference w:type="default" r:id="rId181"/>
          <w:footerReference w:type="even" r:id="rId182"/>
          <w:footerReference w:type="default" r:id="rId183"/>
          <w:headerReference w:type="first" r:id="rId184"/>
          <w:footerReference w:type="first" r:id="rId185"/>
          <w:pgSz w:w="11907" w:h="16839"/>
          <w:pgMar w:top="1134" w:right="1134" w:bottom="1134" w:left="1134" w:header="567" w:footer="567" w:gutter="0"/>
          <w:cols w:space="720"/>
          <w:docGrid w:linePitch="360"/>
        </w:sectPr>
      </w:pPr>
      <w:r>
        <w:rPr>
          <w:noProof/>
        </w:rPr>
        <w:t>Naložba se izvede do 30. junija 2026.</w:t>
      </w:r>
    </w:p>
    <w:p w14:paraId="12B3E8C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1AF6FAD5"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1001889C"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I.2. Mejniki, cilji, kazalniki in časovni razpored za spremljanje in izvajanje nepovratne finančne podpore Naslednje;</w:t>
      </w:r>
    </w:p>
    <w:p w14:paraId="25E28A3C"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600C6CC3" w14:textId="77777777">
        <w:trPr>
          <w:trHeight w:val="300"/>
          <w:tblHeader/>
          <w:jc w:val="center"/>
        </w:trPr>
        <w:tc>
          <w:tcPr>
            <w:tcW w:w="1135" w:type="dxa"/>
            <w:vMerge w:val="restart"/>
            <w:shd w:val="clear" w:color="auto" w:fill="BDD6EE"/>
            <w:vAlign w:val="center"/>
            <w:hideMark/>
          </w:tcPr>
          <w:p w14:paraId="7EDDF729"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noWrap/>
            <w:vAlign w:val="center"/>
            <w:hideMark/>
          </w:tcPr>
          <w:p w14:paraId="245FD828"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noWrap/>
            <w:vAlign w:val="center"/>
            <w:hideMark/>
          </w:tcPr>
          <w:p w14:paraId="0BF43E8A" w14:textId="22BCA461"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noWrap/>
            <w:vAlign w:val="center"/>
            <w:hideMark/>
          </w:tcPr>
          <w:p w14:paraId="340FFCF7"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noWrap/>
            <w:vAlign w:val="center"/>
            <w:hideMark/>
          </w:tcPr>
          <w:p w14:paraId="6468587C"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noWrap/>
            <w:vAlign w:val="center"/>
            <w:hideMark/>
          </w:tcPr>
          <w:p w14:paraId="12177533"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noWrap/>
            <w:vAlign w:val="center"/>
            <w:hideMark/>
          </w:tcPr>
          <w:p w14:paraId="28F7EB70" w14:textId="77777777" w:rsidR="00F24946" w:rsidRDefault="00613B06">
            <w:pPr>
              <w:pStyle w:val="P68B1DB1-Normal6"/>
              <w:spacing w:after="0" w:line="240" w:lineRule="auto"/>
              <w:jc w:val="center"/>
              <w:rPr>
                <w:rFonts w:eastAsia="Times New Roman" w:cs="Times New Roman"/>
                <w:noProof/>
              </w:rPr>
            </w:pPr>
            <w:r>
              <w:rPr>
                <w:noProof/>
              </w:rPr>
              <w:t>Časovnica za dokončanje</w:t>
            </w:r>
          </w:p>
        </w:tc>
        <w:tc>
          <w:tcPr>
            <w:tcW w:w="3969" w:type="dxa"/>
            <w:vMerge w:val="restart"/>
            <w:shd w:val="clear" w:color="auto" w:fill="BDD6EE"/>
            <w:vAlign w:val="center"/>
            <w:hideMark/>
          </w:tcPr>
          <w:p w14:paraId="4A0FED38"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1E2172AA" w14:textId="77777777">
        <w:trPr>
          <w:trHeight w:val="300"/>
          <w:tblHeader/>
          <w:jc w:val="center"/>
        </w:trPr>
        <w:tc>
          <w:tcPr>
            <w:tcW w:w="1135" w:type="dxa"/>
            <w:vMerge/>
            <w:vAlign w:val="center"/>
            <w:hideMark/>
          </w:tcPr>
          <w:p w14:paraId="57B55280"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622AD449"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201EE1EB" w14:textId="3CE9A911" w:rsidR="00F24946" w:rsidRDefault="00F2494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BCDAF57"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7CCC7491"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4AA0E852"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noWrap/>
            <w:vAlign w:val="center"/>
            <w:hideMark/>
          </w:tcPr>
          <w:p w14:paraId="19FD5F31"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noWrap/>
            <w:vAlign w:val="center"/>
            <w:hideMark/>
          </w:tcPr>
          <w:p w14:paraId="2839A6A1"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noWrap/>
            <w:vAlign w:val="center"/>
            <w:hideMark/>
          </w:tcPr>
          <w:p w14:paraId="46BA416F"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26D1C15"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5EDB4CE2" w14:textId="77777777" w:rsidR="00F24946" w:rsidRDefault="00F24946">
            <w:pPr>
              <w:spacing w:after="0" w:line="240" w:lineRule="auto"/>
              <w:rPr>
                <w:rFonts w:ascii="Times New Roman" w:eastAsia="Times New Roman" w:hAnsi="Times New Roman" w:cs="Times New Roman"/>
                <w:b/>
                <w:noProof/>
                <w:sz w:val="18"/>
              </w:rPr>
            </w:pPr>
          </w:p>
        </w:tc>
      </w:tr>
      <w:tr w:rsidR="00F24946" w14:paraId="6349FC7E" w14:textId="77777777">
        <w:trPr>
          <w:trHeight w:val="1480"/>
          <w:jc w:val="center"/>
        </w:trPr>
        <w:tc>
          <w:tcPr>
            <w:tcW w:w="1135" w:type="dxa"/>
            <w:shd w:val="clear" w:color="auto" w:fill="C5EFCE"/>
            <w:noWrap/>
            <w:vAlign w:val="center"/>
            <w:hideMark/>
          </w:tcPr>
          <w:p w14:paraId="0438A134" w14:textId="77777777" w:rsidR="00F24946" w:rsidRDefault="00613B06">
            <w:pPr>
              <w:pStyle w:val="P68B1DB1-Normal7"/>
              <w:spacing w:after="0" w:line="240" w:lineRule="auto"/>
              <w:jc w:val="center"/>
              <w:rPr>
                <w:rFonts w:eastAsia="Times New Roman" w:cs="Calibri"/>
                <w:noProof/>
              </w:rPr>
            </w:pPr>
            <w:r>
              <w:rPr>
                <w:noProof/>
              </w:rPr>
              <w:t>9.1</w:t>
            </w:r>
          </w:p>
        </w:tc>
        <w:tc>
          <w:tcPr>
            <w:tcW w:w="1276" w:type="dxa"/>
            <w:shd w:val="clear" w:color="auto" w:fill="C4EFCE"/>
            <w:noWrap/>
            <w:vAlign w:val="center"/>
            <w:hideMark/>
          </w:tcPr>
          <w:p w14:paraId="0B8CF946"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3A439A7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E88BABD" w14:textId="77777777" w:rsidR="00F24946" w:rsidRDefault="00613B06">
            <w:pPr>
              <w:pStyle w:val="P68B1DB1-Normal8"/>
              <w:spacing w:after="0" w:line="240" w:lineRule="auto"/>
              <w:jc w:val="center"/>
              <w:rPr>
                <w:rFonts w:eastAsia="Times New Roman" w:cs="Calibri"/>
                <w:noProof/>
              </w:rPr>
            </w:pPr>
            <w:r>
              <w:rPr>
                <w:noProof/>
              </w:rPr>
              <w:t>Dodatna merilna mesta nameščenih virov podzemne vode (SM3)</w:t>
            </w:r>
          </w:p>
        </w:tc>
        <w:tc>
          <w:tcPr>
            <w:tcW w:w="1275" w:type="dxa"/>
            <w:shd w:val="clear" w:color="auto" w:fill="C4EFCE"/>
            <w:noWrap/>
            <w:vAlign w:val="center"/>
            <w:hideMark/>
          </w:tcPr>
          <w:p w14:paraId="6E70CEC2"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8B8CA1B"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642E61B9" w14:textId="77777777" w:rsidR="00F24946" w:rsidRDefault="00613B06">
            <w:pPr>
              <w:pStyle w:val="P68B1DB1-Normal8"/>
              <w:spacing w:after="0" w:line="240" w:lineRule="auto"/>
              <w:jc w:val="center"/>
              <w:rPr>
                <w:rFonts w:eastAsia="Times New Roman" w:cs="Calibri"/>
                <w:noProof/>
              </w:rPr>
            </w:pPr>
            <w:r>
              <w:rPr>
                <w:noProof/>
              </w:rPr>
              <w:t>32</w:t>
            </w:r>
          </w:p>
        </w:tc>
        <w:tc>
          <w:tcPr>
            <w:tcW w:w="709" w:type="dxa"/>
            <w:shd w:val="clear" w:color="auto" w:fill="C4EFCE"/>
            <w:noWrap/>
            <w:vAlign w:val="center"/>
            <w:hideMark/>
          </w:tcPr>
          <w:p w14:paraId="6267D00B" w14:textId="77777777" w:rsidR="00F24946" w:rsidRDefault="00613B06">
            <w:pPr>
              <w:pStyle w:val="P68B1DB1-Normal8"/>
              <w:spacing w:after="0" w:line="240" w:lineRule="auto"/>
              <w:jc w:val="center"/>
              <w:rPr>
                <w:rFonts w:eastAsia="Times New Roman" w:cs="Calibri"/>
                <w:noProof/>
              </w:rPr>
            </w:pPr>
            <w:r>
              <w:rPr>
                <w:noProof/>
              </w:rPr>
              <w:t>82</w:t>
            </w:r>
          </w:p>
        </w:tc>
        <w:tc>
          <w:tcPr>
            <w:tcW w:w="567" w:type="dxa"/>
            <w:shd w:val="clear" w:color="auto" w:fill="C4EFCE"/>
            <w:noWrap/>
            <w:vAlign w:val="center"/>
            <w:hideMark/>
          </w:tcPr>
          <w:p w14:paraId="43A52E08" w14:textId="39780CFB"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32E3C24C"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6A1ABD5" w14:textId="77777777" w:rsidR="00F24946" w:rsidRDefault="00613B06">
            <w:pPr>
              <w:pStyle w:val="P68B1DB1-Normal9"/>
              <w:spacing w:after="0" w:line="240" w:lineRule="auto"/>
              <w:jc w:val="both"/>
              <w:rPr>
                <w:rFonts w:eastAsia="Times New Roman" w:cs="Calibri"/>
                <w:noProof/>
                <w:sz w:val="16"/>
              </w:rPr>
            </w:pPr>
            <w:r>
              <w:rPr>
                <w:noProof/>
                <w:sz w:val="16"/>
              </w:rPr>
              <w:t>Namestitev merilnih in nadzornih točk virov podzemne vode (vključno s piezometri in telemetrijskimi števci). Poleg obstoječih 32 se namesti še 50 piezometri.</w:t>
            </w:r>
            <w:r>
              <w:rPr>
                <w:noProof/>
                <w:sz w:val="18"/>
              </w:rPr>
              <w:t xml:space="preserve"> </w:t>
            </w:r>
          </w:p>
        </w:tc>
      </w:tr>
      <w:tr w:rsidR="00F24946" w14:paraId="0792A2CB" w14:textId="77777777">
        <w:trPr>
          <w:trHeight w:val="1050"/>
          <w:jc w:val="center"/>
        </w:trPr>
        <w:tc>
          <w:tcPr>
            <w:tcW w:w="1135" w:type="dxa"/>
            <w:shd w:val="clear" w:color="auto" w:fill="C4EFCE"/>
            <w:noWrap/>
            <w:vAlign w:val="center"/>
            <w:hideMark/>
          </w:tcPr>
          <w:p w14:paraId="2868601E" w14:textId="77777777" w:rsidR="00F24946" w:rsidRDefault="00613B06">
            <w:pPr>
              <w:pStyle w:val="P68B1DB1-Normal7"/>
              <w:spacing w:after="0" w:line="240" w:lineRule="auto"/>
              <w:jc w:val="center"/>
              <w:rPr>
                <w:rFonts w:eastAsia="Times New Roman" w:cs="Calibri"/>
                <w:noProof/>
              </w:rPr>
            </w:pPr>
            <w:r>
              <w:rPr>
                <w:noProof/>
              </w:rPr>
              <w:t>9.2</w:t>
            </w:r>
          </w:p>
        </w:tc>
        <w:tc>
          <w:tcPr>
            <w:tcW w:w="1276" w:type="dxa"/>
            <w:shd w:val="clear" w:color="auto" w:fill="C4EFCE"/>
            <w:noWrap/>
            <w:vAlign w:val="center"/>
            <w:hideMark/>
          </w:tcPr>
          <w:p w14:paraId="473C196B"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7A7F263"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10ABBF9" w14:textId="77777777" w:rsidR="00F24946" w:rsidRDefault="00613B06">
            <w:pPr>
              <w:pStyle w:val="P68B1DB1-Normal8"/>
              <w:spacing w:after="0" w:line="240" w:lineRule="auto"/>
              <w:jc w:val="center"/>
              <w:rPr>
                <w:rFonts w:eastAsia="Times New Roman" w:cs="Calibri"/>
                <w:noProof/>
              </w:rPr>
            </w:pPr>
            <w:r>
              <w:rPr>
                <w:noProof/>
              </w:rPr>
              <w:t>Dokončanje omrežnih posegov za zmanjšanje izgub vode (SM1)</w:t>
            </w:r>
          </w:p>
        </w:tc>
        <w:tc>
          <w:tcPr>
            <w:tcW w:w="1275" w:type="dxa"/>
            <w:shd w:val="clear" w:color="auto" w:fill="C4EFCE"/>
            <w:noWrap/>
            <w:vAlign w:val="center"/>
            <w:hideMark/>
          </w:tcPr>
          <w:p w14:paraId="03DA0A8A"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5ED303C2"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60440915"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2D1D6224" w14:textId="77777777" w:rsidR="00F24946" w:rsidRDefault="00613B06">
            <w:pPr>
              <w:pStyle w:val="P68B1DB1-Normal8"/>
              <w:spacing w:after="0" w:line="240" w:lineRule="auto"/>
              <w:jc w:val="center"/>
              <w:rPr>
                <w:rFonts w:eastAsia="Times New Roman" w:cs="Calibri"/>
                <w:noProof/>
              </w:rPr>
            </w:pPr>
            <w:r>
              <w:rPr>
                <w:noProof/>
              </w:rPr>
              <w:t>125</w:t>
            </w:r>
          </w:p>
        </w:tc>
        <w:tc>
          <w:tcPr>
            <w:tcW w:w="567" w:type="dxa"/>
            <w:shd w:val="clear" w:color="auto" w:fill="C4EFCE"/>
            <w:noWrap/>
            <w:vAlign w:val="center"/>
            <w:hideMark/>
          </w:tcPr>
          <w:p w14:paraId="5B4ACE0D"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5FCFB3CB" w14:textId="77777777"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E31623D" w14:textId="77777777" w:rsidR="00F24946" w:rsidRDefault="00613B06">
            <w:pPr>
              <w:pStyle w:val="P68B1DB1-Normal8"/>
              <w:spacing w:after="0" w:line="240" w:lineRule="auto"/>
              <w:jc w:val="both"/>
              <w:rPr>
                <w:rFonts w:eastAsia="Times New Roman" w:cs="Calibri"/>
                <w:noProof/>
              </w:rPr>
            </w:pPr>
            <w:r>
              <w:rPr>
                <w:noProof/>
              </w:rPr>
              <w:t>Dokončanje omrežnih posegov za optimizacijo pritiska in rehabilitacijo omrežja z naslednjimi ukrepi: 1) optimizacija pritiska in merjenje pretoka, 2) rehabilitacija omrežja na mestnih/zgodovinskih območjih 3) rehabilitacija omrežja na podeželskih ali srednje velikih podeželskih območjih.</w:t>
            </w:r>
          </w:p>
        </w:tc>
      </w:tr>
      <w:tr w:rsidR="00F24946" w14:paraId="470669E2" w14:textId="77777777">
        <w:trPr>
          <w:trHeight w:val="1757"/>
          <w:jc w:val="center"/>
        </w:trPr>
        <w:tc>
          <w:tcPr>
            <w:tcW w:w="1135" w:type="dxa"/>
            <w:shd w:val="clear" w:color="auto" w:fill="C5EFCE"/>
            <w:noWrap/>
            <w:vAlign w:val="center"/>
            <w:hideMark/>
          </w:tcPr>
          <w:p w14:paraId="24335E6E" w14:textId="77777777" w:rsidR="00F24946" w:rsidRDefault="00613B06">
            <w:pPr>
              <w:pStyle w:val="P68B1DB1-Normal7"/>
              <w:spacing w:after="0" w:line="240" w:lineRule="auto"/>
              <w:jc w:val="center"/>
              <w:rPr>
                <w:rFonts w:eastAsia="Times New Roman" w:cs="Calibri"/>
                <w:noProof/>
              </w:rPr>
            </w:pPr>
            <w:r>
              <w:rPr>
                <w:noProof/>
              </w:rPr>
              <w:t>9.3</w:t>
            </w:r>
          </w:p>
        </w:tc>
        <w:tc>
          <w:tcPr>
            <w:tcW w:w="1276" w:type="dxa"/>
            <w:shd w:val="clear" w:color="auto" w:fill="C4EFCE"/>
            <w:noWrap/>
            <w:vAlign w:val="center"/>
            <w:hideMark/>
          </w:tcPr>
          <w:p w14:paraId="61BA6E03"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481B50F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AFCFDF3" w14:textId="77777777" w:rsidR="00F24946" w:rsidRDefault="00613B06">
            <w:pPr>
              <w:pStyle w:val="P68B1DB1-Normal8"/>
              <w:spacing w:after="0" w:line="240" w:lineRule="auto"/>
              <w:jc w:val="center"/>
              <w:rPr>
                <w:rFonts w:eastAsia="Times New Roman" w:cs="Calibri"/>
                <w:noProof/>
              </w:rPr>
            </w:pPr>
            <w:r>
              <w:rPr>
                <w:noProof/>
              </w:rPr>
              <w:t>Posodobitev zemljišč za skupno vodno-kmetijsko rabo in individualno namakanje (SM2)</w:t>
            </w:r>
          </w:p>
        </w:tc>
        <w:tc>
          <w:tcPr>
            <w:tcW w:w="1275" w:type="dxa"/>
            <w:shd w:val="clear" w:color="auto" w:fill="C4EFCE"/>
            <w:noWrap/>
            <w:vAlign w:val="center"/>
            <w:hideMark/>
          </w:tcPr>
          <w:p w14:paraId="36A7294C"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45E8102A" w14:textId="77777777" w:rsidR="00F24946" w:rsidRDefault="00613B06">
            <w:pPr>
              <w:pStyle w:val="P68B1DB1-Normal8"/>
              <w:spacing w:after="0" w:line="240" w:lineRule="auto"/>
              <w:jc w:val="center"/>
              <w:rPr>
                <w:rFonts w:eastAsia="Times New Roman" w:cs="Calibri"/>
                <w:noProof/>
              </w:rPr>
            </w:pPr>
            <w:r>
              <w:rPr>
                <w:noProof/>
              </w:rPr>
              <w:t>Ha</w:t>
            </w:r>
          </w:p>
        </w:tc>
        <w:tc>
          <w:tcPr>
            <w:tcW w:w="992" w:type="dxa"/>
            <w:shd w:val="clear" w:color="auto" w:fill="C4EFCE"/>
            <w:noWrap/>
            <w:vAlign w:val="center"/>
            <w:hideMark/>
          </w:tcPr>
          <w:p w14:paraId="72C10700"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23692D8" w14:textId="77777777" w:rsidR="00F24946" w:rsidRDefault="00613B06">
            <w:pPr>
              <w:pStyle w:val="P68B1DB1-Normal8"/>
              <w:spacing w:after="0" w:line="240" w:lineRule="auto"/>
              <w:jc w:val="center"/>
              <w:rPr>
                <w:rFonts w:eastAsia="Times New Roman" w:cs="Calibri"/>
                <w:noProof/>
              </w:rPr>
            </w:pPr>
            <w:r>
              <w:rPr>
                <w:noProof/>
              </w:rPr>
              <w:t>10 300</w:t>
            </w:r>
          </w:p>
        </w:tc>
        <w:tc>
          <w:tcPr>
            <w:tcW w:w="567" w:type="dxa"/>
            <w:shd w:val="clear" w:color="auto" w:fill="C4EFCE"/>
            <w:noWrap/>
            <w:vAlign w:val="center"/>
            <w:hideMark/>
          </w:tcPr>
          <w:p w14:paraId="32AC4E73"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174A4D7F" w14:textId="77777777"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188BD210" w14:textId="77777777" w:rsidR="00F24946" w:rsidRDefault="00613B06">
            <w:pPr>
              <w:pStyle w:val="P68B1DB1-Normal8"/>
              <w:spacing w:after="0" w:line="240" w:lineRule="auto"/>
              <w:jc w:val="both"/>
              <w:rPr>
                <w:rFonts w:eastAsia="Times New Roman" w:cs="Calibri"/>
                <w:noProof/>
              </w:rPr>
            </w:pPr>
            <w:r>
              <w:rPr>
                <w:noProof/>
              </w:rPr>
              <w:t xml:space="preserve">Območje, ki ga zadeva sprejetje učinkovitejših distribucijskih sistemov z zamenjavo kanalov z vodi, izboljšanim omrežnim tlakom, izvajanjem sistemov daljinskega zaznavanja in nadzora porabe, izvajanjem sistemov za odkrivanje puščanja za skupne hidrokmetijske objekte ter z namestitvijo učinkovitejših namakalnih sistemov, ki jih je mogoče spremljati, v posameznih namakalnih sistemih </w:t>
            </w:r>
          </w:p>
        </w:tc>
      </w:tr>
      <w:tr w:rsidR="00F24946" w14:paraId="13208EC3" w14:textId="77777777">
        <w:trPr>
          <w:trHeight w:val="1251"/>
          <w:jc w:val="center"/>
        </w:trPr>
        <w:tc>
          <w:tcPr>
            <w:tcW w:w="1135" w:type="dxa"/>
            <w:shd w:val="clear" w:color="auto" w:fill="C5EFCE"/>
            <w:noWrap/>
            <w:vAlign w:val="center"/>
            <w:hideMark/>
          </w:tcPr>
          <w:p w14:paraId="5C18D42C" w14:textId="77777777" w:rsidR="00F24946" w:rsidRDefault="00613B06">
            <w:pPr>
              <w:pStyle w:val="P68B1DB1-Normal7"/>
              <w:spacing w:after="0" w:line="240" w:lineRule="auto"/>
              <w:jc w:val="center"/>
              <w:rPr>
                <w:rFonts w:eastAsia="Times New Roman" w:cs="Calibri"/>
                <w:noProof/>
              </w:rPr>
            </w:pPr>
            <w:r>
              <w:rPr>
                <w:noProof/>
              </w:rPr>
              <w:t>9.4</w:t>
            </w:r>
          </w:p>
        </w:tc>
        <w:tc>
          <w:tcPr>
            <w:tcW w:w="1276" w:type="dxa"/>
            <w:shd w:val="clear" w:color="auto" w:fill="C4EFCE"/>
            <w:noWrap/>
            <w:vAlign w:val="center"/>
            <w:hideMark/>
          </w:tcPr>
          <w:p w14:paraId="3F908A5B"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27188DE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4082C95" w14:textId="77777777" w:rsidR="00F24946" w:rsidRDefault="00613B06">
            <w:pPr>
              <w:pStyle w:val="P68B1DB1-Normal8"/>
              <w:spacing w:after="0" w:line="240" w:lineRule="auto"/>
              <w:jc w:val="center"/>
              <w:rPr>
                <w:rFonts w:eastAsia="Times New Roman" w:cs="Calibri"/>
                <w:noProof/>
              </w:rPr>
            </w:pPr>
            <w:r>
              <w:rPr>
                <w:noProof/>
              </w:rPr>
              <w:t>Število čistilnih naprav za zagotavljanje proizvodnje in rafiniranja očiščene odpadne vode (SM4)</w:t>
            </w:r>
          </w:p>
        </w:tc>
        <w:tc>
          <w:tcPr>
            <w:tcW w:w="1275" w:type="dxa"/>
            <w:shd w:val="clear" w:color="auto" w:fill="C4EFCE"/>
            <w:noWrap/>
            <w:vAlign w:val="center"/>
            <w:hideMark/>
          </w:tcPr>
          <w:p w14:paraId="78A33847"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28B2E837"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72835986"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40E57D3" w14:textId="77777777" w:rsidR="00F24946" w:rsidRDefault="00613B06">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254C1418"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72AB9968" w14:textId="77777777"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C292FEE" w14:textId="77777777" w:rsidR="00F24946" w:rsidRDefault="00613B06">
            <w:pPr>
              <w:pStyle w:val="P68B1DB1-Normal8"/>
              <w:spacing w:after="0" w:line="240" w:lineRule="auto"/>
              <w:jc w:val="both"/>
              <w:rPr>
                <w:rFonts w:eastAsia="Times New Roman" w:cs="Calibri"/>
                <w:noProof/>
              </w:rPr>
            </w:pPr>
            <w:r>
              <w:rPr>
                <w:noProof/>
              </w:rPr>
              <w:t>Število čistilnih naprav, odprtih za zagotovitev proizvodnje očiščene odpadne vode, pripravljene za ponovno uporabo</w:t>
            </w:r>
          </w:p>
        </w:tc>
      </w:tr>
      <w:tr w:rsidR="00F24946" w14:paraId="4757E211" w14:textId="77777777">
        <w:trPr>
          <w:trHeight w:val="1050"/>
          <w:jc w:val="center"/>
        </w:trPr>
        <w:tc>
          <w:tcPr>
            <w:tcW w:w="1135" w:type="dxa"/>
            <w:shd w:val="clear" w:color="auto" w:fill="C4EFCE"/>
            <w:noWrap/>
            <w:vAlign w:val="center"/>
            <w:hideMark/>
          </w:tcPr>
          <w:p w14:paraId="63118563" w14:textId="77777777" w:rsidR="00F24946" w:rsidRDefault="00613B06">
            <w:pPr>
              <w:pStyle w:val="P68B1DB1-Normal7"/>
              <w:spacing w:after="0" w:line="240" w:lineRule="auto"/>
              <w:jc w:val="center"/>
              <w:rPr>
                <w:rFonts w:eastAsia="Times New Roman" w:cs="Calibri"/>
                <w:noProof/>
              </w:rPr>
            </w:pPr>
            <w:r>
              <w:rPr>
                <w:noProof/>
              </w:rPr>
              <w:t>9.5</w:t>
            </w:r>
          </w:p>
        </w:tc>
        <w:tc>
          <w:tcPr>
            <w:tcW w:w="1276" w:type="dxa"/>
            <w:shd w:val="clear" w:color="auto" w:fill="C4EFCE"/>
            <w:noWrap/>
            <w:vAlign w:val="center"/>
            <w:hideMark/>
          </w:tcPr>
          <w:p w14:paraId="323709CC"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047FA0FE"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F4FE77F" w14:textId="77777777" w:rsidR="00F24946" w:rsidRDefault="00613B06">
            <w:pPr>
              <w:pStyle w:val="P68B1DB1-Normal8"/>
              <w:spacing w:after="0" w:line="240" w:lineRule="auto"/>
              <w:jc w:val="center"/>
              <w:rPr>
                <w:rFonts w:eastAsia="Times New Roman" w:cs="Calibri"/>
                <w:noProof/>
              </w:rPr>
            </w:pPr>
            <w:r>
              <w:rPr>
                <w:noProof/>
              </w:rPr>
              <w:t>Sprejetje posodobljenega načrta (če je potrebno) ukrepa o odvzemu v Guadiani, ki v celoti vključuje vse rezultate in pogoje iz presoje vplivov na okolje (SM5)</w:t>
            </w:r>
          </w:p>
        </w:tc>
        <w:tc>
          <w:tcPr>
            <w:tcW w:w="1275" w:type="dxa"/>
            <w:shd w:val="clear" w:color="auto" w:fill="C4EFCE"/>
            <w:noWrap/>
            <w:vAlign w:val="center"/>
            <w:hideMark/>
          </w:tcPr>
          <w:p w14:paraId="2770C7F5" w14:textId="77777777" w:rsidR="00F24946" w:rsidRDefault="00613B06">
            <w:pPr>
              <w:pStyle w:val="P68B1DB1-Normal8"/>
              <w:spacing w:after="0" w:line="240" w:lineRule="auto"/>
              <w:jc w:val="center"/>
              <w:rPr>
                <w:rFonts w:eastAsia="Times New Roman" w:cs="Calibri"/>
                <w:noProof/>
              </w:rPr>
            </w:pPr>
            <w:r>
              <w:rPr>
                <w:noProof/>
              </w:rPr>
              <w:t>Sprejetje posodobljenega načrta (če je potrebno)</w:t>
            </w:r>
          </w:p>
        </w:tc>
        <w:tc>
          <w:tcPr>
            <w:tcW w:w="993" w:type="dxa"/>
            <w:shd w:val="clear" w:color="auto" w:fill="C4EFCE"/>
            <w:noWrap/>
            <w:vAlign w:val="center"/>
            <w:hideMark/>
          </w:tcPr>
          <w:p w14:paraId="2CB3CD29"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8D2587E"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08998EE7"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60BDF15" w14:textId="4D96C4DC"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1079CDB9"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73E76A50" w14:textId="77777777" w:rsidR="00F24946" w:rsidRDefault="00613B06">
            <w:pPr>
              <w:pStyle w:val="P68B1DB1-Normal8"/>
              <w:spacing w:after="0" w:line="240" w:lineRule="auto"/>
              <w:jc w:val="both"/>
              <w:rPr>
                <w:rFonts w:eastAsia="Times New Roman" w:cs="Calibri"/>
                <w:noProof/>
              </w:rPr>
            </w:pPr>
            <w:r>
              <w:rPr>
                <w:noProof/>
              </w:rPr>
              <w:t xml:space="preserve">Sprejetje posodobljenega načrta ukrepa (če je potrebno), ki v celoti vključuje potrebne rezultate in pogoje iz presoje vplivov na okolje, ki se zaključi v skladu z Direktivo 2011/92/EU in Direktivo 92/43/EGS, ter ustreznih presoj v okviru Direktive 2000/60/ES, vključno z izvajanjem potrebnih blažilnih ukrepov, s čimer se zagotovi skladnost s tehničnimi smernicami za nebistveno škodovanje (2021/C58/01). </w:t>
            </w:r>
          </w:p>
          <w:p w14:paraId="3F1FF344" w14:textId="77777777" w:rsidR="00F24946" w:rsidRDefault="00613B06">
            <w:pPr>
              <w:pStyle w:val="P68B1DB1-Normal8"/>
              <w:spacing w:after="0" w:line="240" w:lineRule="auto"/>
              <w:jc w:val="both"/>
              <w:rPr>
                <w:rFonts w:eastAsia="Times New Roman" w:cs="Calibri"/>
                <w:noProof/>
              </w:rPr>
            </w:pPr>
            <w:r>
              <w:rPr>
                <w:noProof/>
              </w:rPr>
              <w:t xml:space="preserve">Vsi ukrepi, ki so v okviru presoje vplivov na okolje in presoje v skladu z Direktivo 2000/60/ES opredeljeni kot potrebni za zagotovitev skladnosti z načelom, da se ne škoduje bistveno, se vključijo v projekt in dosledno upoštevajo v fazah gradnje, delovanja in razgradnje infrastrukture. </w:t>
            </w:r>
          </w:p>
          <w:p w14:paraId="2BD5E250" w14:textId="2C0B174C" w:rsidR="00F24946" w:rsidRDefault="00613B06">
            <w:pPr>
              <w:pStyle w:val="P68B1DB1-Normal8"/>
              <w:spacing w:after="0" w:line="240" w:lineRule="auto"/>
              <w:jc w:val="both"/>
              <w:rPr>
                <w:rFonts w:eastAsia="Times New Roman" w:cs="Calibri"/>
                <w:noProof/>
              </w:rPr>
            </w:pPr>
            <w:r>
              <w:rPr>
                <w:noProof/>
              </w:rPr>
              <w:t>Kadar se voda odvzema, ustrezni organ izda ustrezno dovoljenje, v katerem so opredeljeni pogoji za preprečitev poslabšanja stanja in zagotovitev, da prizadeta vodna telesa ostanejo v dobrem ekološkem stanju v skladu z zahtevami iz Direktive 2000/60/ES.</w:t>
            </w:r>
          </w:p>
        </w:tc>
      </w:tr>
      <w:tr w:rsidR="00F24946" w14:paraId="192B3758" w14:textId="77777777">
        <w:trPr>
          <w:trHeight w:val="3160"/>
          <w:jc w:val="center"/>
        </w:trPr>
        <w:tc>
          <w:tcPr>
            <w:tcW w:w="1135" w:type="dxa"/>
            <w:shd w:val="clear" w:color="auto" w:fill="C4EFCE"/>
            <w:noWrap/>
            <w:vAlign w:val="center"/>
            <w:hideMark/>
          </w:tcPr>
          <w:p w14:paraId="2C0C5900" w14:textId="77777777" w:rsidR="00F24946" w:rsidRDefault="00613B06">
            <w:pPr>
              <w:pStyle w:val="P68B1DB1-Normal7"/>
              <w:spacing w:after="0" w:line="240" w:lineRule="auto"/>
              <w:jc w:val="center"/>
              <w:rPr>
                <w:rFonts w:eastAsia="Times New Roman" w:cs="Calibri"/>
                <w:noProof/>
              </w:rPr>
            </w:pPr>
            <w:r>
              <w:rPr>
                <w:noProof/>
              </w:rPr>
              <w:t>9.6</w:t>
            </w:r>
          </w:p>
        </w:tc>
        <w:tc>
          <w:tcPr>
            <w:tcW w:w="1276" w:type="dxa"/>
            <w:shd w:val="clear" w:color="auto" w:fill="C4EFCE"/>
            <w:noWrap/>
            <w:vAlign w:val="center"/>
            <w:hideMark/>
          </w:tcPr>
          <w:p w14:paraId="70BF118A"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D10D257"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9625382" w14:textId="77777777" w:rsidR="00F24946" w:rsidRDefault="00613B06">
            <w:pPr>
              <w:pStyle w:val="P68B1DB1-Normal8"/>
              <w:spacing w:after="0" w:line="240" w:lineRule="auto"/>
              <w:jc w:val="center"/>
              <w:rPr>
                <w:rFonts w:eastAsia="Times New Roman" w:cs="Calibri"/>
                <w:noProof/>
              </w:rPr>
            </w:pPr>
            <w:r>
              <w:rPr>
                <w:noProof/>
              </w:rPr>
              <w:t>Začetek delovanja odvzema na Guadiani, pri čemer se v celoti upoštevajo rezultati in pogoji, določeni v presoji vplivov na okolje (SM5)</w:t>
            </w:r>
          </w:p>
        </w:tc>
        <w:tc>
          <w:tcPr>
            <w:tcW w:w="1275" w:type="dxa"/>
            <w:shd w:val="clear" w:color="auto" w:fill="C4EFCE"/>
            <w:noWrap/>
            <w:vAlign w:val="center"/>
            <w:hideMark/>
          </w:tcPr>
          <w:p w14:paraId="0C2A7E77" w14:textId="77777777" w:rsidR="00F24946" w:rsidRDefault="00613B06">
            <w:pPr>
              <w:pStyle w:val="P68B1DB1-Normal8"/>
              <w:spacing w:after="0" w:line="240" w:lineRule="auto"/>
              <w:jc w:val="center"/>
              <w:rPr>
                <w:rFonts w:eastAsia="Times New Roman" w:cs="Calibri"/>
                <w:noProof/>
              </w:rPr>
            </w:pPr>
            <w:r>
              <w:rPr>
                <w:noProof/>
              </w:rPr>
              <w:t>Začetek delovanja odvzema vode</w:t>
            </w:r>
          </w:p>
        </w:tc>
        <w:tc>
          <w:tcPr>
            <w:tcW w:w="993" w:type="dxa"/>
            <w:shd w:val="clear" w:color="auto" w:fill="C4EFCE"/>
            <w:noWrap/>
            <w:vAlign w:val="center"/>
            <w:hideMark/>
          </w:tcPr>
          <w:p w14:paraId="554265B5"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F44BFB8"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7BF66C"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1DA95B63" w14:textId="40897D40"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0523A9C1" w14:textId="7596D464"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4433FAD9" w14:textId="696B8034" w:rsidR="00F24946" w:rsidRDefault="00613B06">
            <w:pPr>
              <w:pStyle w:val="P68B1DB1-Normal8"/>
              <w:spacing w:after="0" w:line="240" w:lineRule="auto"/>
              <w:jc w:val="both"/>
              <w:rPr>
                <w:rFonts w:eastAsia="Times New Roman" w:cs="Calibri"/>
                <w:noProof/>
              </w:rPr>
            </w:pPr>
            <w:r>
              <w:rPr>
                <w:noProof/>
              </w:rPr>
              <w:t xml:space="preserve">Začetek delovanja odvzema na Guadiani, pri čemer se v celoti upošteva izid presoje vplivov na okolje, ki mora biti dokončan v skladu z Direktivo 2011/92/EU in Direktivo 92/43/EGS, vključno z izvajanjem zahtevanih blažilnih ukrepov, s čimer se zagotovi skladnost s tehničnimi smernicami za nebistveno škodovanje (2021/C58/01) </w:t>
            </w:r>
          </w:p>
        </w:tc>
      </w:tr>
      <w:tr w:rsidR="00F24946" w14:paraId="6F9F9602" w14:textId="77777777">
        <w:trPr>
          <w:trHeight w:val="2966"/>
          <w:jc w:val="center"/>
        </w:trPr>
        <w:tc>
          <w:tcPr>
            <w:tcW w:w="1135" w:type="dxa"/>
            <w:shd w:val="clear" w:color="auto" w:fill="C4EFCE"/>
            <w:noWrap/>
            <w:vAlign w:val="center"/>
            <w:hideMark/>
          </w:tcPr>
          <w:p w14:paraId="29F6DCA6" w14:textId="77777777" w:rsidR="00F24946" w:rsidRDefault="00613B06">
            <w:pPr>
              <w:pStyle w:val="P68B1DB1-Normal7"/>
              <w:spacing w:after="0" w:line="240" w:lineRule="auto"/>
              <w:jc w:val="center"/>
              <w:rPr>
                <w:rFonts w:eastAsia="Times New Roman" w:cs="Calibri"/>
                <w:noProof/>
              </w:rPr>
            </w:pPr>
            <w:r>
              <w:rPr>
                <w:noProof/>
              </w:rPr>
              <w:t>9.7</w:t>
            </w:r>
          </w:p>
        </w:tc>
        <w:tc>
          <w:tcPr>
            <w:tcW w:w="1276" w:type="dxa"/>
            <w:shd w:val="clear" w:color="auto" w:fill="C4EFCE"/>
            <w:noWrap/>
            <w:vAlign w:val="center"/>
            <w:hideMark/>
          </w:tcPr>
          <w:p w14:paraId="7E7B9030"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5577101"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6971F09" w14:textId="77777777" w:rsidR="00F24946" w:rsidRDefault="00613B06">
            <w:pPr>
              <w:pStyle w:val="P68B1DB1-Normal8"/>
              <w:spacing w:after="0" w:line="240" w:lineRule="auto"/>
              <w:jc w:val="center"/>
              <w:rPr>
                <w:rFonts w:eastAsia="Times New Roman" w:cs="Calibri"/>
                <w:noProof/>
              </w:rPr>
            </w:pPr>
            <w:r>
              <w:rPr>
                <w:noProof/>
              </w:rPr>
              <w:t>Sprejetje posodobljenega načrta (če je potrebno) ukrepa razsoljenja, ki v celoti vključuje vse rezultate in pogoje iz presoje vplivov na okolje (SM6)</w:t>
            </w:r>
          </w:p>
        </w:tc>
        <w:tc>
          <w:tcPr>
            <w:tcW w:w="1275" w:type="dxa"/>
            <w:shd w:val="clear" w:color="auto" w:fill="C4EFCE"/>
            <w:noWrap/>
            <w:vAlign w:val="center"/>
            <w:hideMark/>
          </w:tcPr>
          <w:p w14:paraId="4E8E76C8" w14:textId="77777777" w:rsidR="00F24946" w:rsidRDefault="00613B06">
            <w:pPr>
              <w:pStyle w:val="P68B1DB1-Normal8"/>
              <w:spacing w:after="0" w:line="240" w:lineRule="auto"/>
              <w:jc w:val="center"/>
              <w:rPr>
                <w:rFonts w:eastAsia="Times New Roman" w:cs="Calibri"/>
                <w:noProof/>
              </w:rPr>
            </w:pPr>
            <w:r>
              <w:rPr>
                <w:noProof/>
              </w:rPr>
              <w:t>Sprejetje posodobljenega načrta (če je potrebno)</w:t>
            </w:r>
          </w:p>
        </w:tc>
        <w:tc>
          <w:tcPr>
            <w:tcW w:w="993" w:type="dxa"/>
            <w:shd w:val="clear" w:color="auto" w:fill="C4EFCE"/>
            <w:noWrap/>
            <w:vAlign w:val="center"/>
            <w:hideMark/>
          </w:tcPr>
          <w:p w14:paraId="4A6FC0AE"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3C3FADE0"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71FE3BF8"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14F91E1" w14:textId="365EFFDB"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49C3716" w14:textId="0AB69983"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7FA125F" w14:textId="77777777" w:rsidR="00F24946" w:rsidRDefault="00613B06">
            <w:pPr>
              <w:pStyle w:val="P68B1DB1-Normal8"/>
              <w:spacing w:after="0" w:line="240" w:lineRule="auto"/>
              <w:jc w:val="both"/>
              <w:rPr>
                <w:rFonts w:eastAsia="Times New Roman" w:cs="Calibri"/>
                <w:noProof/>
              </w:rPr>
            </w:pPr>
            <w:r>
              <w:rPr>
                <w:noProof/>
              </w:rPr>
              <w:t>Sprejetje posodobljenega načrta ukrepa razsoljenja (če je potrebno), ki v celoti vključuje potrebne rezultate in pogoje iz presoje vplivov na okolje, ki se zaključi v skladu z Direktivo 2011/92/EU, ter ustreznih presoj v okviru Direktive 2000/60/ES, vključno z izvajanjem potrebnih blažilnih ukrepov, s čimer se zagotovi skladnost s tehničnimi smernicami za nebistveno škodovanje (2021/C58/01). Vsi ukrepi, ki so v okviru presoje vplivov na okolje in presoje v skladu z Direktivo 2000/60/ES opredeljeni kot potrebni za zagotovitev skladnosti z načelom, da se ne škoduje bistveno, se vključijo v projekt in dosledno upoštevajo v fazah gradnje, delovanja in razgradnje infrastrukture.</w:t>
            </w:r>
          </w:p>
        </w:tc>
      </w:tr>
      <w:tr w:rsidR="00F24946" w14:paraId="3DA4741E" w14:textId="77777777">
        <w:trPr>
          <w:trHeight w:val="1250"/>
          <w:jc w:val="center"/>
        </w:trPr>
        <w:tc>
          <w:tcPr>
            <w:tcW w:w="1135" w:type="dxa"/>
            <w:shd w:val="clear" w:color="auto" w:fill="C4EFCE"/>
            <w:noWrap/>
            <w:vAlign w:val="center"/>
            <w:hideMark/>
          </w:tcPr>
          <w:p w14:paraId="584AC037" w14:textId="77777777" w:rsidR="00F24946" w:rsidRDefault="00613B06">
            <w:pPr>
              <w:pStyle w:val="P68B1DB1-Normal7"/>
              <w:spacing w:after="0" w:line="240" w:lineRule="auto"/>
              <w:jc w:val="center"/>
              <w:rPr>
                <w:rFonts w:eastAsia="Times New Roman" w:cs="Calibri"/>
                <w:noProof/>
              </w:rPr>
            </w:pPr>
            <w:r>
              <w:rPr>
                <w:noProof/>
              </w:rPr>
              <w:t>9.8</w:t>
            </w:r>
          </w:p>
        </w:tc>
        <w:tc>
          <w:tcPr>
            <w:tcW w:w="1276" w:type="dxa"/>
            <w:shd w:val="clear" w:color="auto" w:fill="C4EFCE"/>
            <w:noWrap/>
            <w:vAlign w:val="center"/>
            <w:hideMark/>
          </w:tcPr>
          <w:p w14:paraId="46BCD0A0" w14:textId="77777777" w:rsidR="00F24946" w:rsidRDefault="00613B06">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549C716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B65542" w14:textId="758A5464" w:rsidR="00F24946" w:rsidRDefault="00613B06">
            <w:pPr>
              <w:pStyle w:val="P68B1DB1-Normal8"/>
              <w:spacing w:after="0" w:line="240" w:lineRule="auto"/>
              <w:jc w:val="center"/>
              <w:rPr>
                <w:rFonts w:eastAsia="Times New Roman" w:cs="Calibri"/>
                <w:noProof/>
              </w:rPr>
            </w:pPr>
            <w:r>
              <w:rPr>
                <w:noProof/>
              </w:rPr>
              <w:t>Začetek delovanja ukrepa razsoljenja, pri čemer se v celoti upoštevajo rezultati in pogoji, določeni v presoji vplivov na okolje (SM6)</w:t>
            </w:r>
          </w:p>
        </w:tc>
        <w:tc>
          <w:tcPr>
            <w:tcW w:w="1275" w:type="dxa"/>
            <w:shd w:val="clear" w:color="auto" w:fill="C4EFCE"/>
            <w:noWrap/>
            <w:vAlign w:val="center"/>
            <w:hideMark/>
          </w:tcPr>
          <w:p w14:paraId="3DF16F3D" w14:textId="77777777" w:rsidR="00F24946" w:rsidRDefault="00613B06">
            <w:pPr>
              <w:pStyle w:val="P68B1DB1-Normal8"/>
              <w:spacing w:after="0" w:line="240" w:lineRule="auto"/>
              <w:jc w:val="center"/>
              <w:rPr>
                <w:rFonts w:eastAsia="Times New Roman" w:cs="Calibri"/>
                <w:noProof/>
              </w:rPr>
            </w:pPr>
            <w:r>
              <w:rPr>
                <w:noProof/>
              </w:rPr>
              <w:t>Začetek delovanja desalinatorja</w:t>
            </w:r>
          </w:p>
        </w:tc>
        <w:tc>
          <w:tcPr>
            <w:tcW w:w="993" w:type="dxa"/>
            <w:shd w:val="clear" w:color="auto" w:fill="C4EFCE"/>
            <w:noWrap/>
            <w:vAlign w:val="center"/>
            <w:hideMark/>
          </w:tcPr>
          <w:p w14:paraId="72453BB8"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510E366"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53F0AD13"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532C96C1"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70A056AF" w14:textId="77777777"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522A58FB" w14:textId="77777777" w:rsidR="00F24946" w:rsidRDefault="00613B06">
            <w:pPr>
              <w:pStyle w:val="P68B1DB1-Normal8"/>
              <w:spacing w:after="0" w:line="240" w:lineRule="auto"/>
              <w:jc w:val="both"/>
              <w:rPr>
                <w:rFonts w:eastAsia="Times New Roman" w:cs="Calibri"/>
                <w:noProof/>
              </w:rPr>
            </w:pPr>
            <w:r>
              <w:rPr>
                <w:noProof/>
              </w:rPr>
              <w:t xml:space="preserve">Začetek delovanja desalinatorja, pri čemer se v celoti upošteva izid presoje vplivov na okolje, ki se zaključi v skladu z Direktivo 2011/92/EU, vključno z izvajanjem zahtevanih blažilnih ukrepov, s čimer se zagotovi skladnost s tehničnimi smernicami za nebistveno škodovanje (2021/C58/01) </w:t>
            </w:r>
          </w:p>
        </w:tc>
      </w:tr>
      <w:tr w:rsidR="00F24946" w14:paraId="0EE35F32" w14:textId="77777777">
        <w:trPr>
          <w:trHeight w:val="1260"/>
          <w:jc w:val="center"/>
        </w:trPr>
        <w:tc>
          <w:tcPr>
            <w:tcW w:w="1135" w:type="dxa"/>
            <w:shd w:val="clear" w:color="auto" w:fill="C4EFCE"/>
            <w:noWrap/>
            <w:vAlign w:val="center"/>
            <w:hideMark/>
          </w:tcPr>
          <w:p w14:paraId="6907820E" w14:textId="77777777" w:rsidR="00F24946" w:rsidRDefault="00613B06">
            <w:pPr>
              <w:pStyle w:val="P68B1DB1-Normal7"/>
              <w:spacing w:after="0" w:line="240" w:lineRule="auto"/>
              <w:jc w:val="center"/>
              <w:rPr>
                <w:rFonts w:eastAsia="Times New Roman" w:cs="Calibri"/>
                <w:noProof/>
              </w:rPr>
            </w:pPr>
            <w:r>
              <w:rPr>
                <w:noProof/>
              </w:rPr>
              <w:t>9.9</w:t>
            </w:r>
          </w:p>
        </w:tc>
        <w:tc>
          <w:tcPr>
            <w:tcW w:w="1276" w:type="dxa"/>
            <w:shd w:val="clear" w:color="auto" w:fill="C4EFCE"/>
            <w:noWrap/>
            <w:vAlign w:val="center"/>
            <w:hideMark/>
          </w:tcPr>
          <w:p w14:paraId="60154726" w14:textId="77777777" w:rsidR="00F24946" w:rsidRDefault="00613B06">
            <w:pPr>
              <w:pStyle w:val="P68B1DB1-Normal8"/>
              <w:spacing w:after="0" w:line="240" w:lineRule="auto"/>
              <w:jc w:val="center"/>
              <w:rPr>
                <w:rFonts w:eastAsia="Times New Roman" w:cs="Calibri"/>
                <w:noProof/>
              </w:rPr>
            </w:pPr>
            <w:r>
              <w:rPr>
                <w:noProof/>
              </w:rPr>
              <w:t>Re-C09-i02</w:t>
            </w:r>
          </w:p>
        </w:tc>
        <w:tc>
          <w:tcPr>
            <w:tcW w:w="1134" w:type="dxa"/>
            <w:shd w:val="clear" w:color="auto" w:fill="C4EFCE"/>
            <w:noWrap/>
            <w:vAlign w:val="center"/>
            <w:hideMark/>
          </w:tcPr>
          <w:p w14:paraId="2B576482"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2B791B0" w14:textId="77777777" w:rsidR="00F24946" w:rsidRDefault="00613B06">
            <w:pPr>
              <w:pStyle w:val="P68B1DB1-Normal8"/>
              <w:spacing w:after="0" w:line="240" w:lineRule="auto"/>
              <w:jc w:val="center"/>
              <w:rPr>
                <w:rFonts w:eastAsia="Times New Roman" w:cs="Calibri"/>
                <w:noProof/>
              </w:rPr>
            </w:pPr>
            <w:r>
              <w:rPr>
                <w:noProof/>
              </w:rPr>
              <w:t xml:space="preserve">Objava dokumentacije o načrtovanju ukrepa, ki v celoti vključuje vse rezultate in pogoje iz presoje vplivov na okolje </w:t>
            </w:r>
          </w:p>
        </w:tc>
        <w:tc>
          <w:tcPr>
            <w:tcW w:w="1275" w:type="dxa"/>
            <w:shd w:val="clear" w:color="auto" w:fill="C4EFCE"/>
            <w:noWrap/>
            <w:vAlign w:val="center"/>
            <w:hideMark/>
          </w:tcPr>
          <w:p w14:paraId="675CEB32" w14:textId="77777777" w:rsidR="00F24946" w:rsidRDefault="00613B06">
            <w:pPr>
              <w:pStyle w:val="P68B1DB1-Normal8"/>
              <w:spacing w:after="0" w:line="240" w:lineRule="auto"/>
              <w:jc w:val="center"/>
              <w:rPr>
                <w:rFonts w:eastAsia="Times New Roman" w:cs="Calibri"/>
                <w:noProof/>
              </w:rPr>
            </w:pPr>
            <w:r>
              <w:rPr>
                <w:noProof/>
              </w:rPr>
              <w:t>Objava dokumentacije o načrtovanju ukrepa, ki v celoti vključuje vse rezultate in pogoje iz presoje vplivov na okolje</w:t>
            </w:r>
          </w:p>
        </w:tc>
        <w:tc>
          <w:tcPr>
            <w:tcW w:w="993" w:type="dxa"/>
            <w:shd w:val="clear" w:color="auto" w:fill="C4EFCE"/>
            <w:noWrap/>
            <w:vAlign w:val="center"/>
            <w:hideMark/>
          </w:tcPr>
          <w:p w14:paraId="72B7CA55"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FDA11AC"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E4B173"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F786AEF"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59AB2AB7"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8FDFB3C" w14:textId="77777777" w:rsidR="00F24946" w:rsidRDefault="00613B06">
            <w:pPr>
              <w:pStyle w:val="P68B1DB1-Normal8"/>
              <w:spacing w:after="0" w:line="240" w:lineRule="auto"/>
              <w:jc w:val="both"/>
              <w:rPr>
                <w:rFonts w:eastAsia="Times New Roman" w:cs="Calibri"/>
                <w:noProof/>
              </w:rPr>
            </w:pPr>
            <w:r>
              <w:rPr>
                <w:noProof/>
              </w:rPr>
              <w:t xml:space="preserve">Pogoj za pozitivno presojo vplivov na okolje, ki je v celoti in vsebinsko skladna s pravnimi merili, objava dokumentacije za načrtovanje ukrepa, ki v celoti vključuje vse rezultate in pogoje iz presoje vplivov na okolje, če je to potrebno za doseganje skladnosti s tehničnimi smernicami za nebistveno škodovanje (2021/C58/01). Presoja vplivov na okolje se objavi in zaključi v skladu z Direktivo 2011/92/EU ter ustrezne presoje v okviru Direktive 2000/60/ES, vključno z izvajanjem zahtevanih blažilnih ukrepov. </w:t>
            </w:r>
          </w:p>
          <w:p w14:paraId="16928ACC" w14:textId="62802450" w:rsidR="00F24946" w:rsidRDefault="00613B06">
            <w:pPr>
              <w:pStyle w:val="P68B1DB1-Normal8"/>
              <w:spacing w:after="0" w:line="240" w:lineRule="auto"/>
              <w:jc w:val="both"/>
              <w:rPr>
                <w:rFonts w:eastAsia="Times New Roman" w:cs="Calibri"/>
                <w:noProof/>
              </w:rPr>
            </w:pPr>
            <w:r>
              <w:rPr>
                <w:noProof/>
              </w:rPr>
              <w:t>Vsi ukrepi, ki so bili v okviru presoje vplivov na okolje in presoje v skladu z Direktivo 2000/60/ES opredeljeni kot potrebni za zagotovitev skladnosti s tehničnimi smernicami za nebistveno škodovanje (2021/C58/01), se vključijo v projekt in upoštevajo v fazah gradnje, delovanja in razgradnje infrastrukture.</w:t>
            </w:r>
          </w:p>
        </w:tc>
      </w:tr>
      <w:tr w:rsidR="00F24946" w14:paraId="6E7029E4" w14:textId="77777777">
        <w:trPr>
          <w:trHeight w:val="850"/>
          <w:jc w:val="center"/>
        </w:trPr>
        <w:tc>
          <w:tcPr>
            <w:tcW w:w="1135" w:type="dxa"/>
            <w:shd w:val="clear" w:color="auto" w:fill="C4EFCE"/>
            <w:noWrap/>
            <w:vAlign w:val="center"/>
            <w:hideMark/>
          </w:tcPr>
          <w:p w14:paraId="7DFAB53A" w14:textId="77777777" w:rsidR="00F24946" w:rsidRDefault="00613B06">
            <w:pPr>
              <w:pStyle w:val="P68B1DB1-Normal7"/>
              <w:spacing w:after="0" w:line="240" w:lineRule="auto"/>
              <w:jc w:val="center"/>
              <w:rPr>
                <w:rFonts w:eastAsia="Times New Roman" w:cs="Calibri"/>
                <w:noProof/>
              </w:rPr>
            </w:pPr>
            <w:r>
              <w:rPr>
                <w:noProof/>
              </w:rPr>
              <w:t>9.12</w:t>
            </w:r>
          </w:p>
        </w:tc>
        <w:tc>
          <w:tcPr>
            <w:tcW w:w="1276" w:type="dxa"/>
            <w:shd w:val="clear" w:color="auto" w:fill="C4EFCE"/>
            <w:noWrap/>
            <w:vAlign w:val="center"/>
            <w:hideMark/>
          </w:tcPr>
          <w:p w14:paraId="16076ED4" w14:textId="77777777" w:rsidR="00F24946" w:rsidRDefault="00613B06">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6337F20"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0A0CCBB" w14:textId="77777777" w:rsidR="00F24946" w:rsidRDefault="00613B06">
            <w:pPr>
              <w:pStyle w:val="P68B1DB1-Normal8"/>
              <w:spacing w:after="0" w:line="240" w:lineRule="auto"/>
              <w:jc w:val="center"/>
              <w:rPr>
                <w:rFonts w:eastAsia="Times New Roman" w:cs="Calibri"/>
                <w:noProof/>
              </w:rPr>
            </w:pPr>
            <w:r>
              <w:rPr>
                <w:noProof/>
              </w:rPr>
              <w:t>Dodatni kilometer obnovljenih ali obnovljenih vodov</w:t>
            </w:r>
          </w:p>
        </w:tc>
        <w:tc>
          <w:tcPr>
            <w:tcW w:w="1275" w:type="dxa"/>
            <w:shd w:val="clear" w:color="auto" w:fill="C4EFCE"/>
            <w:noWrap/>
            <w:vAlign w:val="center"/>
            <w:hideMark/>
          </w:tcPr>
          <w:p w14:paraId="63DB2787"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69886126"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3003D95B"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B636C7" w14:textId="77777777" w:rsidR="00F24946" w:rsidRDefault="00613B06">
            <w:pPr>
              <w:pStyle w:val="P68B1DB1-Normal8"/>
              <w:spacing w:after="0" w:line="240" w:lineRule="auto"/>
              <w:jc w:val="center"/>
              <w:rPr>
                <w:rFonts w:eastAsia="Times New Roman" w:cs="Calibri"/>
                <w:noProof/>
              </w:rPr>
            </w:pPr>
            <w:r>
              <w:rPr>
                <w:noProof/>
              </w:rPr>
              <w:t>53</w:t>
            </w:r>
          </w:p>
        </w:tc>
        <w:tc>
          <w:tcPr>
            <w:tcW w:w="567" w:type="dxa"/>
            <w:shd w:val="clear" w:color="auto" w:fill="C4EFCE"/>
            <w:noWrap/>
            <w:vAlign w:val="center"/>
            <w:hideMark/>
          </w:tcPr>
          <w:p w14:paraId="4F60250B" w14:textId="3336C189"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3679EC0A" w14:textId="68FE60DD"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E611BB0" w14:textId="096EC16F" w:rsidR="00F24946" w:rsidRDefault="00613B06">
            <w:pPr>
              <w:pStyle w:val="P68B1DB1-Normal8"/>
              <w:spacing w:after="0" w:line="240" w:lineRule="auto"/>
              <w:jc w:val="both"/>
              <w:rPr>
                <w:rFonts w:eastAsia="Times New Roman" w:cs="Calibri"/>
                <w:noProof/>
              </w:rPr>
            </w:pPr>
            <w:r>
              <w:rPr>
                <w:noProof/>
              </w:rPr>
              <w:t>Dolžina zgrajenih, obnovljenih ali obnovljenih vodovodnih vodov v km</w:t>
            </w:r>
          </w:p>
        </w:tc>
      </w:tr>
      <w:tr w:rsidR="00F24946" w14:paraId="31E82792" w14:textId="77777777">
        <w:trPr>
          <w:trHeight w:val="2110"/>
          <w:jc w:val="center"/>
        </w:trPr>
        <w:tc>
          <w:tcPr>
            <w:tcW w:w="1135" w:type="dxa"/>
            <w:shd w:val="clear" w:color="auto" w:fill="C4EFCE"/>
            <w:noWrap/>
            <w:vAlign w:val="center"/>
            <w:hideMark/>
          </w:tcPr>
          <w:p w14:paraId="600412E0" w14:textId="77777777" w:rsidR="00F24946" w:rsidRDefault="00613B06">
            <w:pPr>
              <w:pStyle w:val="P68B1DB1-Normal7"/>
              <w:spacing w:after="0" w:line="240" w:lineRule="auto"/>
              <w:jc w:val="center"/>
              <w:rPr>
                <w:rFonts w:eastAsia="Times New Roman" w:cs="Calibri"/>
                <w:noProof/>
              </w:rPr>
            </w:pPr>
            <w:r>
              <w:rPr>
                <w:noProof/>
              </w:rPr>
              <w:t>9.13</w:t>
            </w:r>
          </w:p>
        </w:tc>
        <w:tc>
          <w:tcPr>
            <w:tcW w:w="1276" w:type="dxa"/>
            <w:shd w:val="clear" w:color="auto" w:fill="C4EFCE"/>
            <w:noWrap/>
            <w:vAlign w:val="center"/>
            <w:hideMark/>
          </w:tcPr>
          <w:p w14:paraId="17550FBE" w14:textId="77777777" w:rsidR="00F24946" w:rsidRDefault="00613B06">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549A2DF"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4FA1D5A" w14:textId="77777777" w:rsidR="00F24946" w:rsidRDefault="00613B06">
            <w:pPr>
              <w:pStyle w:val="P68B1DB1-Normal8"/>
              <w:spacing w:after="0" w:line="240" w:lineRule="auto"/>
              <w:jc w:val="center"/>
              <w:rPr>
                <w:rFonts w:eastAsia="Times New Roman" w:cs="Calibri"/>
                <w:noProof/>
              </w:rPr>
            </w:pPr>
            <w:r>
              <w:rPr>
                <w:noProof/>
              </w:rPr>
              <w:t>Dodatna količina vode, ki je na južnem delu otoka Madeira na voljo za javno oskrbo in namakanje</w:t>
            </w:r>
          </w:p>
        </w:tc>
        <w:tc>
          <w:tcPr>
            <w:tcW w:w="1275" w:type="dxa"/>
            <w:shd w:val="clear" w:color="auto" w:fill="C4EFCE"/>
            <w:noWrap/>
            <w:vAlign w:val="center"/>
            <w:hideMark/>
          </w:tcPr>
          <w:p w14:paraId="6A44E574" w14:textId="77777777" w:rsidR="00F24946" w:rsidRDefault="00F24946">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0237239" w14:textId="77777777" w:rsidR="00F24946" w:rsidRDefault="00613B06">
            <w:pPr>
              <w:pStyle w:val="P68B1DB1-Normal8"/>
              <w:spacing w:after="0" w:line="240" w:lineRule="auto"/>
              <w:jc w:val="center"/>
              <w:rPr>
                <w:rFonts w:eastAsia="Times New Roman" w:cs="Calibri"/>
                <w:noProof/>
              </w:rPr>
            </w:pPr>
            <w:r>
              <w:rPr>
                <w:noProof/>
              </w:rPr>
              <w:t>hm3</w:t>
            </w:r>
          </w:p>
        </w:tc>
        <w:tc>
          <w:tcPr>
            <w:tcW w:w="992" w:type="dxa"/>
            <w:shd w:val="clear" w:color="auto" w:fill="C4EFCE"/>
            <w:noWrap/>
            <w:vAlign w:val="center"/>
            <w:hideMark/>
          </w:tcPr>
          <w:p w14:paraId="1AE1E1CE" w14:textId="77777777" w:rsidR="00F24946" w:rsidRDefault="00613B06">
            <w:pPr>
              <w:pStyle w:val="P68B1DB1-Normal8"/>
              <w:spacing w:after="0" w:line="240" w:lineRule="auto"/>
              <w:jc w:val="center"/>
              <w:rPr>
                <w:rFonts w:eastAsia="Times New Roman" w:cs="Calibri"/>
                <w:noProof/>
              </w:rPr>
            </w:pPr>
            <w:r>
              <w:rPr>
                <w:noProof/>
              </w:rPr>
              <w:t>NI PODATKOV</w:t>
            </w:r>
          </w:p>
        </w:tc>
        <w:tc>
          <w:tcPr>
            <w:tcW w:w="709" w:type="dxa"/>
            <w:shd w:val="clear" w:color="auto" w:fill="C4EFCE"/>
            <w:noWrap/>
            <w:vAlign w:val="center"/>
            <w:hideMark/>
          </w:tcPr>
          <w:p w14:paraId="66A0614B" w14:textId="77777777" w:rsidR="00F24946" w:rsidRDefault="00613B06">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31C162B3"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62F42872"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BC078D4" w14:textId="77777777" w:rsidR="00F24946" w:rsidRDefault="00613B06">
            <w:pPr>
              <w:pStyle w:val="P68B1DB1-Normal8"/>
              <w:spacing w:after="0" w:line="240" w:lineRule="auto"/>
              <w:jc w:val="both"/>
              <w:rPr>
                <w:rFonts w:eastAsia="Times New Roman" w:cs="Calibri"/>
                <w:noProof/>
              </w:rPr>
            </w:pPr>
            <w:r>
              <w:rPr>
                <w:noProof/>
              </w:rPr>
              <w:t>Dodatna količina vode, ki je na voljo za javno oskrbo in namakanje; to se doseže s krepitvijo, obnovo, obnovo in gradnjo novih cevovodov, kanalov, bazenov in zbiralnikov.</w:t>
            </w:r>
          </w:p>
        </w:tc>
      </w:tr>
    </w:tbl>
    <w:p w14:paraId="5E4AB6BD"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186"/>
          <w:headerReference w:type="default" r:id="rId187"/>
          <w:footerReference w:type="even" r:id="rId188"/>
          <w:footerReference w:type="default" r:id="rId189"/>
          <w:headerReference w:type="first" r:id="rId190"/>
          <w:footerReference w:type="first" r:id="rId191"/>
          <w:pgSz w:w="16839" w:h="11907" w:orient="landscape"/>
          <w:pgMar w:top="1134" w:right="1134" w:bottom="1134" w:left="1134" w:header="567" w:footer="567" w:gutter="0"/>
          <w:cols w:space="720"/>
          <w:docGrid w:linePitch="360"/>
        </w:sectPr>
      </w:pPr>
    </w:p>
    <w:p w14:paraId="49EFEC21"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45C8B58D" w14:textId="293E2C82"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 xml:space="preserve">I.3. </w:t>
      </w:r>
      <w:r>
        <w:rPr>
          <w:noProof/>
        </w:rPr>
        <w:tab/>
        <w:t xml:space="preserve">Opis reform in naložb za posojilo </w:t>
      </w:r>
    </w:p>
    <w:p w14:paraId="39E334BC" w14:textId="43A46B43"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RE-C09-i04: Večnamensko hidravlično podjetje Crato, gradbena faza</w:t>
      </w:r>
    </w:p>
    <w:p w14:paraId="55CAA73A" w14:textId="74061741" w:rsidR="00F24946" w:rsidRDefault="00613B06">
      <w:pPr>
        <w:pStyle w:val="P68B1DB1-Normal4"/>
        <w:keepNext/>
        <w:spacing w:before="40" w:after="0" w:line="259" w:lineRule="auto"/>
        <w:jc w:val="both"/>
        <w:outlineLvl w:val="2"/>
        <w:rPr>
          <w:rFonts w:eastAsia="Times New Roman" w:cs="Times New Roman"/>
          <w:noProof/>
        </w:rPr>
      </w:pPr>
      <w:r>
        <w:rPr>
          <w:noProof/>
        </w:rPr>
        <w:t xml:space="preserve">Ta naložba se nanaša na projekt, opisan pod naložbo RE-C09-i02, večnamensko hidravlično podjetje Crata, faza načrtovanja. Ta naložba vključuje sprejetje posodobljene zasnove jezu (DCAPE) in začetek delovanja jezu. </w:t>
      </w:r>
    </w:p>
    <w:p w14:paraId="0F013EA5" w14:textId="5E42A201" w:rsidR="00F24946" w:rsidRDefault="00613B06">
      <w:pPr>
        <w:pStyle w:val="P68B1DB1-Normal4"/>
        <w:keepNext/>
        <w:spacing w:before="40" w:after="0" w:line="259" w:lineRule="auto"/>
        <w:jc w:val="both"/>
        <w:outlineLvl w:val="2"/>
        <w:rPr>
          <w:rFonts w:eastAsia="Times New Roman" w:cs="Times New Roman"/>
          <w:noProof/>
        </w:rPr>
      </w:pPr>
      <w:r>
        <w:rPr>
          <w:noProof/>
        </w:rPr>
        <w:t xml:space="preserve">Vsi drugi elementi, vključno z obveznostmi, da se ne škoduje bistveno, so enaki tistim iz naložbe RE-C09-i02 Hidravlično večnamensko podjetje Crata, faza načrtovanja. </w:t>
      </w:r>
    </w:p>
    <w:p w14:paraId="0D565263" w14:textId="54DC2D99"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735167DE" w14:textId="77777777" w:rsidR="00F24946" w:rsidRDefault="00F24946">
      <w:pPr>
        <w:keepNext/>
        <w:spacing w:before="40" w:after="0" w:line="259" w:lineRule="auto"/>
        <w:ind w:left="130" w:firstLine="720"/>
        <w:jc w:val="both"/>
        <w:outlineLvl w:val="2"/>
        <w:rPr>
          <w:rFonts w:ascii="Times New Roman" w:eastAsia="Times New Roman" w:hAnsi="Times New Roman" w:cs="Times New Roman"/>
          <w:noProof/>
          <w:sz w:val="24"/>
        </w:rPr>
        <w:sectPr w:rsidR="00F24946" w:rsidSect="009A4B20">
          <w:headerReference w:type="even" r:id="rId192"/>
          <w:headerReference w:type="default" r:id="rId193"/>
          <w:footerReference w:type="even" r:id="rId194"/>
          <w:footerReference w:type="default" r:id="rId195"/>
          <w:headerReference w:type="first" r:id="rId196"/>
          <w:footerReference w:type="first" r:id="rId197"/>
          <w:pgSz w:w="11907" w:h="16839"/>
          <w:pgMar w:top="1134" w:right="1134" w:bottom="1134" w:left="1134" w:header="567" w:footer="567" w:gutter="0"/>
          <w:cols w:space="720"/>
          <w:docGrid w:linePitch="360"/>
        </w:sectPr>
      </w:pPr>
    </w:p>
    <w:p w14:paraId="1FFCEE23" w14:textId="336170A4"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I.4. Mejniki, cilji, kazalniki in časovni razpored za spremljanje in izvajanje posojila</w:t>
      </w:r>
    </w:p>
    <w:p w14:paraId="4548674B"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5B622BB4" w14:textId="77777777">
        <w:trPr>
          <w:trHeight w:val="300"/>
          <w:tblHeader/>
        </w:trPr>
        <w:tc>
          <w:tcPr>
            <w:tcW w:w="1135" w:type="dxa"/>
            <w:vMerge w:val="restart"/>
            <w:shd w:val="clear" w:color="auto" w:fill="BDD6EE"/>
            <w:vAlign w:val="center"/>
            <w:hideMark/>
          </w:tcPr>
          <w:p w14:paraId="05AF7307" w14:textId="77777777" w:rsidR="00F24946" w:rsidRDefault="00613B06">
            <w:pPr>
              <w:pStyle w:val="P68B1DB1-Normal6"/>
              <w:spacing w:after="0" w:line="240" w:lineRule="auto"/>
              <w:jc w:val="center"/>
              <w:rPr>
                <w:rFonts w:eastAsia="Times New Roman" w:cs="Times New Roman"/>
                <w:noProof/>
              </w:rPr>
            </w:pPr>
            <w:bookmarkStart w:id="22" w:name="_Hlk145941568"/>
            <w:r>
              <w:rPr>
                <w:noProof/>
              </w:rPr>
              <w:t>Zaporedna številka</w:t>
            </w:r>
          </w:p>
        </w:tc>
        <w:tc>
          <w:tcPr>
            <w:tcW w:w="1276" w:type="dxa"/>
            <w:vMerge w:val="restart"/>
            <w:shd w:val="clear" w:color="auto" w:fill="BDD6EE"/>
            <w:noWrap/>
            <w:vAlign w:val="center"/>
            <w:hideMark/>
          </w:tcPr>
          <w:p w14:paraId="36DC91A9"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noWrap/>
            <w:vAlign w:val="center"/>
            <w:hideMark/>
          </w:tcPr>
          <w:p w14:paraId="46CCCA20" w14:textId="75056E55"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noWrap/>
            <w:vAlign w:val="center"/>
            <w:hideMark/>
          </w:tcPr>
          <w:p w14:paraId="3972FD46"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noWrap/>
            <w:vAlign w:val="center"/>
            <w:hideMark/>
          </w:tcPr>
          <w:p w14:paraId="0B6B437F"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noWrap/>
            <w:vAlign w:val="center"/>
            <w:hideMark/>
          </w:tcPr>
          <w:p w14:paraId="2D09032E"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noWrap/>
            <w:vAlign w:val="center"/>
            <w:hideMark/>
          </w:tcPr>
          <w:p w14:paraId="4DCBBD59" w14:textId="77777777" w:rsidR="00F24946" w:rsidRDefault="00613B06">
            <w:pPr>
              <w:pStyle w:val="P68B1DB1-Normal6"/>
              <w:spacing w:after="0" w:line="240" w:lineRule="auto"/>
              <w:jc w:val="center"/>
              <w:rPr>
                <w:rFonts w:eastAsia="Times New Roman" w:cs="Times New Roman"/>
                <w:noProof/>
              </w:rPr>
            </w:pPr>
            <w:r>
              <w:rPr>
                <w:noProof/>
              </w:rPr>
              <w:t>Časovnica za dokončanje</w:t>
            </w:r>
          </w:p>
        </w:tc>
        <w:tc>
          <w:tcPr>
            <w:tcW w:w="3969" w:type="dxa"/>
            <w:vMerge w:val="restart"/>
            <w:shd w:val="clear" w:color="auto" w:fill="BDD6EE"/>
            <w:vAlign w:val="center"/>
            <w:hideMark/>
          </w:tcPr>
          <w:p w14:paraId="1C2BDDAB"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bookmarkEnd w:id="22"/>
      <w:tr w:rsidR="00F24946" w14:paraId="2512663C" w14:textId="77777777">
        <w:trPr>
          <w:trHeight w:val="300"/>
          <w:tblHeader/>
        </w:trPr>
        <w:tc>
          <w:tcPr>
            <w:tcW w:w="1135" w:type="dxa"/>
            <w:vMerge/>
            <w:vAlign w:val="center"/>
            <w:hideMark/>
          </w:tcPr>
          <w:p w14:paraId="71D29AAD"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3784C786"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shd w:val="clear" w:color="auto" w:fill="BDD6EE"/>
            <w:noWrap/>
            <w:vAlign w:val="center"/>
            <w:hideMark/>
          </w:tcPr>
          <w:p w14:paraId="7BE73013" w14:textId="1244C4EB"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6F2C4548"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106AC914"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6BB0C9B9"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noWrap/>
            <w:vAlign w:val="center"/>
            <w:hideMark/>
          </w:tcPr>
          <w:p w14:paraId="7837A6A7"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noWrap/>
            <w:vAlign w:val="center"/>
            <w:hideMark/>
          </w:tcPr>
          <w:p w14:paraId="0A015CF7"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noWrap/>
            <w:vAlign w:val="center"/>
            <w:hideMark/>
          </w:tcPr>
          <w:p w14:paraId="715832CA"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5FA15F06"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4CC75BE5" w14:textId="77777777" w:rsidR="00F24946" w:rsidRDefault="00F24946">
            <w:pPr>
              <w:spacing w:after="0" w:line="240" w:lineRule="auto"/>
              <w:rPr>
                <w:rFonts w:ascii="Times New Roman" w:eastAsia="Times New Roman" w:hAnsi="Times New Roman" w:cs="Times New Roman"/>
                <w:b/>
                <w:noProof/>
                <w:sz w:val="18"/>
              </w:rPr>
            </w:pPr>
          </w:p>
        </w:tc>
      </w:tr>
      <w:tr w:rsidR="00F24946" w14:paraId="7A04D420" w14:textId="77777777">
        <w:trPr>
          <w:trHeight w:val="1260"/>
          <w:tblHeader/>
        </w:trPr>
        <w:tc>
          <w:tcPr>
            <w:tcW w:w="1135" w:type="dxa"/>
            <w:shd w:val="clear" w:color="auto" w:fill="C4EFCE"/>
            <w:noWrap/>
            <w:vAlign w:val="center"/>
          </w:tcPr>
          <w:p w14:paraId="5AE76F1F" w14:textId="0E0C05FE" w:rsidR="00F24946" w:rsidRDefault="00613B06">
            <w:pPr>
              <w:pStyle w:val="P68B1DB1-Normal7"/>
              <w:spacing w:after="0" w:line="240" w:lineRule="auto"/>
              <w:jc w:val="center"/>
              <w:rPr>
                <w:rFonts w:eastAsia="Times New Roman" w:cs="Calibri"/>
                <w:noProof/>
              </w:rPr>
            </w:pPr>
            <w:r>
              <w:rPr>
                <w:noProof/>
              </w:rPr>
              <w:t>9.10</w:t>
            </w:r>
          </w:p>
        </w:tc>
        <w:tc>
          <w:tcPr>
            <w:tcW w:w="1276" w:type="dxa"/>
            <w:shd w:val="clear" w:color="auto" w:fill="C4EFCE"/>
            <w:noWrap/>
            <w:vAlign w:val="center"/>
          </w:tcPr>
          <w:p w14:paraId="7B9ECDFA" w14:textId="4638F8FA" w:rsidR="00F24946" w:rsidRDefault="00613B06">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1650E83C" w14:textId="2A98B9CC"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38E9F561" w14:textId="401CA359" w:rsidR="00F24946" w:rsidRDefault="00613B06">
            <w:pPr>
              <w:pStyle w:val="P68B1DB1-Normal8"/>
              <w:spacing w:after="0" w:line="240" w:lineRule="auto"/>
              <w:jc w:val="center"/>
              <w:rPr>
                <w:rFonts w:eastAsia="Times New Roman" w:cs="Calibri"/>
                <w:noProof/>
              </w:rPr>
            </w:pPr>
            <w:r>
              <w:rPr>
                <w:noProof/>
              </w:rPr>
              <w:t>Odvisno od pozitivne presoje vplivov na okolje, ki je v celoti in vsebinsko skladna s pravnimi merili, sprejetja posodobljene zasnove jezu, proizvodnje električne energije iz vodne in sončne energije ter namakanja, ki v celoti vključuje vse rezultate in pogoje iz presoje vplivov na okolje.</w:t>
            </w:r>
          </w:p>
        </w:tc>
        <w:tc>
          <w:tcPr>
            <w:tcW w:w="1275" w:type="dxa"/>
            <w:shd w:val="clear" w:color="auto" w:fill="C4EFCE"/>
            <w:noWrap/>
            <w:vAlign w:val="center"/>
          </w:tcPr>
          <w:p w14:paraId="02774AD5" w14:textId="25B357D0" w:rsidR="00F24946" w:rsidRDefault="00613B06">
            <w:pPr>
              <w:pStyle w:val="P68B1DB1-Normal8"/>
              <w:spacing w:after="0" w:line="240" w:lineRule="auto"/>
              <w:jc w:val="center"/>
              <w:rPr>
                <w:rFonts w:eastAsia="Times New Roman" w:cs="Calibri"/>
                <w:noProof/>
              </w:rPr>
            </w:pPr>
            <w:r>
              <w:rPr>
                <w:noProof/>
              </w:rPr>
              <w:t>Sprejetje posodobljenega motiva</w:t>
            </w:r>
          </w:p>
        </w:tc>
        <w:tc>
          <w:tcPr>
            <w:tcW w:w="993" w:type="dxa"/>
            <w:shd w:val="clear" w:color="auto" w:fill="C4EFCE"/>
            <w:noWrap/>
            <w:vAlign w:val="center"/>
          </w:tcPr>
          <w:p w14:paraId="357E7085"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EAF7F6D"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DB852A9"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634803F8" w14:textId="6C3C8F2A"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tcPr>
          <w:p w14:paraId="5CCD347B" w14:textId="6A4D3ED5" w:rsidR="00F24946" w:rsidRDefault="00613B0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tcPr>
          <w:p w14:paraId="307065E5" w14:textId="77777777" w:rsidR="00F24946" w:rsidRDefault="00613B06">
            <w:pPr>
              <w:pStyle w:val="P68B1DB1-Normal8"/>
              <w:spacing w:after="0" w:line="240" w:lineRule="auto"/>
              <w:jc w:val="both"/>
              <w:rPr>
                <w:rFonts w:eastAsia="Times New Roman" w:cs="Calibri"/>
                <w:noProof/>
              </w:rPr>
            </w:pPr>
            <w:r>
              <w:rPr>
                <w:noProof/>
              </w:rPr>
              <w:t xml:space="preserve">Pod pogojem, da se presoja vplivov na okolje ugotovi, da ni prišlo do znatne škode, sprejetje posodobljene zasnove proizvodnje in namakanja jezu, vodne in sončne energije ter namakanja, ki v celoti vključuje vse rezultate in pogoje iz celovite in kumulativne presoje vplivov na okolje, če je to potrebno za doseganje skladnosti s tehničnimi smernicami za nebistveno škodovanje (2021/C58/01). Presoja vplivov na okolje je dokončana v skladu z Direktivo 2011/92/EU in ustreznimi presojami v okviru Direktive 2000/60/ES, vključno z izvajanjem zahtevanih blažilnih ukrepov. </w:t>
            </w:r>
          </w:p>
          <w:p w14:paraId="6301C6F9" w14:textId="77777777" w:rsidR="00F24946" w:rsidRDefault="00F24946">
            <w:pPr>
              <w:spacing w:after="0" w:line="240" w:lineRule="auto"/>
              <w:jc w:val="both"/>
              <w:rPr>
                <w:rFonts w:ascii="Calibri" w:eastAsia="Times New Roman" w:hAnsi="Calibri" w:cs="Calibri"/>
                <w:noProof/>
                <w:sz w:val="16"/>
              </w:rPr>
            </w:pPr>
          </w:p>
          <w:p w14:paraId="563B34EB" w14:textId="77777777" w:rsidR="00F24946" w:rsidRDefault="00613B06">
            <w:pPr>
              <w:pStyle w:val="P68B1DB1-Normal8"/>
              <w:spacing w:after="0" w:line="240" w:lineRule="auto"/>
              <w:jc w:val="both"/>
              <w:rPr>
                <w:rFonts w:eastAsia="Times New Roman" w:cs="Calibri"/>
                <w:noProof/>
              </w:rPr>
            </w:pPr>
            <w:r>
              <w:rPr>
                <w:noProof/>
              </w:rPr>
              <w:t>Vsi ukrepi, ki so bili v okviru presoje vplivov na okolje in presoje v skladu z Direktivo 2000/60/ES opredeljeni kot potrebni za zagotovitev skladnosti s tehničnimi smernicami za nebistveno škodovanje (2021/C58/01), se vključijo v projekt in upoštevajo v fazah gradnje, delovanja in razgradnje infrastrukture.</w:t>
            </w:r>
          </w:p>
          <w:p w14:paraId="47634865" w14:textId="7A8CAFDB" w:rsidR="00F24946" w:rsidRDefault="00F24946">
            <w:pPr>
              <w:spacing w:after="0" w:line="240" w:lineRule="auto"/>
              <w:jc w:val="both"/>
              <w:rPr>
                <w:rFonts w:ascii="Calibri" w:eastAsia="Times New Roman" w:hAnsi="Calibri" w:cs="Calibri"/>
                <w:noProof/>
                <w:sz w:val="16"/>
              </w:rPr>
            </w:pPr>
          </w:p>
        </w:tc>
      </w:tr>
    </w:tbl>
    <w:p w14:paraId="7E0C9D80" w14:textId="77777777" w:rsidR="00F24946" w:rsidRDefault="00F24946">
      <w:pPr>
        <w:spacing w:after="0" w:line="240" w:lineRule="auto"/>
        <w:jc w:val="center"/>
        <w:rPr>
          <w:rFonts w:ascii="Calibri" w:eastAsia="Times New Roman" w:hAnsi="Calibri" w:cs="Calibri"/>
          <w:b/>
          <w:noProof/>
          <w:sz w:val="16"/>
        </w:rPr>
        <w:sectPr w:rsidR="00F24946" w:rsidSect="00E00EDD">
          <w:headerReference w:type="even" r:id="rId198"/>
          <w:headerReference w:type="default" r:id="rId199"/>
          <w:footerReference w:type="even" r:id="rId200"/>
          <w:footerReference w:type="default" r:id="rId201"/>
          <w:headerReference w:type="first" r:id="rId202"/>
          <w:footerReference w:type="first" r:id="rId203"/>
          <w:pgSz w:w="16839" w:h="11907" w:orient="landscape"/>
          <w:pgMar w:top="1134" w:right="1134" w:bottom="1134" w:left="1134" w:header="567" w:footer="567" w:gutter="0"/>
          <w:cols w:space="720"/>
          <w:docGrid w:linePitch="360"/>
        </w:sect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645A7A24" w14:textId="77777777">
        <w:trPr>
          <w:trHeight w:val="525"/>
          <w:tblHeader/>
        </w:trPr>
        <w:tc>
          <w:tcPr>
            <w:tcW w:w="1135" w:type="dxa"/>
            <w:vMerge w:val="restart"/>
            <w:shd w:val="clear" w:color="auto" w:fill="BDD6EE"/>
            <w:noWrap/>
            <w:vAlign w:val="center"/>
          </w:tcPr>
          <w:p w14:paraId="49BCA749" w14:textId="574691EA"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noWrap/>
            <w:vAlign w:val="center"/>
          </w:tcPr>
          <w:p w14:paraId="656A6E3D" w14:textId="65A6BE6F"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noWrap/>
            <w:vAlign w:val="center"/>
          </w:tcPr>
          <w:p w14:paraId="3F140861" w14:textId="05956691"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noWrap/>
            <w:vAlign w:val="center"/>
          </w:tcPr>
          <w:p w14:paraId="7E92527E" w14:textId="5A6FC241"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noWrap/>
            <w:vAlign w:val="center"/>
          </w:tcPr>
          <w:p w14:paraId="4E73A322" w14:textId="10710CE6"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noWrap/>
            <w:vAlign w:val="center"/>
          </w:tcPr>
          <w:p w14:paraId="1CF25973" w14:textId="50C0721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noWrap/>
            <w:vAlign w:val="center"/>
          </w:tcPr>
          <w:p w14:paraId="7627C3DB" w14:textId="67658CFC" w:rsidR="00F24946" w:rsidRDefault="00613B06">
            <w:pPr>
              <w:pStyle w:val="P68B1DB1-Normal6"/>
              <w:spacing w:after="0" w:line="240" w:lineRule="auto"/>
              <w:jc w:val="center"/>
              <w:rPr>
                <w:rFonts w:eastAsia="Times New Roman" w:cs="Times New Roman"/>
                <w:noProof/>
              </w:rPr>
            </w:pPr>
            <w:r>
              <w:rPr>
                <w:noProof/>
              </w:rPr>
              <w:t>Časovnica za dokončanje</w:t>
            </w:r>
          </w:p>
        </w:tc>
        <w:tc>
          <w:tcPr>
            <w:tcW w:w="3969" w:type="dxa"/>
            <w:vMerge w:val="restart"/>
            <w:shd w:val="clear" w:color="auto" w:fill="BDD6EE"/>
            <w:vAlign w:val="center"/>
          </w:tcPr>
          <w:p w14:paraId="6E91A456" w14:textId="1EEE8516"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6AF10782" w14:textId="77777777">
        <w:trPr>
          <w:trHeight w:val="525"/>
          <w:tblHeader/>
        </w:trPr>
        <w:tc>
          <w:tcPr>
            <w:tcW w:w="1135" w:type="dxa"/>
            <w:vMerge/>
            <w:shd w:val="clear" w:color="auto" w:fill="BDD6EE"/>
            <w:noWrap/>
            <w:vAlign w:val="center"/>
          </w:tcPr>
          <w:p w14:paraId="5D493835" w14:textId="77777777" w:rsidR="00F24946" w:rsidRDefault="00F24946">
            <w:pPr>
              <w:spacing w:after="0" w:line="240" w:lineRule="auto"/>
              <w:jc w:val="center"/>
              <w:rPr>
                <w:rFonts w:ascii="Times New Roman" w:eastAsia="Times New Roman" w:hAnsi="Times New Roman" w:cs="Times New Roman"/>
                <w:b/>
                <w:noProof/>
                <w:sz w:val="18"/>
              </w:rPr>
            </w:pPr>
          </w:p>
        </w:tc>
        <w:tc>
          <w:tcPr>
            <w:tcW w:w="1276" w:type="dxa"/>
            <w:vMerge/>
            <w:shd w:val="clear" w:color="auto" w:fill="BDD6EE"/>
            <w:noWrap/>
            <w:vAlign w:val="center"/>
          </w:tcPr>
          <w:p w14:paraId="5CFE31A1" w14:textId="77777777" w:rsidR="00F24946" w:rsidRDefault="00F24946">
            <w:pPr>
              <w:spacing w:after="0" w:line="240" w:lineRule="auto"/>
              <w:jc w:val="center"/>
              <w:rPr>
                <w:rFonts w:ascii="Times New Roman" w:eastAsia="Times New Roman" w:hAnsi="Times New Roman" w:cs="Times New Roman"/>
                <w:b/>
                <w:noProof/>
                <w:sz w:val="18"/>
              </w:rPr>
            </w:pPr>
          </w:p>
        </w:tc>
        <w:tc>
          <w:tcPr>
            <w:tcW w:w="1134" w:type="dxa"/>
            <w:vMerge/>
            <w:shd w:val="clear" w:color="auto" w:fill="BDD6EE"/>
            <w:noWrap/>
            <w:vAlign w:val="center"/>
          </w:tcPr>
          <w:p w14:paraId="1EC2C84E" w14:textId="77777777" w:rsidR="00F24946" w:rsidRDefault="00F24946">
            <w:pPr>
              <w:spacing w:after="0" w:line="240" w:lineRule="auto"/>
              <w:jc w:val="center"/>
              <w:rPr>
                <w:rFonts w:ascii="Times New Roman" w:eastAsia="Times New Roman" w:hAnsi="Times New Roman" w:cs="Times New Roman"/>
                <w:b/>
                <w:noProof/>
                <w:sz w:val="18"/>
              </w:rPr>
            </w:pPr>
          </w:p>
        </w:tc>
        <w:tc>
          <w:tcPr>
            <w:tcW w:w="1701" w:type="dxa"/>
            <w:vMerge/>
            <w:shd w:val="clear" w:color="auto" w:fill="BDD6EE"/>
            <w:noWrap/>
            <w:vAlign w:val="center"/>
          </w:tcPr>
          <w:p w14:paraId="318B1182" w14:textId="77777777" w:rsidR="00F24946" w:rsidRDefault="00F24946">
            <w:pPr>
              <w:spacing w:after="0" w:line="240" w:lineRule="auto"/>
              <w:jc w:val="center"/>
              <w:rPr>
                <w:rFonts w:ascii="Times New Roman" w:eastAsia="Times New Roman" w:hAnsi="Times New Roman" w:cs="Times New Roman"/>
                <w:b/>
                <w:noProof/>
                <w:sz w:val="18"/>
              </w:rPr>
            </w:pPr>
          </w:p>
        </w:tc>
        <w:tc>
          <w:tcPr>
            <w:tcW w:w="1275" w:type="dxa"/>
            <w:vMerge/>
            <w:shd w:val="clear" w:color="auto" w:fill="BDD6EE"/>
            <w:noWrap/>
            <w:vAlign w:val="center"/>
          </w:tcPr>
          <w:p w14:paraId="3F2B7268" w14:textId="77777777" w:rsidR="00F24946" w:rsidRDefault="00F24946">
            <w:pPr>
              <w:spacing w:after="0" w:line="240" w:lineRule="auto"/>
              <w:jc w:val="center"/>
              <w:rPr>
                <w:rFonts w:ascii="Times New Roman" w:eastAsia="Times New Roman" w:hAnsi="Times New Roman" w:cs="Times New Roman"/>
                <w:b/>
                <w:noProof/>
                <w:sz w:val="18"/>
              </w:rPr>
            </w:pPr>
          </w:p>
        </w:tc>
        <w:tc>
          <w:tcPr>
            <w:tcW w:w="993" w:type="dxa"/>
            <w:shd w:val="clear" w:color="auto" w:fill="BDD6EE"/>
            <w:noWrap/>
            <w:vAlign w:val="center"/>
          </w:tcPr>
          <w:p w14:paraId="442EF0A7" w14:textId="46709A64"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tcPr>
          <w:p w14:paraId="57D31F6B" w14:textId="69A20BB0"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vAlign w:val="center"/>
          </w:tcPr>
          <w:p w14:paraId="00D0D2E2" w14:textId="333D1553"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C6D9F1" w:themeFill="text2" w:themeFillTint="33"/>
            <w:noWrap/>
            <w:vAlign w:val="center"/>
          </w:tcPr>
          <w:p w14:paraId="0C609051" w14:textId="5DFF1650" w:rsidR="00F24946" w:rsidRDefault="00613B06">
            <w:pPr>
              <w:pStyle w:val="P68B1DB1-Normal8"/>
              <w:spacing w:after="0" w:line="240" w:lineRule="auto"/>
              <w:jc w:val="center"/>
              <w:rPr>
                <w:rFonts w:eastAsia="Times New Roman" w:cs="Calibri"/>
                <w:noProof/>
              </w:rPr>
            </w:pPr>
            <w:r>
              <w:rPr>
                <w:noProof/>
              </w:rPr>
              <w:t>Q</w:t>
            </w:r>
          </w:p>
        </w:tc>
        <w:tc>
          <w:tcPr>
            <w:tcW w:w="708" w:type="dxa"/>
            <w:shd w:val="clear" w:color="auto" w:fill="BDD6EE"/>
            <w:vAlign w:val="center"/>
          </w:tcPr>
          <w:p w14:paraId="5E59938E" w14:textId="4687ACDB" w:rsidR="00F24946" w:rsidRDefault="00613B06">
            <w:pPr>
              <w:pStyle w:val="P68B1DB1-Normal6"/>
              <w:spacing w:after="0" w:line="240" w:lineRule="auto"/>
              <w:jc w:val="center"/>
              <w:rPr>
                <w:rFonts w:ascii="Calibri" w:eastAsia="Times New Roman" w:hAnsi="Calibri" w:cs="Calibri"/>
                <w:noProof/>
                <w:sz w:val="16"/>
              </w:rPr>
            </w:pPr>
            <w:r>
              <w:rPr>
                <w:noProof/>
              </w:rPr>
              <w:t>Leto</w:t>
            </w:r>
          </w:p>
        </w:tc>
        <w:tc>
          <w:tcPr>
            <w:tcW w:w="3969" w:type="dxa"/>
            <w:vMerge/>
            <w:shd w:val="clear" w:color="auto" w:fill="B8CCE4" w:themeFill="accent1" w:themeFillTint="66"/>
            <w:vAlign w:val="center"/>
          </w:tcPr>
          <w:p w14:paraId="2D7E8CEC" w14:textId="77777777" w:rsidR="00F24946" w:rsidRDefault="00F24946">
            <w:pPr>
              <w:spacing w:after="0" w:line="240" w:lineRule="auto"/>
              <w:jc w:val="both"/>
              <w:rPr>
                <w:rFonts w:ascii="Calibri" w:eastAsia="Times New Roman" w:hAnsi="Calibri" w:cs="Calibri"/>
                <w:noProof/>
                <w:sz w:val="16"/>
              </w:rPr>
            </w:pPr>
          </w:p>
        </w:tc>
      </w:tr>
      <w:tr w:rsidR="00F24946" w14:paraId="377F90B7" w14:textId="77777777">
        <w:trPr>
          <w:trHeight w:val="1050"/>
          <w:tblHeader/>
        </w:trPr>
        <w:tc>
          <w:tcPr>
            <w:tcW w:w="1135" w:type="dxa"/>
            <w:shd w:val="clear" w:color="auto" w:fill="C4EFCE"/>
            <w:noWrap/>
            <w:vAlign w:val="center"/>
          </w:tcPr>
          <w:p w14:paraId="1879CF06" w14:textId="2ED24A15" w:rsidR="00F24946" w:rsidRDefault="00613B06">
            <w:pPr>
              <w:pStyle w:val="P68B1DB1-Normal7"/>
              <w:spacing w:after="0" w:line="240" w:lineRule="auto"/>
              <w:jc w:val="center"/>
              <w:rPr>
                <w:rFonts w:eastAsia="Times New Roman" w:cs="Calibri"/>
                <w:noProof/>
              </w:rPr>
            </w:pPr>
            <w:r>
              <w:rPr>
                <w:noProof/>
              </w:rPr>
              <w:t>9.11</w:t>
            </w:r>
          </w:p>
        </w:tc>
        <w:tc>
          <w:tcPr>
            <w:tcW w:w="1276" w:type="dxa"/>
            <w:shd w:val="clear" w:color="auto" w:fill="C4EFCE"/>
            <w:noWrap/>
            <w:vAlign w:val="center"/>
          </w:tcPr>
          <w:p w14:paraId="1407D8DF" w14:textId="7A6EA6EF" w:rsidR="00F24946" w:rsidRDefault="00613B06">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0C17A5A0" w14:textId="063C5029"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0239B0F6" w14:textId="52DBFA21" w:rsidR="00F24946" w:rsidRDefault="00613B06">
            <w:pPr>
              <w:pStyle w:val="P68B1DB1-Normal8"/>
              <w:spacing w:after="0" w:line="240" w:lineRule="auto"/>
              <w:jc w:val="center"/>
              <w:rPr>
                <w:rFonts w:eastAsia="Times New Roman" w:cs="Calibri"/>
                <w:noProof/>
              </w:rPr>
            </w:pPr>
            <w:r>
              <w:rPr>
                <w:noProof/>
              </w:rPr>
              <w:t>Začetek obratovanja jezu, proizvodnje električne energije iz vodne in sončne energije ter namakanja, pri čemer se v celoti upoštevajo rezultati in pogoji, določeni v presoji vplivov na okolje, ter doseganje dobrega stanja zadevnih vodnih teles</w:t>
            </w:r>
          </w:p>
        </w:tc>
        <w:tc>
          <w:tcPr>
            <w:tcW w:w="1275" w:type="dxa"/>
            <w:shd w:val="clear" w:color="auto" w:fill="C4EFCE"/>
            <w:noWrap/>
            <w:vAlign w:val="center"/>
          </w:tcPr>
          <w:p w14:paraId="7A468BEE" w14:textId="5C179788" w:rsidR="00F24946" w:rsidRDefault="00613B06">
            <w:pPr>
              <w:pStyle w:val="P68B1DB1-Normal8"/>
              <w:spacing w:after="0" w:line="240" w:lineRule="auto"/>
              <w:jc w:val="center"/>
              <w:rPr>
                <w:rFonts w:eastAsia="Times New Roman" w:cs="Calibri"/>
                <w:noProof/>
              </w:rPr>
            </w:pPr>
            <w:r>
              <w:rPr>
                <w:noProof/>
              </w:rPr>
              <w:t>Začetek delovanja jezu</w:t>
            </w:r>
          </w:p>
        </w:tc>
        <w:tc>
          <w:tcPr>
            <w:tcW w:w="993" w:type="dxa"/>
            <w:shd w:val="clear" w:color="auto" w:fill="C4EFCE"/>
            <w:noWrap/>
            <w:vAlign w:val="center"/>
          </w:tcPr>
          <w:p w14:paraId="7F731D00"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7E2C7D5C"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0BD23613"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1A712FED" w14:textId="101D2A8E"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tcPr>
          <w:p w14:paraId="03485358" w14:textId="49F63D83"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tcPr>
          <w:p w14:paraId="06A29FB6" w14:textId="77777777" w:rsidR="00F24946" w:rsidRDefault="00613B06">
            <w:pPr>
              <w:pStyle w:val="P68B1DB1-Normal8"/>
              <w:spacing w:after="0" w:line="240" w:lineRule="auto"/>
              <w:jc w:val="both"/>
              <w:rPr>
                <w:rFonts w:eastAsia="Times New Roman" w:cs="Calibri"/>
                <w:noProof/>
              </w:rPr>
            </w:pPr>
            <w:r>
              <w:rPr>
                <w:noProof/>
              </w:rPr>
              <w:t>Začetek obratovanja enot za proizvodnjo jezov, hidroelektrarn in sončne energije ter namakalnega sistema, pri čemer se v celoti upoštevajo rezultati in pogoji, določeni v celoviti in kumulativni presoji vplivov na okolje, ki se zaključijo v skladu z Direktivo 2011/92/EU, ter ustrezne ocene v okviru Direktive 2000/60/ES, vključno z izvajanjem zahtevanih blažilnih ukrepov. Zagotovi se skladnost s tehničnimi smernicami za načelo, da se ne škoduje bistveno (2021/C58/01).</w:t>
            </w:r>
          </w:p>
          <w:p w14:paraId="27D5C9C8" w14:textId="77777777" w:rsidR="00F24946" w:rsidRDefault="00F24946">
            <w:pPr>
              <w:spacing w:after="0" w:line="240" w:lineRule="auto"/>
              <w:jc w:val="both"/>
              <w:rPr>
                <w:rFonts w:ascii="Calibri" w:eastAsia="Times New Roman" w:hAnsi="Calibri" w:cs="Calibri"/>
                <w:noProof/>
                <w:sz w:val="16"/>
              </w:rPr>
            </w:pPr>
          </w:p>
          <w:p w14:paraId="4FAACE21" w14:textId="77777777" w:rsidR="00F24946" w:rsidRDefault="00613B06">
            <w:pPr>
              <w:pStyle w:val="P68B1DB1-Normal8"/>
              <w:spacing w:after="0" w:line="240" w:lineRule="auto"/>
              <w:jc w:val="both"/>
              <w:rPr>
                <w:rFonts w:eastAsia="Times New Roman" w:cs="Calibri"/>
                <w:noProof/>
              </w:rPr>
            </w:pPr>
            <w:r>
              <w:rPr>
                <w:noProof/>
              </w:rPr>
              <w:t>Ukrep zagotavlja zadovoljevanje potreb prebivalstva v mestih Alter do Chão, Avis, Crato, Fronteira, Gavião, Nisa, Ponte de Sor in Sousel.</w:t>
            </w:r>
          </w:p>
          <w:p w14:paraId="66B2A4F9" w14:textId="77777777" w:rsidR="00F24946" w:rsidRDefault="00F24946">
            <w:pPr>
              <w:spacing w:after="0" w:line="240" w:lineRule="auto"/>
              <w:jc w:val="both"/>
              <w:rPr>
                <w:rFonts w:ascii="Calibri" w:eastAsia="Times New Roman" w:hAnsi="Calibri" w:cs="Calibri"/>
                <w:noProof/>
                <w:sz w:val="16"/>
              </w:rPr>
            </w:pPr>
          </w:p>
          <w:p w14:paraId="6E6FCE41" w14:textId="77777777" w:rsidR="00F24946" w:rsidRDefault="00613B06">
            <w:pPr>
              <w:pStyle w:val="P68B1DB1-Normal8"/>
              <w:spacing w:after="0" w:line="240" w:lineRule="auto"/>
              <w:jc w:val="both"/>
              <w:rPr>
                <w:rFonts w:eastAsia="Times New Roman" w:cs="Calibri"/>
                <w:noProof/>
              </w:rPr>
            </w:pPr>
            <w:r>
              <w:rPr>
                <w:noProof/>
              </w:rPr>
              <w:t>Povečanje zmogljivosti za proizvodnjo čiste energije glede na zmogljivost sončne enote, ki bo nameščena, plus 1,0 MW/leto od mini hidroelektrarne; postavitev infrastrukture namakalnih blokov, ki omogoča zagotovitev nove namakalne površine 5 078 ha, primerne za ekološke in raznolike pridelke.</w:t>
            </w:r>
          </w:p>
          <w:p w14:paraId="52487FBC" w14:textId="77777777" w:rsidR="00F24946" w:rsidRDefault="00F24946">
            <w:pPr>
              <w:spacing w:after="0" w:line="240" w:lineRule="auto"/>
              <w:jc w:val="both"/>
              <w:rPr>
                <w:rFonts w:ascii="Calibri" w:eastAsia="Times New Roman" w:hAnsi="Calibri" w:cs="Calibri"/>
                <w:noProof/>
                <w:sz w:val="16"/>
              </w:rPr>
            </w:pPr>
          </w:p>
          <w:p w14:paraId="42592D55" w14:textId="77777777" w:rsidR="00F24946" w:rsidRDefault="00613B06">
            <w:pPr>
              <w:pStyle w:val="P68B1DB1-Normal8"/>
              <w:spacing w:after="0" w:line="240" w:lineRule="auto"/>
              <w:jc w:val="both"/>
              <w:rPr>
                <w:rFonts w:eastAsia="Times New Roman" w:cs="Calibri"/>
                <w:noProof/>
              </w:rPr>
            </w:pPr>
            <w:r>
              <w:rPr>
                <w:noProof/>
              </w:rPr>
              <w:t>Doseženo in potrjeno je bilo dobro ekološko stanje/potencial ustreznih vodnih teles v skladu z zahtevami okvirne direktive o vodah 2000/60/ES.</w:t>
            </w:r>
          </w:p>
          <w:p w14:paraId="08B20BF2" w14:textId="24EAFAF5" w:rsidR="00F24946" w:rsidRDefault="00F24946">
            <w:pPr>
              <w:spacing w:after="0" w:line="240" w:lineRule="auto"/>
              <w:jc w:val="both"/>
              <w:rPr>
                <w:rFonts w:ascii="Calibri" w:eastAsia="Times New Roman" w:hAnsi="Calibri" w:cs="Calibri"/>
                <w:noProof/>
                <w:sz w:val="16"/>
              </w:rPr>
            </w:pPr>
          </w:p>
        </w:tc>
      </w:tr>
    </w:tbl>
    <w:p w14:paraId="67B8C802" w14:textId="150ED53E"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F24946" w:rsidSect="00E00EDD">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36DDF044"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J. KOMPONENTA 10: Morje</w:t>
      </w:r>
    </w:p>
    <w:p w14:paraId="7B573033" w14:textId="34C41316" w:rsidR="00F24946" w:rsidRDefault="00613B06">
      <w:pPr>
        <w:pStyle w:val="P68B1DB1-Normal4"/>
        <w:keepNext/>
        <w:spacing w:before="40" w:after="0" w:line="259" w:lineRule="auto"/>
        <w:jc w:val="both"/>
        <w:rPr>
          <w:rFonts w:eastAsiaTheme="minorEastAsia" w:cs="Times New Roman"/>
          <w:noProof/>
        </w:rPr>
      </w:pPr>
      <w:r>
        <w:rPr>
          <w:noProof/>
        </w:rPr>
        <w:t>Ta komponenta obravnava izziv, kako utreti pot bolj konkurenčnemu, povezanemu, vključujočemu ter bolj razogljičenemu in trajnostnemu morskemu gospodarstvu, tj. območju, na katerem ima Portugalska velik potencial. Komponenta pomaga izkoristiti priložnosti, ki jih prinašata podnebni in digitalni prehod v morskem gospodarstvu. Cilj te komponente je podpirati doseganje nacionalnih ciljev, povezanih s proizvodnim potencialom pomorskega gospodarstva. Cilj komponente je zlasti zagotoviti trajnost in konkurenčnost poslovnega sistema, povezanega z morjem. Poleg tega je cilj komponente vsaj delno odpraviti revščino v obalnih skupnostih, hkrati pa zagotoviti konkurenčno in povezano ozemlje v okviru prilagajanja podnebnemu in digitalnemu prehodu, vključno s poudarkom na znanjih in spretnostih, pomembnih za pomorski sektor. Komponenta prispeva tudi k ohranjanju vrednosti storitev oceanskega ekosistema.</w:t>
      </w:r>
    </w:p>
    <w:p w14:paraId="5AE10A0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Komponenta podpira obravnavanje priporočil za posamezne države o osredotočanju gospodarske politike v zvezi z naložbami v pristanišča in inovacije (priporočilo za posamezno državo št. 3 iz leta 2019) ter osredotočanju naložb na zeleni prehod (priporočilo za posamezno državo št. 3 iz leta 2020). Poleg tega komponenta prispeva k obravnavi priporočila za posamezne države o izboljšanju ravni znanj in spretnosti prebivalstva (priporočilo za posamezno državo št. 2 2020). </w:t>
      </w:r>
    </w:p>
    <w:p w14:paraId="064A0E1A"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620BBC55"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744EE41"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J.1. Opis reform in naložb za nepovratno finančno podporo</w:t>
      </w:r>
    </w:p>
    <w:p w14:paraId="2A752A9A"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 xml:space="preserve">Reforma TC-r23: Reforma ekosistema infrastrukture modrega gospodarstva. </w:t>
      </w:r>
    </w:p>
    <w:p w14:paraId="6BF01A8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reforme je pregledati zakonodajo o mreži grozdov pristaniških tehnologij (ki jo je Svet ministrov odobril leta 2017), s katero si Portugalska prizadeva okrepiti gospodarske dejavnosti, povezane z morjem, in sicer z ustvarjanjem poslovnih priložnosti, novih delovnih mest, podpiranjem izvoza, podpiranjem rasti pomorskega prometa in spodbujanjem trajnostnega izkoriščanja morskega potenciala. Reforma razširja mrežo grozdov pristaniških tehnologij na dodatna območja z dostopom do morja in določa nove cilje, kot so krepitev finančne zmogljivosti pomorskega gospodarstva prek revidiranega modrega sklada, podpora uporabi oceanov za izboljšanje odpornosti za blažitev podnebnih sprememb, spodbujanje razvoja znanj in spretnosti v zvezi z morskim gospodarstvom in dvojnim prehodom ter krepitev javne podpore inovacijam za trajnostni razvoj pomorskega gospodarstva. </w:t>
      </w:r>
    </w:p>
    <w:p w14:paraId="7535A86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vzpostavlja model upravljanja novega modrega vozlišča, ki bi moralo biti gonilo prenosa tehnologije med različnimi akterji v vrednostni verigi novega, odpornejšega in trajnostnega pomorskega gospodarstva, katerega učinek naj bi bil trajen in pomemben za spremembo paradigme v smeri pametnega, trajnostnega in vključujočega gospodarskega razvoja zadevnih sektorjev. </w:t>
      </w:r>
    </w:p>
    <w:p w14:paraId="268AFDE5"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decembra 2021.</w:t>
      </w:r>
    </w:p>
    <w:p w14:paraId="3D3AF8C2" w14:textId="77777777" w:rsidR="00F24946" w:rsidRDefault="00613B06">
      <w:pPr>
        <w:pStyle w:val="P68B1DB1-Normal5"/>
        <w:keepNext/>
        <w:keepLines/>
        <w:spacing w:before="240" w:after="0" w:line="259" w:lineRule="auto"/>
        <w:ind w:left="851"/>
        <w:jc w:val="both"/>
        <w:outlineLvl w:val="3"/>
        <w:rPr>
          <w:rFonts w:eastAsiaTheme="minorEastAsia" w:cs="Times New Roman"/>
          <w:noProof/>
        </w:rPr>
      </w:pPr>
      <w:bookmarkStart w:id="23" w:name="_Hlk67034111"/>
      <w:r>
        <w:rPr>
          <w:noProof/>
        </w:rPr>
        <w:t>Naložba TC-C10-i01: Modro vozlišče, Mreža infrastrukture za modro gospodarstvo</w:t>
      </w:r>
      <w:bookmarkEnd w:id="23"/>
    </w:p>
    <w:p w14:paraId="1A65F7A8"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vzpostaviti nacionalno mrežo infrastruktur za modro gospodarstvo po vsej državi in okrepiti inovacijski ekosistem modrega gospodarstva. </w:t>
      </w:r>
    </w:p>
    <w:p w14:paraId="54DA9EF4"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gradnjo ali obnovo nove ali obstoječe infrastrukture ter naložbe v opremo, povezano z morskim gospodarstvom. Naložba vključuje oblikovanje novih modrih grozdov po vsej državi in nadgradnjo ali sanacijo obstoječih modrih grozdov ter naložbe v usposabljanje in znanja z novim konceptom modre šole. Naložba zajema gradnjo novih stavb ali sanacijo ter posodobitev stavb in opreme v zvezi z morskim gospodarstvom. Naložba omogoča prenos rezultatov raziskav v proizvodne specializacije v gospodarstvo po različnih grozdih na Portugalskem (vključno z Lizbono, Oeirasom, Penichejem, Aveirojem, Portom, Algarvejem). Vključuje tudi naložbe v eno modro vozlišče, ki združuje znanje, pridobljeno v različnih grozdih, in podpira povezovanje v mreže. To modro vozlišče odraža najsodobnejšo metodologijo gospodarskega razvoja v skladu s portugalsko strategijo pametne specializacije, ki je močno osredotočena na oceansko gospodarstvo. Vključuje tudi projekt šole modrega vozlišča, ki vključuje predvsem naložbe v infrastrukturo in opremo, ki vključuje pomembno razsežnost razvoja znanj in spretnosti, zlasti z oblikovanjem učnih programov v sodelovanju z nacionalno agencijo za kvalifikacije ter poklicno izobraževanje in usposabljanje (ANQEP) ter s poudarkom na digitalnih platformah in usposabljanju. </w:t>
      </w:r>
    </w:p>
    <w:p w14:paraId="6210D5F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3AECA6EA"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TC-C10-i02: Zeleni in digitalni prehod ter varnost v ribištvu</w:t>
      </w:r>
    </w:p>
    <w:p w14:paraId="23CC3E78" w14:textId="77777777" w:rsidR="00F24946" w:rsidRDefault="00613B06">
      <w:pPr>
        <w:pStyle w:val="P68B1DB1-Normal4"/>
        <w:keepNext/>
        <w:spacing w:before="40" w:after="0" w:line="259" w:lineRule="auto"/>
        <w:jc w:val="both"/>
        <w:rPr>
          <w:rFonts w:eastAsia="Times New Roman" w:cs="Times New Roman"/>
          <w:noProof/>
        </w:rPr>
      </w:pPr>
      <w:r>
        <w:rPr>
          <w:noProof/>
        </w:rPr>
        <w:t>Cilji te naložbe so</w:t>
      </w:r>
      <w:r>
        <w:rPr>
          <w:b/>
          <w:noProof/>
        </w:rPr>
        <w:t xml:space="preserve"> </w:t>
      </w:r>
      <w:r>
        <w:rPr>
          <w:noProof/>
        </w:rPr>
        <w:t xml:space="preserve">podpora financiranju projektov, namenjenih inovacijam, posodobitvi procesov, zmanjšanju ogljičnega odtisa ter krožnemu gospodarstvu ribiške industrije in organizacij. Naložba se izvaja s tesnimi povezavami med podjetji, združenji, ki zastopajo sektor, organizacijami proizvajalcev, znanstvenimi organi in centralnimi vladnimi organi, da se čim bolj povečajo socialne koristi naložb. Naložba je sestavljena iz javnega razpisa za 70 projektov, povezanih z inovacijami, modernizacijo procesov, krožnim gospodarstvom in zmanjšanjem ekološkega odtisa podjetij v ribiški industriji. </w:t>
      </w:r>
    </w:p>
    <w:p w14:paraId="6D8544C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31. decembra 2025. </w:t>
      </w:r>
    </w:p>
    <w:p w14:paraId="1CC63106"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 xml:space="preserve">Naložba TC-C10-i04-RAA: Razvoj „Cluster do Mar dos Açores“. </w:t>
      </w:r>
    </w:p>
    <w:p w14:paraId="7A537770" w14:textId="44C7D35E"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nadgraditi fiksno in mobilno infrastrukturo za raziskave pomorske znanosti v avtonomni regiji Azori. Eden od ukrepov je zamenjava plovila „Archipelago“, ki se mu izteče operativna življenjska doba, s sodobnim plovilom z visokimi tehnološkimi standardi v smislu zmogljivosti in opreme ter visoko energetsko učinkovitostjo za zadovoljitev trenutnih potreb na področju pomorskih raziskav in spremljanja ali spodbujanja trajnostne rabe oceanov. Drugi ukrep zajema nakup dveh modulov, ki se vgradita v povezano raziskovalno plovilo, in sicer modula opreme za vleko in modula daljinsko vodenega vozila (ROV). Zadnji ukrep zajema ustanovitev eksperimentalnega centra za raziskave in razvoj, povezanega z morjem, ki si ga delijo institucije Azorskega znanstvenega in tehnološkega sistema (SCTA) in podjetja, ki bodo vodila k raziskavam in razvoju na tradicionalnih in nastajajočih območjih, kot so ribištvo in proizvodi iz njih, morska biotehnologija, biomateriali ali pomorske tehnologije in orodja, vključno z „modrim inkubatorjem“, akvakulturnim centrom na Azorih. </w:t>
      </w:r>
    </w:p>
    <w:p w14:paraId="6F19EFBB" w14:textId="45036ACD"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17D3B2E6" w14:textId="02ECFF14" w:rsidR="00F24946" w:rsidRDefault="00613B06">
      <w:pPr>
        <w:pStyle w:val="P68B1DB1-Normal5"/>
        <w:keepNext/>
        <w:spacing w:before="240" w:after="0" w:line="259" w:lineRule="auto"/>
        <w:ind w:left="851"/>
        <w:jc w:val="both"/>
        <w:outlineLvl w:val="3"/>
        <w:rPr>
          <w:b/>
          <w:noProof/>
        </w:rPr>
      </w:pPr>
      <w:bookmarkStart w:id="24" w:name="_Toc137472457"/>
      <w:r>
        <w:rPr>
          <w:noProof/>
        </w:rPr>
        <w:t>Naložba TC-C10-i05</w:t>
      </w:r>
      <w:bookmarkStart w:id="25" w:name="_Toc137472458"/>
      <w:bookmarkEnd w:id="24"/>
      <w:r>
        <w:rPr>
          <w:noProof/>
        </w:rPr>
        <w:t>-RAA: Energetski prehod, digitalizacija in zmanjšanje vpliva na okolje v sektorju ribištva in akvakulture</w:t>
      </w:r>
      <w:bookmarkEnd w:id="25"/>
    </w:p>
    <w:p w14:paraId="2F82CF26" w14:textId="77777777" w:rsidR="00F24946" w:rsidRDefault="00613B06">
      <w:pPr>
        <w:pStyle w:val="P68B1DB1-Normal4"/>
        <w:spacing w:before="40" w:after="0" w:line="259" w:lineRule="auto"/>
        <w:jc w:val="both"/>
        <w:rPr>
          <w:rFonts w:cs="Times New Roman"/>
          <w:noProof/>
        </w:rPr>
      </w:pPr>
      <w:r>
        <w:rPr>
          <w:noProof/>
        </w:rPr>
        <w:t xml:space="preserve">Cilj te naložbe je podpreti projekte, katerih cilj je: energetski prehod, digitalizacija in zmanjšanje vpliva na okolje v sektorju ribištva in akvakulture v avtonomni regiji Azori. </w:t>
      </w:r>
    </w:p>
    <w:p w14:paraId="4851BFBB" w14:textId="71550539" w:rsidR="00F24946" w:rsidRDefault="00613B06">
      <w:pPr>
        <w:pStyle w:val="P68B1DB1-Normal4"/>
        <w:spacing w:before="40" w:after="0" w:line="259" w:lineRule="auto"/>
        <w:jc w:val="both"/>
        <w:rPr>
          <w:rFonts w:cs="Times New Roman"/>
          <w:noProof/>
        </w:rPr>
      </w:pPr>
      <w:r>
        <w:rPr>
          <w:noProof/>
        </w:rPr>
        <w:t xml:space="preserve"> Naložba je sestavljena iz 15 projektov, ki se nanašajo na posodobitev in obnovo ribiške flote, inovacije v ribištvu in akvakulturi za izboljšanje energetske učinkovitosti, posodobitev postopkov, zmanjšanje proizvodnje odpadkov na morju in spodbujanje krožnega gospodarstva v celotnem sektorju ribištva in akvakulture ter diverzifikacijo ribolovnih dejavnosti. </w:t>
      </w:r>
    </w:p>
    <w:p w14:paraId="2CDB0CE1" w14:textId="4128E9A1" w:rsidR="00F24946" w:rsidRDefault="00613B06">
      <w:pPr>
        <w:pStyle w:val="P68B1DB1-Normal4"/>
        <w:spacing w:before="40" w:after="0" w:line="259" w:lineRule="auto"/>
        <w:jc w:val="both"/>
        <w:rPr>
          <w:noProof/>
        </w:rPr>
      </w:pPr>
      <w:r>
        <w:rPr>
          <w:noProof/>
        </w:rPr>
        <w:t>Pri izbiri projektov za zagotovitev, da je ukrep skladen s tehničnimi smernicami, da se ne škoduje bistveno (2021/C58/01), merila za upravičenost iz okvira pristojnosti za prihodnje razpise za projekte izključujejo naslednji seznam dejavnosti: dejavnosti, povezane s fosilnimi gorivi, vključno z nadaljnjo uporabo</w:t>
      </w:r>
      <w:r>
        <w:rPr>
          <w:noProof/>
        </w:rPr>
        <w:footnoteReference w:id="40"/>
      </w:r>
      <w:r>
        <w:rPr>
          <w:noProof/>
        </w:rPr>
        <w:t>; II) dejavnosti v okviru sistema EU za trgovanje z emisijami (ETS), s katerimi se dosegajo predvidene emisije toplogrednih plinov, ki niso nižje od ustreznih referenčnih vrednosti</w:t>
      </w:r>
      <w:r>
        <w:rPr>
          <w:noProof/>
        </w:rPr>
        <w:footnoteReference w:id="41"/>
      </w:r>
      <w:r>
        <w:rPr>
          <w:noProof/>
        </w:rPr>
        <w:t>; III) dejavnosti, povezane z odlagališči odpadkov, sežigalnicami</w:t>
      </w:r>
      <w:r>
        <w:rPr>
          <w:noProof/>
        </w:rPr>
        <w:footnoteReference w:id="42"/>
      </w:r>
      <w:r>
        <w:rPr>
          <w:noProof/>
        </w:rPr>
        <w:t xml:space="preserve"> in napravami za mehansko-biološko obdelavo</w:t>
      </w:r>
      <w:r>
        <w:rPr>
          <w:noProof/>
        </w:rPr>
        <w:footnoteReference w:id="43"/>
      </w:r>
      <w:r>
        <w:rPr>
          <w:noProof/>
        </w:rPr>
        <w:t>. Poleg tega se zahteva, da se lahko izberejo samo dejavnosti, ki so skladne z ustrezno okoljsko zakonodajo EU in nacionalno okoljsko zakonodajo.</w:t>
      </w:r>
    </w:p>
    <w:p w14:paraId="6A89D7B3" w14:textId="77777777" w:rsidR="00F24946" w:rsidRDefault="00613B06">
      <w:pPr>
        <w:pStyle w:val="P68B1DB1-Normal4"/>
        <w:spacing w:before="40" w:after="0" w:line="259" w:lineRule="auto"/>
        <w:jc w:val="both"/>
        <w:rPr>
          <w:rFonts w:cs="Times New Roman"/>
          <w:i/>
          <w:noProof/>
        </w:rPr>
      </w:pPr>
      <w:r>
        <w:rPr>
          <w:noProof/>
        </w:rPr>
        <w:t>Naložba se izvede do 31. marca 2026.</w:t>
      </w:r>
    </w:p>
    <w:p w14:paraId="4524D534" w14:textId="590264E0" w:rsidR="00F24946" w:rsidRDefault="00613B06">
      <w:pPr>
        <w:pStyle w:val="P68B1DB1-Heading214"/>
        <w:spacing w:before="120"/>
        <w:rPr>
          <w:noProof/>
        </w:rPr>
      </w:pPr>
      <w:bookmarkStart w:id="26" w:name="_Toc137472459"/>
      <w:r>
        <w:rPr>
          <w:noProof/>
        </w:rPr>
        <w:t>Naložba TC-C10-i06-RAM: Oceanske tehnologije</w:t>
      </w:r>
      <w:bookmarkEnd w:id="26"/>
    </w:p>
    <w:p w14:paraId="31140A4D" w14:textId="77777777" w:rsidR="00F24946" w:rsidRDefault="00613B06">
      <w:pPr>
        <w:pStyle w:val="P68B1DB1-Normal4"/>
        <w:spacing w:before="40" w:after="0" w:line="259" w:lineRule="auto"/>
        <w:jc w:val="both"/>
        <w:rPr>
          <w:rFonts w:cs="Times New Roman"/>
          <w:noProof/>
        </w:rPr>
      </w:pPr>
      <w:r>
        <w:rPr>
          <w:noProof/>
        </w:rPr>
        <w:t xml:space="preserve">Cilj te naložbe je zadovoljiti infrastrukturne potrebe raziskav pomorske znanosti v avtonomni regiji Madeira ter spodbujati povezave med pomorskimi raziskavami in gospodarskim sektorjem. </w:t>
      </w:r>
    </w:p>
    <w:p w14:paraId="68DC00B7" w14:textId="414E5E65" w:rsidR="00F24946" w:rsidRDefault="00613B06">
      <w:pPr>
        <w:pStyle w:val="P68B1DB1-Normal4"/>
        <w:spacing w:before="40" w:after="0" w:line="259" w:lineRule="auto"/>
        <w:jc w:val="both"/>
        <w:rPr>
          <w:rFonts w:eastAsia="@MS Mincho" w:cs="Times New Roman"/>
          <w:noProof/>
        </w:rPr>
      </w:pPr>
      <w:r>
        <w:rPr>
          <w:noProof/>
        </w:rPr>
        <w:t xml:space="preserve">Naložba je sestavljena iz gradnje energetsko učinkovitega večnamenskega raziskovalnega plovila, namenjenega raziskavam in usposabljanju v plitvih vodah okoli otokov Madeire in na odprtem morju. Vključuje tudi nakup treh avtonomnih brezpilotnih vozil, da se omogoči povečanje števila dni na morju v severnem Atlantiku za raziskovanje morja, pa tudi zbiranje visokokakovostnih akustičnih podatkov v primerjavi z drugimi tradicionalnimi metodami iskanja. </w:t>
      </w:r>
    </w:p>
    <w:p w14:paraId="5B145707" w14:textId="09C460B5" w:rsidR="00F24946" w:rsidRDefault="00613B06">
      <w:pPr>
        <w:pStyle w:val="P68B1DB1-Normal4"/>
        <w:spacing w:before="40" w:after="0" w:line="259" w:lineRule="auto"/>
        <w:jc w:val="both"/>
        <w:rPr>
          <w:rFonts w:eastAsia="@MS Mincho" w:cs="Times New Roman"/>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Zlasti raziskovalno plovilo in avtonomna brezpilotna vozila uporabljajo najboljšo razpoložljivo tehnologijo z najmanjšimi vplivi na okolje v sektorju.</w:t>
      </w:r>
    </w:p>
    <w:p w14:paraId="365B8C9F" w14:textId="701FB870" w:rsidR="00F24946" w:rsidRDefault="00613B06">
      <w:pPr>
        <w:pStyle w:val="P68B1DB1-Normal4"/>
        <w:spacing w:before="40" w:after="0" w:line="259" w:lineRule="auto"/>
        <w:jc w:val="both"/>
        <w:rPr>
          <w:rFonts w:cs="Times New Roman"/>
          <w:noProof/>
        </w:rPr>
      </w:pPr>
      <w:r>
        <w:rPr>
          <w:noProof/>
        </w:rPr>
        <w:t>Naložba se izvede do 30. junija 2026.</w:t>
      </w:r>
    </w:p>
    <w:p w14:paraId="6121D230"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3D6BEFF2" w14:textId="3AF4D913"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p>
    <w:p w14:paraId="5D1E2539" w14:textId="26B1DED9"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J.2. Mejniki, cilji, kazalniki in časovni razpored za spremljanje in izvajanje nepovratne finančne podpore Naslednje;</w:t>
      </w:r>
    </w:p>
    <w:p w14:paraId="6886E91A"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F24946" w14:paraId="0F42C60E" w14:textId="77777777">
        <w:trPr>
          <w:trHeight w:val="910"/>
          <w:tblHeader/>
          <w:jc w:val="center"/>
        </w:trPr>
        <w:tc>
          <w:tcPr>
            <w:tcW w:w="1101" w:type="dxa"/>
            <w:vMerge w:val="restart"/>
            <w:shd w:val="clear" w:color="auto" w:fill="BDD6EE"/>
            <w:vAlign w:val="center"/>
            <w:hideMark/>
          </w:tcPr>
          <w:p w14:paraId="1AA982C8" w14:textId="77777777" w:rsidR="00F24946" w:rsidRDefault="00613B06">
            <w:pPr>
              <w:pStyle w:val="P68B1DB1-Normal6"/>
              <w:keepNext/>
              <w:spacing w:before="40" w:after="0" w:line="240" w:lineRule="auto"/>
              <w:jc w:val="center"/>
              <w:rPr>
                <w:rFonts w:eastAsia="Times New Roman" w:cs="Times New Roman"/>
                <w:noProof/>
              </w:rPr>
            </w:pPr>
            <w:r>
              <w:rPr>
                <w:noProof/>
              </w:rPr>
              <w:t>Zaporedna številka</w:t>
            </w:r>
          </w:p>
        </w:tc>
        <w:tc>
          <w:tcPr>
            <w:tcW w:w="1231" w:type="dxa"/>
            <w:vMerge w:val="restart"/>
            <w:shd w:val="clear" w:color="auto" w:fill="BDD6EE"/>
            <w:vAlign w:val="center"/>
            <w:hideMark/>
          </w:tcPr>
          <w:p w14:paraId="740B018E" w14:textId="77777777" w:rsidR="00F24946" w:rsidRDefault="00613B06">
            <w:pPr>
              <w:pStyle w:val="P68B1DB1-Normal6"/>
              <w:keepNext/>
              <w:spacing w:before="40" w:after="0" w:line="240" w:lineRule="auto"/>
              <w:jc w:val="center"/>
              <w:rPr>
                <w:rFonts w:eastAsia="Times New Roman" w:cs="Times New Roman"/>
                <w:noProof/>
              </w:rPr>
            </w:pPr>
            <w:r>
              <w:rPr>
                <w:noProof/>
              </w:rPr>
              <w:t>Ukrep (reforma ali naložba)</w:t>
            </w:r>
          </w:p>
        </w:tc>
        <w:tc>
          <w:tcPr>
            <w:tcW w:w="1096" w:type="dxa"/>
            <w:vMerge w:val="restart"/>
            <w:shd w:val="clear" w:color="auto" w:fill="BDD6EE"/>
            <w:vAlign w:val="center"/>
            <w:hideMark/>
          </w:tcPr>
          <w:p w14:paraId="654788B0" w14:textId="0180B006" w:rsidR="00F24946" w:rsidRDefault="00613B06">
            <w:pPr>
              <w:pStyle w:val="P68B1DB1-Normal6"/>
              <w:keepNext/>
              <w:spacing w:before="40" w:after="0" w:line="240" w:lineRule="auto"/>
              <w:jc w:val="center"/>
              <w:rPr>
                <w:rFonts w:eastAsia="Times New Roman" w:cs="Times New Roman"/>
                <w:noProof/>
                <w:sz w:val="14"/>
              </w:rPr>
            </w:pPr>
            <w:r>
              <w:rPr>
                <w:noProof/>
              </w:rPr>
              <w:t>Mejnik/cilj</w:t>
            </w:r>
          </w:p>
        </w:tc>
        <w:tc>
          <w:tcPr>
            <w:tcW w:w="1640" w:type="dxa"/>
            <w:vMerge w:val="restart"/>
            <w:shd w:val="clear" w:color="auto" w:fill="BDD6EE"/>
            <w:vAlign w:val="center"/>
            <w:hideMark/>
          </w:tcPr>
          <w:p w14:paraId="0453BB8E" w14:textId="77777777" w:rsidR="00F24946" w:rsidRDefault="00613B06">
            <w:pPr>
              <w:pStyle w:val="P68B1DB1-Normal6"/>
              <w:keepNext/>
              <w:spacing w:before="40" w:after="0" w:line="240" w:lineRule="auto"/>
              <w:jc w:val="center"/>
              <w:rPr>
                <w:rFonts w:eastAsia="Times New Roman" w:cs="Times New Roman"/>
                <w:noProof/>
              </w:rPr>
            </w:pPr>
            <w:r>
              <w:rPr>
                <w:noProof/>
              </w:rPr>
              <w:t>Ime</w:t>
            </w:r>
          </w:p>
        </w:tc>
        <w:tc>
          <w:tcPr>
            <w:tcW w:w="1231" w:type="dxa"/>
            <w:vMerge w:val="restart"/>
            <w:shd w:val="clear" w:color="auto" w:fill="BDD6EE"/>
            <w:vAlign w:val="center"/>
            <w:hideMark/>
          </w:tcPr>
          <w:p w14:paraId="1B4EF47B" w14:textId="77777777" w:rsidR="00F24946" w:rsidRDefault="00613B06">
            <w:pPr>
              <w:pStyle w:val="P68B1DB1-Normal6"/>
              <w:keepNext/>
              <w:spacing w:before="40" w:after="0" w:line="240" w:lineRule="auto"/>
              <w:jc w:val="center"/>
              <w:rPr>
                <w:rFonts w:eastAsia="Times New Roman" w:cs="Times New Roman"/>
                <w:noProof/>
              </w:rPr>
            </w:pPr>
            <w:r>
              <w:rPr>
                <w:noProof/>
              </w:rPr>
              <w:t>Kvalitativni kazalniki za mejnike</w:t>
            </w:r>
          </w:p>
        </w:tc>
        <w:tc>
          <w:tcPr>
            <w:tcW w:w="2613" w:type="dxa"/>
            <w:gridSpan w:val="3"/>
            <w:shd w:val="clear" w:color="auto" w:fill="BDD6EE"/>
            <w:vAlign w:val="center"/>
            <w:hideMark/>
          </w:tcPr>
          <w:p w14:paraId="3F05C782" w14:textId="77777777" w:rsidR="00F24946" w:rsidRDefault="00613B06">
            <w:pPr>
              <w:pStyle w:val="P68B1DB1-Normal6"/>
              <w:keepNext/>
              <w:spacing w:before="40" w:after="0" w:line="240" w:lineRule="auto"/>
              <w:jc w:val="center"/>
              <w:rPr>
                <w:rFonts w:eastAsia="Times New Roman" w:cs="Times New Roman"/>
                <w:noProof/>
              </w:rPr>
            </w:pPr>
            <w:r>
              <w:rPr>
                <w:noProof/>
              </w:rPr>
              <w:t>Kvantitativni kazalniki (za ciljne vrednosti)</w:t>
            </w:r>
          </w:p>
        </w:tc>
        <w:tc>
          <w:tcPr>
            <w:tcW w:w="1238" w:type="dxa"/>
            <w:gridSpan w:val="2"/>
            <w:shd w:val="clear" w:color="auto" w:fill="BDD6EE"/>
            <w:vAlign w:val="center"/>
            <w:hideMark/>
          </w:tcPr>
          <w:p w14:paraId="5BC3A23D" w14:textId="77777777" w:rsidR="00F24946" w:rsidRDefault="00613B06">
            <w:pPr>
              <w:pStyle w:val="P68B1DB1-Normal6"/>
              <w:keepNext/>
              <w:spacing w:before="40" w:after="0" w:line="240" w:lineRule="auto"/>
              <w:jc w:val="center"/>
              <w:rPr>
                <w:rFonts w:eastAsia="Times New Roman" w:cs="Times New Roman"/>
                <w:noProof/>
              </w:rPr>
            </w:pPr>
            <w:r>
              <w:rPr>
                <w:noProof/>
              </w:rPr>
              <w:t>Okvirni časovni razpored za dokončanje</w:t>
            </w:r>
          </w:p>
        </w:tc>
        <w:tc>
          <w:tcPr>
            <w:tcW w:w="5223" w:type="dxa"/>
            <w:vMerge w:val="restart"/>
            <w:shd w:val="clear" w:color="auto" w:fill="BDD6EE"/>
            <w:vAlign w:val="center"/>
            <w:hideMark/>
          </w:tcPr>
          <w:p w14:paraId="7B33DA18" w14:textId="77777777" w:rsidR="00F24946" w:rsidRDefault="00613B06">
            <w:pPr>
              <w:pStyle w:val="P68B1DB1-Normal6"/>
              <w:keepNext/>
              <w:spacing w:before="40" w:after="0" w:line="240" w:lineRule="auto"/>
              <w:jc w:val="center"/>
              <w:rPr>
                <w:rFonts w:eastAsia="Times New Roman" w:cs="Times New Roman"/>
                <w:noProof/>
              </w:rPr>
            </w:pPr>
            <w:r>
              <w:rPr>
                <w:noProof/>
              </w:rPr>
              <w:t>Opis in jasna opredelitev vsakega mejnika in cilja</w:t>
            </w:r>
          </w:p>
        </w:tc>
      </w:tr>
      <w:tr w:rsidR="00F24946" w14:paraId="13FCEFA1" w14:textId="77777777">
        <w:trPr>
          <w:trHeight w:val="470"/>
          <w:tblHeader/>
          <w:jc w:val="center"/>
        </w:trPr>
        <w:tc>
          <w:tcPr>
            <w:tcW w:w="1101" w:type="dxa"/>
            <w:vMerge/>
            <w:vAlign w:val="center"/>
            <w:hideMark/>
          </w:tcPr>
          <w:p w14:paraId="0FB4B9F7"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234EF905"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27B408D0" w14:textId="11212B07" w:rsidR="00F24946" w:rsidRDefault="00F24946">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40C2DECA"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0EE9D350"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3B5C5511" w14:textId="77777777" w:rsidR="00F24946" w:rsidRDefault="00613B06">
            <w:pPr>
              <w:pStyle w:val="P68B1DB1-Normal6"/>
              <w:keepNext/>
              <w:spacing w:before="40" w:after="0" w:line="240" w:lineRule="auto"/>
              <w:jc w:val="center"/>
              <w:rPr>
                <w:rFonts w:eastAsia="Times New Roman" w:cs="Times New Roman"/>
                <w:noProof/>
              </w:rPr>
            </w:pPr>
            <w:r>
              <w:rPr>
                <w:noProof/>
              </w:rPr>
              <w:t>Merska enota</w:t>
            </w:r>
          </w:p>
        </w:tc>
        <w:tc>
          <w:tcPr>
            <w:tcW w:w="961" w:type="dxa"/>
            <w:shd w:val="clear" w:color="auto" w:fill="BDD6EE"/>
            <w:vAlign w:val="center"/>
            <w:hideMark/>
          </w:tcPr>
          <w:p w14:paraId="60383F12" w14:textId="77777777" w:rsidR="00F24946" w:rsidRDefault="00613B06">
            <w:pPr>
              <w:pStyle w:val="P68B1DB1-Normal6"/>
              <w:keepNext/>
              <w:spacing w:before="40" w:after="0" w:line="240" w:lineRule="auto"/>
              <w:jc w:val="center"/>
              <w:rPr>
                <w:rFonts w:eastAsia="Times New Roman" w:cs="Times New Roman"/>
                <w:noProof/>
              </w:rPr>
            </w:pPr>
            <w:r>
              <w:rPr>
                <w:noProof/>
              </w:rPr>
              <w:t>Izhodišče</w:t>
            </w:r>
          </w:p>
        </w:tc>
        <w:tc>
          <w:tcPr>
            <w:tcW w:w="690" w:type="dxa"/>
            <w:shd w:val="clear" w:color="auto" w:fill="BDD6EE"/>
            <w:vAlign w:val="center"/>
            <w:hideMark/>
          </w:tcPr>
          <w:p w14:paraId="68D883D5" w14:textId="77777777" w:rsidR="00F24946" w:rsidRDefault="00613B06">
            <w:pPr>
              <w:pStyle w:val="P68B1DB1-Normal6"/>
              <w:keepNext/>
              <w:spacing w:before="40" w:after="0" w:line="240" w:lineRule="auto"/>
              <w:jc w:val="center"/>
              <w:rPr>
                <w:rFonts w:eastAsia="Times New Roman" w:cs="Times New Roman"/>
                <w:noProof/>
              </w:rPr>
            </w:pPr>
            <w:r>
              <w:rPr>
                <w:noProof/>
              </w:rPr>
              <w:t>Cilj</w:t>
            </w:r>
          </w:p>
        </w:tc>
        <w:tc>
          <w:tcPr>
            <w:tcW w:w="554" w:type="dxa"/>
            <w:shd w:val="clear" w:color="auto" w:fill="BDD6EE"/>
            <w:vAlign w:val="center"/>
            <w:hideMark/>
          </w:tcPr>
          <w:p w14:paraId="55466A9A" w14:textId="77777777" w:rsidR="00F24946" w:rsidRDefault="00613B06">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09748930" w14:textId="77777777" w:rsidR="00F24946" w:rsidRDefault="00613B06">
            <w:pPr>
              <w:pStyle w:val="P68B1DB1-Normal6"/>
              <w:keepNext/>
              <w:spacing w:before="40" w:after="0" w:line="240" w:lineRule="auto"/>
              <w:jc w:val="center"/>
              <w:rPr>
                <w:rFonts w:eastAsia="Times New Roman" w:cs="Times New Roman"/>
                <w:noProof/>
              </w:rPr>
            </w:pPr>
            <w:r>
              <w:rPr>
                <w:noProof/>
              </w:rPr>
              <w:t>Leto</w:t>
            </w:r>
          </w:p>
        </w:tc>
        <w:tc>
          <w:tcPr>
            <w:tcW w:w="5223" w:type="dxa"/>
            <w:vMerge/>
            <w:vAlign w:val="center"/>
            <w:hideMark/>
          </w:tcPr>
          <w:p w14:paraId="56BFB7D9" w14:textId="77777777" w:rsidR="00F24946" w:rsidRDefault="00F24946">
            <w:pPr>
              <w:keepNext/>
              <w:spacing w:before="40" w:after="0" w:line="240" w:lineRule="auto"/>
              <w:jc w:val="both"/>
              <w:rPr>
                <w:rFonts w:ascii="Times New Roman" w:eastAsia="Times New Roman" w:hAnsi="Times New Roman" w:cs="Times New Roman"/>
                <w:b/>
                <w:noProof/>
                <w:sz w:val="18"/>
              </w:rPr>
            </w:pPr>
          </w:p>
        </w:tc>
      </w:tr>
      <w:tr w:rsidR="00F24946" w14:paraId="2FD34264" w14:textId="77777777">
        <w:trPr>
          <w:trHeight w:val="290"/>
          <w:jc w:val="center"/>
        </w:trPr>
        <w:tc>
          <w:tcPr>
            <w:tcW w:w="1101" w:type="dxa"/>
            <w:shd w:val="clear" w:color="auto" w:fill="C4EFCE"/>
            <w:vAlign w:val="center"/>
            <w:hideMark/>
          </w:tcPr>
          <w:p w14:paraId="6981A743" w14:textId="77777777" w:rsidR="00F24946" w:rsidRDefault="00613B06">
            <w:pPr>
              <w:pStyle w:val="P68B1DB1-Normal7"/>
              <w:keepNext/>
              <w:spacing w:before="40" w:after="0" w:line="240" w:lineRule="auto"/>
              <w:jc w:val="center"/>
              <w:rPr>
                <w:rFonts w:eastAsia="Times New Roman" w:cs="Calibri"/>
                <w:noProof/>
              </w:rPr>
            </w:pPr>
            <w:r>
              <w:rPr>
                <w:noProof/>
              </w:rPr>
              <w:t>10.1</w:t>
            </w:r>
          </w:p>
        </w:tc>
        <w:tc>
          <w:tcPr>
            <w:tcW w:w="1231" w:type="dxa"/>
            <w:shd w:val="clear" w:color="auto" w:fill="C4EFCE"/>
            <w:noWrap/>
            <w:vAlign w:val="center"/>
            <w:hideMark/>
          </w:tcPr>
          <w:p w14:paraId="2DFAA2E3" w14:textId="77777777" w:rsidR="00F24946" w:rsidRDefault="00613B06">
            <w:pPr>
              <w:pStyle w:val="P68B1DB1-Normal8"/>
              <w:keepNext/>
              <w:spacing w:before="40" w:after="0" w:line="240" w:lineRule="auto"/>
              <w:jc w:val="center"/>
              <w:rPr>
                <w:rFonts w:eastAsia="Times New Roman" w:cs="Calibri"/>
                <w:noProof/>
              </w:rPr>
            </w:pPr>
            <w:r>
              <w:rPr>
                <w:noProof/>
              </w:rPr>
              <w:t>TC-C10-r23</w:t>
            </w:r>
          </w:p>
        </w:tc>
        <w:tc>
          <w:tcPr>
            <w:tcW w:w="1096" w:type="dxa"/>
            <w:shd w:val="clear" w:color="auto" w:fill="C4EFCE"/>
            <w:noWrap/>
            <w:vAlign w:val="center"/>
            <w:hideMark/>
          </w:tcPr>
          <w:p w14:paraId="0347A760"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6EECB73C" w14:textId="77777777" w:rsidR="00F24946" w:rsidRDefault="00613B06">
            <w:pPr>
              <w:pStyle w:val="P68B1DB1-Normal8"/>
              <w:keepNext/>
              <w:spacing w:before="40" w:after="0" w:line="240" w:lineRule="auto"/>
              <w:jc w:val="center"/>
              <w:rPr>
                <w:rFonts w:eastAsia="Times New Roman" w:cs="Calibri"/>
                <w:noProof/>
              </w:rPr>
            </w:pPr>
            <w:r>
              <w:rPr>
                <w:noProof/>
              </w:rPr>
              <w:t>Začetek veljavnosti revizije aktov ministrstva za morje v zvezi s krepitvijo zmogljivosti financiranja pomorskega gospodarstva in inovacij prek modrega sklada</w:t>
            </w:r>
          </w:p>
        </w:tc>
        <w:tc>
          <w:tcPr>
            <w:tcW w:w="1231" w:type="dxa"/>
            <w:shd w:val="clear" w:color="auto" w:fill="C4EFCE"/>
            <w:noWrap/>
            <w:vAlign w:val="center"/>
            <w:hideMark/>
          </w:tcPr>
          <w:p w14:paraId="0A3E5CD5" w14:textId="77777777" w:rsidR="00F24946" w:rsidRDefault="00613B06">
            <w:pPr>
              <w:pStyle w:val="P68B1DB1-Normal8"/>
              <w:keepNext/>
              <w:spacing w:before="40" w:after="0" w:line="240" w:lineRule="auto"/>
              <w:jc w:val="center"/>
              <w:rPr>
                <w:rFonts w:eastAsia="Times New Roman" w:cs="Calibri"/>
                <w:noProof/>
              </w:rPr>
            </w:pPr>
            <w:r>
              <w:rPr>
                <w:noProof/>
              </w:rPr>
              <w:t>Začetek veljavnosti revidiranih aktov ministrstva za morje v zvezi s krepitvijo zmogljivosti financiranja pomorskega gospodarstva in inovacij prek modrega sklada</w:t>
            </w:r>
          </w:p>
        </w:tc>
        <w:tc>
          <w:tcPr>
            <w:tcW w:w="962" w:type="dxa"/>
            <w:shd w:val="clear" w:color="auto" w:fill="C4EFCE"/>
            <w:noWrap/>
            <w:vAlign w:val="center"/>
            <w:hideMark/>
          </w:tcPr>
          <w:p w14:paraId="157C0E4E"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533D7F48"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7948C8CA"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84BF334"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14BDFB9E" w14:textId="77777777" w:rsidR="00F24946" w:rsidRDefault="00613B06">
            <w:pPr>
              <w:pStyle w:val="P68B1DB1-Normal8"/>
              <w:keepNext/>
              <w:spacing w:before="40" w:after="0" w:line="240" w:lineRule="auto"/>
              <w:jc w:val="center"/>
              <w:rPr>
                <w:rFonts w:eastAsia="Times New Roman" w:cs="Calibri"/>
                <w:noProof/>
              </w:rPr>
            </w:pPr>
            <w:r>
              <w:rPr>
                <w:noProof/>
              </w:rPr>
              <w:t>2021</w:t>
            </w:r>
          </w:p>
        </w:tc>
        <w:tc>
          <w:tcPr>
            <w:tcW w:w="5223" w:type="dxa"/>
            <w:shd w:val="clear" w:color="auto" w:fill="C4EFCE"/>
            <w:vAlign w:val="center"/>
            <w:hideMark/>
          </w:tcPr>
          <w:p w14:paraId="5690DF78" w14:textId="77777777" w:rsidR="00F24946" w:rsidRDefault="00613B06">
            <w:pPr>
              <w:pStyle w:val="P68B1DB1-Normal8"/>
              <w:keepNext/>
              <w:spacing w:before="40" w:after="0" w:line="240" w:lineRule="auto"/>
              <w:jc w:val="both"/>
              <w:rPr>
                <w:rFonts w:eastAsia="Times New Roman" w:cs="Calibri"/>
                <w:noProof/>
              </w:rPr>
            </w:pPr>
            <w:r>
              <w:rPr>
                <w:noProof/>
              </w:rPr>
              <w:t xml:space="preserve">Revidirajo se naslednji akti: </w:t>
            </w:r>
          </w:p>
          <w:p w14:paraId="0D6FC64A" w14:textId="77777777" w:rsidR="00F24946" w:rsidRDefault="00613B06">
            <w:pPr>
              <w:pStyle w:val="P68B1DB1-Normal8"/>
              <w:keepNext/>
              <w:spacing w:before="40" w:after="0" w:line="240" w:lineRule="auto"/>
              <w:jc w:val="both"/>
              <w:rPr>
                <w:rFonts w:eastAsia="Times New Roman" w:cs="Calibri"/>
                <w:noProof/>
              </w:rPr>
            </w:pPr>
            <w:r>
              <w:rPr>
                <w:noProof/>
              </w:rPr>
              <w:t xml:space="preserve">Uredba-zakon št. 16/2016 z dne 9. marca; </w:t>
            </w:r>
          </w:p>
          <w:p w14:paraId="08A7B94D" w14:textId="77777777" w:rsidR="00F24946" w:rsidRDefault="00613B06">
            <w:pPr>
              <w:pStyle w:val="P68B1DB1-Normal8"/>
              <w:keepNext/>
              <w:spacing w:before="40" w:after="0" w:line="240" w:lineRule="auto"/>
              <w:jc w:val="both"/>
              <w:rPr>
                <w:rFonts w:eastAsia="Times New Roman" w:cs="Calibri"/>
                <w:noProof/>
              </w:rPr>
            </w:pPr>
            <w:r>
              <w:rPr>
                <w:noProof/>
              </w:rPr>
              <w:t xml:space="preserve">Odlok št. 343/2016 z dne 30. decembra 2016; </w:t>
            </w:r>
          </w:p>
          <w:p w14:paraId="3F2377ED" w14:textId="77777777" w:rsidR="00F24946" w:rsidRDefault="00613B06">
            <w:pPr>
              <w:pStyle w:val="P68B1DB1-Normal8"/>
              <w:keepNext/>
              <w:spacing w:before="40" w:after="0" w:line="240" w:lineRule="auto"/>
              <w:jc w:val="both"/>
              <w:rPr>
                <w:rFonts w:eastAsia="Times New Roman" w:cs="Calibri"/>
                <w:noProof/>
              </w:rPr>
            </w:pPr>
            <w:r>
              <w:rPr>
                <w:noProof/>
              </w:rPr>
              <w:t xml:space="preserve">Resolucija Sveta ministrov št. 175/2017. </w:t>
            </w:r>
          </w:p>
          <w:p w14:paraId="576A9B43" w14:textId="344466AB" w:rsidR="00F24946" w:rsidRDefault="00613B06">
            <w:pPr>
              <w:pStyle w:val="P68B1DB1-Normal8"/>
              <w:keepNext/>
              <w:spacing w:before="40" w:after="0" w:line="240" w:lineRule="auto"/>
              <w:jc w:val="both"/>
              <w:rPr>
                <w:rFonts w:eastAsia="Times New Roman" w:cs="Calibri"/>
                <w:noProof/>
              </w:rPr>
            </w:pPr>
            <w:r>
              <w:rPr>
                <w:noProof/>
              </w:rPr>
              <w:t xml:space="preserve">Revizija teh aktov vključuje posodobitev strategije o mreži pristaniških tehnoloških grozdov, s katero se njeno področje uporabe razširi na razogljičenje pomorskega gospodarstva; revizija in prilagoditev ekološkega načina in načina delovanja modrega sklada, da se prilagodi za upravljanje naložb v komponento; vzpostavitev modela upravljanja vozlišča.  </w:t>
            </w:r>
          </w:p>
        </w:tc>
      </w:tr>
      <w:tr w:rsidR="00F24946" w14:paraId="1C9ED07F" w14:textId="77777777">
        <w:trPr>
          <w:trHeight w:val="630"/>
          <w:jc w:val="center"/>
        </w:trPr>
        <w:tc>
          <w:tcPr>
            <w:tcW w:w="1101" w:type="dxa"/>
            <w:shd w:val="clear" w:color="auto" w:fill="C4EFCE"/>
            <w:vAlign w:val="center"/>
            <w:hideMark/>
          </w:tcPr>
          <w:p w14:paraId="20846F99" w14:textId="77777777" w:rsidR="00F24946" w:rsidRDefault="00613B06">
            <w:pPr>
              <w:pStyle w:val="P68B1DB1-Normal7"/>
              <w:keepNext/>
              <w:spacing w:before="40" w:after="0" w:line="240" w:lineRule="auto"/>
              <w:jc w:val="center"/>
              <w:rPr>
                <w:rFonts w:eastAsia="Times New Roman" w:cs="Calibri"/>
                <w:noProof/>
              </w:rPr>
            </w:pPr>
            <w:r>
              <w:rPr>
                <w:noProof/>
              </w:rPr>
              <w:t>10.2</w:t>
            </w:r>
          </w:p>
        </w:tc>
        <w:tc>
          <w:tcPr>
            <w:tcW w:w="1231" w:type="dxa"/>
            <w:shd w:val="clear" w:color="auto" w:fill="C4EFCE"/>
            <w:noWrap/>
            <w:vAlign w:val="center"/>
            <w:hideMark/>
          </w:tcPr>
          <w:p w14:paraId="13BA066B" w14:textId="77777777" w:rsidR="00F24946" w:rsidRDefault="00613B06">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6294F56F" w14:textId="77777777" w:rsidR="00F24946" w:rsidRDefault="00613B06">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079896DE" w14:textId="77777777" w:rsidR="00F24946" w:rsidRDefault="00613B06">
            <w:pPr>
              <w:pStyle w:val="P68B1DB1-Normal8"/>
              <w:keepNext/>
              <w:spacing w:before="40" w:after="0" w:line="240" w:lineRule="auto"/>
              <w:jc w:val="center"/>
              <w:rPr>
                <w:rFonts w:eastAsia="Times New Roman" w:cs="Calibri"/>
                <w:noProof/>
              </w:rPr>
            </w:pPr>
            <w:r>
              <w:rPr>
                <w:noProof/>
              </w:rPr>
              <w:t>Zaključek posodobitve šole Blue Hub ter okrepitev oskrbe in opreme</w:t>
            </w:r>
          </w:p>
        </w:tc>
        <w:tc>
          <w:tcPr>
            <w:tcW w:w="1231" w:type="dxa"/>
            <w:shd w:val="clear" w:color="auto" w:fill="C4EFCE"/>
            <w:noWrap/>
            <w:vAlign w:val="center"/>
            <w:hideMark/>
          </w:tcPr>
          <w:p w14:paraId="03E07993"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55A4B559" w14:textId="77777777" w:rsidR="00F24946" w:rsidRDefault="00613B06">
            <w:pPr>
              <w:pStyle w:val="P68B1DB1-Normal8"/>
              <w:keepNext/>
              <w:spacing w:before="40" w:after="0" w:line="240" w:lineRule="auto"/>
              <w:jc w:val="center"/>
              <w:rPr>
                <w:rFonts w:eastAsia="Times New Roman" w:cs="Calibri"/>
                <w:noProof/>
              </w:rPr>
            </w:pPr>
            <w:r>
              <w:rPr>
                <w:noProof/>
              </w:rPr>
              <w:t xml:space="preserve">% </w:t>
            </w:r>
          </w:p>
        </w:tc>
        <w:tc>
          <w:tcPr>
            <w:tcW w:w="961" w:type="dxa"/>
            <w:shd w:val="clear" w:color="auto" w:fill="C4EFCE"/>
            <w:noWrap/>
            <w:vAlign w:val="center"/>
            <w:hideMark/>
          </w:tcPr>
          <w:p w14:paraId="2ACDF2F9" w14:textId="77777777" w:rsidR="00F24946" w:rsidRDefault="00613B06">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9EEF38E" w14:textId="77777777" w:rsidR="00F24946" w:rsidRDefault="00613B06">
            <w:pPr>
              <w:pStyle w:val="P68B1DB1-Normal8"/>
              <w:keepNext/>
              <w:spacing w:before="40" w:after="0" w:line="240" w:lineRule="auto"/>
              <w:jc w:val="center"/>
              <w:rPr>
                <w:rFonts w:eastAsia="Times New Roman" w:cs="Calibri"/>
                <w:noProof/>
              </w:rPr>
            </w:pPr>
            <w:r>
              <w:rPr>
                <w:noProof/>
              </w:rPr>
              <w:t>100</w:t>
            </w:r>
          </w:p>
        </w:tc>
        <w:tc>
          <w:tcPr>
            <w:tcW w:w="554" w:type="dxa"/>
            <w:shd w:val="clear" w:color="auto" w:fill="C4EFCE"/>
            <w:noWrap/>
            <w:vAlign w:val="center"/>
            <w:hideMark/>
          </w:tcPr>
          <w:p w14:paraId="1F0251CD"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3708D654" w14:textId="77777777" w:rsidR="00F24946" w:rsidRDefault="00613B06">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6734A981" w14:textId="77777777" w:rsidR="00F24946" w:rsidRDefault="00613B06">
            <w:pPr>
              <w:pStyle w:val="P68B1DB1-Normal8"/>
              <w:keepNext/>
              <w:spacing w:before="40" w:after="0" w:line="240" w:lineRule="auto"/>
              <w:jc w:val="both"/>
              <w:rPr>
                <w:rFonts w:eastAsia="Times New Roman" w:cs="Calibri"/>
                <w:noProof/>
              </w:rPr>
            </w:pPr>
            <w:r>
              <w:rPr>
                <w:noProof/>
              </w:rPr>
              <w:t xml:space="preserve">Zaključek posodobitvenih del, krepitev ponudbe usposabljanja in obnova z opremo šole Blue Hub. Dokončanje zgoraj navedenega sledi potrditvi skladnosti s tehničnimi specifikacijami in pogodbenimi obveznostmi. To vključuje: </w:t>
            </w:r>
          </w:p>
          <w:p w14:paraId="3A3F2EF4" w14:textId="2F250900"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naložbe v infrastrukturo in sisteme </w:t>
            </w:r>
            <w:r>
              <w:rPr>
                <w:rFonts w:ascii="Calibri" w:hAnsi="Calibri"/>
                <w:i/>
                <w:noProof/>
                <w:sz w:val="16"/>
              </w:rPr>
              <w:t>Escola Superior Náutica Infante D. Henrique</w:t>
            </w:r>
            <w:r>
              <w:rPr>
                <w:rFonts w:ascii="Calibri" w:hAnsi="Calibri"/>
                <w:noProof/>
                <w:sz w:val="16"/>
              </w:rPr>
              <w:t xml:space="preserve"> (ENIDH), vključno s posodobitvijo 16 laboratorijev in nakupom simulatorjev (za določanje položaja plovil, storitve za ladijski promet ter logistiko in pristaniške dejavnosti)</w:t>
            </w:r>
          </w:p>
          <w:p w14:paraId="37CC213B" w14:textId="3AD70643"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Posodobitev direktive o zlorabi trga: nadgradnja šestih centrov za usposabljanje, podporna oprema za poklicno usposabljanje, posodobitev informacijskih in komunikacijskih sistemov, digitalizacija procesov usposabljanja in oblikovanje e-učenja.</w:t>
            </w:r>
          </w:p>
          <w:p w14:paraId="69131879" w14:textId="2D239F23" w:rsidR="00F24946" w:rsidRDefault="00613B06">
            <w:pPr>
              <w:pStyle w:val="P68B1DB1-Normal8"/>
              <w:keepNext/>
              <w:spacing w:before="40" w:after="0" w:line="240" w:lineRule="auto"/>
              <w:jc w:val="both"/>
              <w:rPr>
                <w:rFonts w:eastAsia="Times New Roman" w:cs="Calibri"/>
                <w:noProof/>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3B18127E" w14:textId="77777777">
        <w:trPr>
          <w:trHeight w:val="290"/>
          <w:jc w:val="center"/>
        </w:trPr>
        <w:tc>
          <w:tcPr>
            <w:tcW w:w="1101" w:type="dxa"/>
            <w:shd w:val="clear" w:color="auto" w:fill="C4EFCE"/>
            <w:vAlign w:val="center"/>
            <w:hideMark/>
          </w:tcPr>
          <w:p w14:paraId="1A210116" w14:textId="77777777" w:rsidR="00F24946" w:rsidRDefault="00613B06">
            <w:pPr>
              <w:pStyle w:val="P68B1DB1-Normal7"/>
              <w:keepNext/>
              <w:spacing w:before="40" w:after="0" w:line="240" w:lineRule="auto"/>
              <w:jc w:val="center"/>
              <w:rPr>
                <w:rFonts w:eastAsia="Times New Roman" w:cs="Calibri"/>
                <w:noProof/>
              </w:rPr>
            </w:pPr>
            <w:r>
              <w:rPr>
                <w:noProof/>
              </w:rPr>
              <w:t>10.3</w:t>
            </w:r>
          </w:p>
        </w:tc>
        <w:tc>
          <w:tcPr>
            <w:tcW w:w="1231" w:type="dxa"/>
            <w:shd w:val="clear" w:color="auto" w:fill="C4EFCE"/>
            <w:noWrap/>
            <w:vAlign w:val="center"/>
            <w:hideMark/>
          </w:tcPr>
          <w:p w14:paraId="7F3373D8" w14:textId="77777777" w:rsidR="00F24946" w:rsidRDefault="00613B06">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73F010EA" w14:textId="77777777" w:rsidR="00F24946" w:rsidRDefault="00613B06">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5BC5CD21" w14:textId="77777777" w:rsidR="00F24946" w:rsidRDefault="00613B06">
            <w:pPr>
              <w:pStyle w:val="P68B1DB1-Normal8"/>
              <w:keepNext/>
              <w:spacing w:before="40" w:after="0" w:line="240" w:lineRule="auto"/>
              <w:jc w:val="center"/>
              <w:rPr>
                <w:rFonts w:eastAsia="Times New Roman" w:cs="Calibri"/>
                <w:noProof/>
              </w:rPr>
            </w:pPr>
            <w:r>
              <w:rPr>
                <w:noProof/>
              </w:rPr>
              <w:t>Dokončanje namestitve in/ali nadgradnja vozlišč modrega vozlišča</w:t>
            </w:r>
          </w:p>
        </w:tc>
        <w:tc>
          <w:tcPr>
            <w:tcW w:w="1231" w:type="dxa"/>
            <w:shd w:val="clear" w:color="auto" w:fill="C4EFCE"/>
            <w:noWrap/>
            <w:vAlign w:val="center"/>
            <w:hideMark/>
          </w:tcPr>
          <w:p w14:paraId="4E5B4906"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1F0D4373" w14:textId="77777777" w:rsidR="00F24946" w:rsidRDefault="00613B06">
            <w:pPr>
              <w:pStyle w:val="P68B1DB1-Normal8"/>
              <w:keepNext/>
              <w:spacing w:before="40" w:after="0" w:line="240" w:lineRule="auto"/>
              <w:jc w:val="center"/>
              <w:rPr>
                <w:rFonts w:eastAsia="Times New Roman" w:cs="Calibri"/>
                <w:noProof/>
              </w:rPr>
            </w:pPr>
            <w:r>
              <w:rPr>
                <w:noProof/>
              </w:rPr>
              <w:t xml:space="preserve">Število </w:t>
            </w:r>
          </w:p>
        </w:tc>
        <w:tc>
          <w:tcPr>
            <w:tcW w:w="961" w:type="dxa"/>
            <w:shd w:val="clear" w:color="auto" w:fill="C4EFCE"/>
            <w:noWrap/>
            <w:vAlign w:val="center"/>
            <w:hideMark/>
          </w:tcPr>
          <w:p w14:paraId="5AE14534" w14:textId="77777777" w:rsidR="00F24946" w:rsidRDefault="00613B06">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0F28BF19" w14:textId="77777777" w:rsidR="00F24946" w:rsidRDefault="00613B06">
            <w:pPr>
              <w:pStyle w:val="P68B1DB1-Normal8"/>
              <w:keepNext/>
              <w:spacing w:before="40" w:after="0" w:line="240" w:lineRule="auto"/>
              <w:jc w:val="center"/>
              <w:rPr>
                <w:rFonts w:eastAsia="Times New Roman" w:cs="Calibri"/>
                <w:noProof/>
              </w:rPr>
            </w:pPr>
            <w:r>
              <w:rPr>
                <w:noProof/>
              </w:rPr>
              <w:t>7</w:t>
            </w:r>
          </w:p>
        </w:tc>
        <w:tc>
          <w:tcPr>
            <w:tcW w:w="554" w:type="dxa"/>
            <w:shd w:val="clear" w:color="auto" w:fill="C4EFCE"/>
            <w:noWrap/>
            <w:vAlign w:val="center"/>
            <w:hideMark/>
          </w:tcPr>
          <w:p w14:paraId="2937E871"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60DD0007" w14:textId="77777777" w:rsidR="00F24946" w:rsidRDefault="00613B06">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4CB843FB" w14:textId="77777777" w:rsidR="00F24946" w:rsidRDefault="00613B06">
            <w:pPr>
              <w:pStyle w:val="P68B1DB1-Normal8"/>
              <w:keepNext/>
              <w:spacing w:before="40" w:after="0" w:line="240" w:lineRule="auto"/>
              <w:jc w:val="both"/>
              <w:rPr>
                <w:rFonts w:eastAsia="Times New Roman" w:cs="Calibri"/>
                <w:noProof/>
              </w:rPr>
            </w:pPr>
            <w:r>
              <w:rPr>
                <w:noProof/>
              </w:rPr>
              <w:t xml:space="preserve">Zaključek del (gradnja, obnova in oprema) za 7 modrih vozlišč. Med novimi ali nadgrajenimi modrimi vozlišči so: </w:t>
            </w:r>
          </w:p>
          <w:p w14:paraId="23E9EE6A" w14:textId="45B1D28B"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1.</w:t>
            </w:r>
            <w:r>
              <w:rPr>
                <w:rFonts w:ascii="Times New Roman" w:hAnsi="Times New Roman"/>
                <w:noProof/>
                <w:sz w:val="14"/>
              </w:rPr>
              <w:t xml:space="preserve"> </w:t>
            </w:r>
            <w:r>
              <w:rPr>
                <w:rFonts w:ascii="Calibri" w:hAnsi="Calibri"/>
                <w:noProof/>
                <w:sz w:val="16"/>
              </w:rPr>
              <w:t xml:space="preserve">Vozlišče podjetij in skupni oceanski laboratorij v Lizboni: prenova stavbe za oceanski laboratorij, med drugim z laboratorijskimi infrastrukturnimi prostori, bio rafinerijami, prostorom za nacionalno biobanko morskih virov in pisarniškimi prostori za tehnična podjetja. </w:t>
            </w:r>
          </w:p>
          <w:p w14:paraId="43ED232C" w14:textId="51E70B4B" w:rsidR="00F24946" w:rsidRDefault="00613B06">
            <w:pPr>
              <w:keepNext/>
              <w:spacing w:before="40" w:after="0" w:line="240" w:lineRule="auto"/>
              <w:jc w:val="both"/>
              <w:rPr>
                <w:rFonts w:ascii="Calibri" w:eastAsia="Times New Roman" w:hAnsi="Calibri"/>
                <w:noProof/>
                <w:sz w:val="16"/>
              </w:rPr>
            </w:pPr>
            <w:r>
              <w:rPr>
                <w:rFonts w:ascii="Calibri" w:hAnsi="Calibri"/>
                <w:noProof/>
                <w:sz w:val="16"/>
              </w:rPr>
              <w:t>2.</w:t>
            </w:r>
            <w:r>
              <w:rPr>
                <w:rFonts w:ascii="Times New Roman" w:hAnsi="Times New Roman"/>
                <w:noProof/>
                <w:sz w:val="14"/>
              </w:rPr>
              <w:t xml:space="preserve"> </w:t>
            </w:r>
            <w:r>
              <w:rPr>
                <w:rFonts w:ascii="Calibri" w:hAnsi="Calibri"/>
                <w:noProof/>
                <w:sz w:val="16"/>
              </w:rPr>
              <w:t xml:space="preserve">Vozlišče IPMA/Sea Oeiras za izboljšanje zmogljivosti za spremljanje oceanov: vključno z gradnjo hangarja za enoto za oceansko inženirstvo, vključno s kotalnim mostom, prostori delavnic, arhivsko zgradbo z vrtečimi se policami za vzorce, ki jih je treba hraniti v tekočem mediju, in opremo za raziskovanje ribištva. Vključuje tudi radarsko opremo za spremljanje v realnem času. </w:t>
            </w:r>
          </w:p>
          <w:p w14:paraId="1D5FC4FC" w14:textId="27A90C32"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3.</w:t>
            </w:r>
            <w:r>
              <w:rPr>
                <w:rFonts w:ascii="Times New Roman" w:hAnsi="Times New Roman"/>
                <w:noProof/>
                <w:sz w:val="14"/>
              </w:rPr>
              <w:t xml:space="preserve"> </w:t>
            </w:r>
            <w:r>
              <w:rPr>
                <w:rFonts w:ascii="Calibri" w:hAnsi="Calibri"/>
                <w:noProof/>
                <w:sz w:val="16"/>
              </w:rPr>
              <w:t>Vozlišče pametnega oceana Peniche: vključno z gradnjo infrastrukture, znanstvenega in tehnološkega parka na območju ribiškega pristanišča Peniche, izgradnjo in uvedbo sistema za zbiranje in obdelavo slanih voda, odprtim prostorom za razširjanje pomorskega znanja.</w:t>
            </w:r>
          </w:p>
          <w:p w14:paraId="65B36634" w14:textId="1B45ACBD"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4.</w:t>
            </w:r>
            <w:r>
              <w:rPr>
                <w:rFonts w:ascii="Times New Roman" w:hAnsi="Times New Roman"/>
                <w:noProof/>
                <w:sz w:val="14"/>
              </w:rPr>
              <w:t xml:space="preserve"> </w:t>
            </w:r>
            <w:r>
              <w:rPr>
                <w:rFonts w:ascii="Calibri" w:hAnsi="Calibri"/>
                <w:noProof/>
                <w:sz w:val="16"/>
              </w:rPr>
              <w:t>Vozlišče Aveiro: vključno s podaljšanjem starega sistema za nasipanje, obdelavo in distribucijo morske vode, nacionalnim laboratorijem za razvoj in preskušanje ribiških proizvodov in proizvodov iz ribogojstva, proizvodnjo 5.0 laboratorija za alge in policiranje.</w:t>
            </w:r>
          </w:p>
          <w:p w14:paraId="62DA030E" w14:textId="5B008894"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5.</w:t>
            </w:r>
            <w:r>
              <w:rPr>
                <w:rFonts w:ascii="Times New Roman" w:hAnsi="Times New Roman"/>
                <w:noProof/>
                <w:sz w:val="14"/>
              </w:rPr>
              <w:t xml:space="preserve"> </w:t>
            </w:r>
            <w:r>
              <w:rPr>
                <w:rFonts w:ascii="Calibri" w:hAnsi="Calibri"/>
                <w:noProof/>
                <w:sz w:val="16"/>
              </w:rPr>
              <w:t>Vozlišče Ocean.Plus v Portu, Leixões I: vključno z naborom skupne infrastrukture za znanstveno skupnost za podporo raziskovalcem na vseh stopnjah znanstvenega in tehnološkega razvoja, od zasnove do razvoja prototipov, uvajanja preskusov na terenu, potrjevanja tehnologije in prenosa znanja, vključno z logistiko in oceanskimi platformami z enostavnim dostopom za znanstveno in inovativno skupnost.</w:t>
            </w:r>
          </w:p>
          <w:p w14:paraId="191EC3E9" w14:textId="3E847F44"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6.</w:t>
            </w:r>
            <w:r>
              <w:rPr>
                <w:rFonts w:ascii="Times New Roman" w:hAnsi="Times New Roman"/>
                <w:noProof/>
                <w:sz w:val="14"/>
              </w:rPr>
              <w:t xml:space="preserve"> </w:t>
            </w:r>
            <w:r>
              <w:rPr>
                <w:rFonts w:ascii="Calibri" w:hAnsi="Calibri"/>
                <w:noProof/>
                <w:sz w:val="16"/>
              </w:rPr>
              <w:t>Porto Hub/Leixões II: Center za poveljevanje in nadzor brezpilotnih vozil v podporo morju: vključno z večpodročnimi brezpilotnimi vozili (podpovršinskimi, površinskimi in dolgoročnimi zrakoplovi), opremljenimi s senzorji za merjenje bistvenih oceanskih spremenljivk (EoV), centrom za vodenje in kontrolo ter računalniškimi in komunikacijskimi sistemi.</w:t>
            </w:r>
          </w:p>
          <w:p w14:paraId="77BDFD13" w14:textId="7C1323F3" w:rsidR="00F24946" w:rsidRDefault="00613B06">
            <w:pPr>
              <w:keepNext/>
              <w:spacing w:before="40" w:after="0" w:line="240" w:lineRule="auto"/>
              <w:jc w:val="both"/>
              <w:rPr>
                <w:rFonts w:ascii="Calibri" w:eastAsia="Times New Roman" w:hAnsi="Calibri" w:cs="Calibri"/>
                <w:noProof/>
                <w:sz w:val="16"/>
              </w:rPr>
            </w:pPr>
            <w:r>
              <w:rPr>
                <w:rFonts w:ascii="Calibri" w:hAnsi="Calibri"/>
                <w:noProof/>
                <w:sz w:val="16"/>
              </w:rPr>
              <w:t>7.</w:t>
            </w:r>
            <w:r>
              <w:rPr>
                <w:rFonts w:ascii="Times New Roman" w:hAnsi="Times New Roman"/>
                <w:noProof/>
                <w:sz w:val="14"/>
              </w:rPr>
              <w:t xml:space="preserve"> </w:t>
            </w:r>
            <w:r>
              <w:rPr>
                <w:rFonts w:ascii="Calibri" w:hAnsi="Calibri"/>
                <w:noProof/>
                <w:sz w:val="16"/>
              </w:rPr>
              <w:t>Vozlišče Algarve: vključuje vzpostavitev nove infrastrukture in opreme, laboratorijev in pisarn, prostorov za nova podjetja (zmogljivost približno 15 podjetij in 90 delovnih mest) s poudarkom na modri biotehnologiji, akvakulturi, hrani in krmi ter morskih bioloških virih, razvoju proizvodov valorizacije in ustvarjanju znanja.</w:t>
            </w:r>
          </w:p>
          <w:p w14:paraId="7AE1994E" w14:textId="77777777" w:rsidR="00F24946" w:rsidRDefault="00613B06">
            <w:pPr>
              <w:pStyle w:val="P68B1DB1-Normal8"/>
              <w:keepNext/>
              <w:spacing w:before="40" w:after="0" w:line="240" w:lineRule="auto"/>
              <w:jc w:val="both"/>
              <w:rPr>
                <w:rFonts w:eastAsia="Times New Roman" w:cs="Calibri"/>
                <w:noProof/>
              </w:rPr>
            </w:pPr>
            <w:r>
              <w:rPr>
                <w:noProof/>
              </w:rPr>
              <w:t>Poslovni model in strokovna začasna poslovna ekipa za modro vozlišče se obnovita in zaposlita (vključno s šolo modrega vozlišča).</w:t>
            </w:r>
          </w:p>
          <w:p w14:paraId="30FFCC06" w14:textId="77777777" w:rsidR="00F24946" w:rsidRDefault="00613B06">
            <w:pPr>
              <w:pStyle w:val="P68B1DB1-Normal8"/>
              <w:keepNext/>
              <w:spacing w:before="40" w:after="0" w:line="240" w:lineRule="auto"/>
              <w:jc w:val="both"/>
              <w:rPr>
                <w:rFonts w:eastAsia="Times New Roman" w:cs="Calibri"/>
                <w:noProof/>
              </w:rPr>
            </w:pPr>
            <w:r>
              <w:rPr>
                <w:noProof/>
              </w:rPr>
              <w:t xml:space="preserve">Ta pobuda je del izvajanja nacionalne strategije za oceane za obdobje 2021–2030, in sicer v okviru strateških ciljev 1, 2, 3, 6, 7 in 9. </w:t>
            </w:r>
          </w:p>
          <w:p w14:paraId="1957099A" w14:textId="05570FBA" w:rsidR="00F24946" w:rsidRDefault="00613B06">
            <w:pPr>
              <w:pStyle w:val="P68B1DB1-Normal8"/>
              <w:keepNext/>
              <w:spacing w:before="40" w:after="0" w:line="240" w:lineRule="auto"/>
              <w:jc w:val="both"/>
              <w:rPr>
                <w:rFonts w:eastAsia="Times New Roman" w:cs="Calibri"/>
                <w:noProof/>
              </w:rPr>
            </w:pPr>
            <w:r>
              <w:rPr>
                <w:noProof/>
              </w:rPr>
              <w:t>Dokončanje zgoraj navedenega sledi potrditvi skladnosti s tehničnimi specifikacijami in pogodbenimi obveznostmi. 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476877EB" w14:textId="77777777">
        <w:trPr>
          <w:trHeight w:val="2116"/>
          <w:jc w:val="center"/>
        </w:trPr>
        <w:tc>
          <w:tcPr>
            <w:tcW w:w="1101" w:type="dxa"/>
            <w:shd w:val="clear" w:color="auto" w:fill="C4EFCE"/>
            <w:vAlign w:val="center"/>
            <w:hideMark/>
          </w:tcPr>
          <w:p w14:paraId="789549CF" w14:textId="77777777" w:rsidR="00F24946" w:rsidRDefault="00613B06">
            <w:pPr>
              <w:pStyle w:val="P68B1DB1-Normal7"/>
              <w:keepNext/>
              <w:spacing w:before="40" w:after="0" w:line="240" w:lineRule="auto"/>
              <w:jc w:val="center"/>
              <w:rPr>
                <w:rFonts w:eastAsia="Times New Roman" w:cs="Calibri"/>
                <w:noProof/>
              </w:rPr>
            </w:pPr>
            <w:r>
              <w:rPr>
                <w:noProof/>
              </w:rPr>
              <w:t>10.4</w:t>
            </w:r>
          </w:p>
        </w:tc>
        <w:tc>
          <w:tcPr>
            <w:tcW w:w="1231" w:type="dxa"/>
            <w:shd w:val="clear" w:color="auto" w:fill="C4EFCE"/>
            <w:noWrap/>
            <w:vAlign w:val="center"/>
            <w:hideMark/>
          </w:tcPr>
          <w:p w14:paraId="123D829D" w14:textId="77777777" w:rsidR="00F24946" w:rsidRDefault="00613B06">
            <w:pPr>
              <w:pStyle w:val="P68B1DB1-Normal8"/>
              <w:keepNext/>
              <w:spacing w:before="40" w:after="0" w:line="240" w:lineRule="auto"/>
              <w:jc w:val="center"/>
              <w:rPr>
                <w:rFonts w:eastAsia="Times New Roman" w:cs="Calibri"/>
                <w:noProof/>
              </w:rPr>
            </w:pPr>
            <w:r>
              <w:rPr>
                <w:noProof/>
              </w:rPr>
              <w:t>TC-C10-i02</w:t>
            </w:r>
          </w:p>
        </w:tc>
        <w:tc>
          <w:tcPr>
            <w:tcW w:w="1096" w:type="dxa"/>
            <w:shd w:val="clear" w:color="auto" w:fill="C4EFCE"/>
            <w:noWrap/>
            <w:vAlign w:val="center"/>
            <w:hideMark/>
          </w:tcPr>
          <w:p w14:paraId="5CC8709D" w14:textId="77777777" w:rsidR="00F24946" w:rsidRDefault="00613B06">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10951DFD" w14:textId="77777777" w:rsidR="00F24946" w:rsidRDefault="00613B06">
            <w:pPr>
              <w:pStyle w:val="P68B1DB1-Normal8"/>
              <w:keepNext/>
              <w:spacing w:before="40" w:after="0" w:line="240" w:lineRule="auto"/>
              <w:jc w:val="center"/>
              <w:rPr>
                <w:rFonts w:eastAsia="Times New Roman" w:cs="Calibri"/>
                <w:noProof/>
              </w:rPr>
            </w:pPr>
            <w:r>
              <w:rPr>
                <w:noProof/>
              </w:rPr>
              <w:t>Odobritev končnih poročil za 70 projektov v podporo inovacijam, energetskemu prehodu in zmanjšanju vpliva na okolje za subjekte v ribiškem sektorju</w:t>
            </w:r>
          </w:p>
        </w:tc>
        <w:tc>
          <w:tcPr>
            <w:tcW w:w="1231" w:type="dxa"/>
            <w:shd w:val="clear" w:color="auto" w:fill="C4EFCE"/>
            <w:noWrap/>
            <w:vAlign w:val="center"/>
            <w:hideMark/>
          </w:tcPr>
          <w:p w14:paraId="43AC3C6A"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41968F9D" w14:textId="77777777" w:rsidR="00F24946" w:rsidRDefault="00613B06">
            <w:pPr>
              <w:pStyle w:val="P68B1DB1-Normal8"/>
              <w:keepNext/>
              <w:spacing w:before="40" w:after="0" w:line="240" w:lineRule="auto"/>
              <w:jc w:val="center"/>
              <w:rPr>
                <w:rFonts w:eastAsia="Times New Roman" w:cs="Calibri"/>
                <w:noProof/>
              </w:rPr>
            </w:pPr>
            <w:r>
              <w:rPr>
                <w:noProof/>
              </w:rPr>
              <w:t xml:space="preserve">Število </w:t>
            </w:r>
          </w:p>
        </w:tc>
        <w:tc>
          <w:tcPr>
            <w:tcW w:w="961" w:type="dxa"/>
            <w:shd w:val="clear" w:color="auto" w:fill="C4EFCE"/>
            <w:noWrap/>
            <w:vAlign w:val="center"/>
            <w:hideMark/>
          </w:tcPr>
          <w:p w14:paraId="48106376" w14:textId="77777777" w:rsidR="00F24946" w:rsidRDefault="00613B06">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7C46F26" w14:textId="77777777" w:rsidR="00F24946" w:rsidRDefault="00613B06">
            <w:pPr>
              <w:pStyle w:val="P68B1DB1-Normal8"/>
              <w:keepNext/>
              <w:spacing w:before="40" w:after="0" w:line="240" w:lineRule="auto"/>
              <w:jc w:val="center"/>
              <w:rPr>
                <w:rFonts w:eastAsia="Times New Roman" w:cs="Calibri"/>
                <w:noProof/>
              </w:rPr>
            </w:pPr>
            <w:r>
              <w:rPr>
                <w:noProof/>
              </w:rPr>
              <w:t>70</w:t>
            </w:r>
          </w:p>
        </w:tc>
        <w:tc>
          <w:tcPr>
            <w:tcW w:w="554" w:type="dxa"/>
            <w:shd w:val="clear" w:color="auto" w:fill="C4EFCE"/>
            <w:noWrap/>
            <w:vAlign w:val="center"/>
            <w:hideMark/>
          </w:tcPr>
          <w:p w14:paraId="05E8D103"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4FA70926" w14:textId="77777777" w:rsidR="00F24946" w:rsidRDefault="00613B06">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5616E553" w14:textId="7802FC27" w:rsidR="00F24946" w:rsidRDefault="00613B06">
            <w:pPr>
              <w:pStyle w:val="P68B1DB1-Normal8"/>
              <w:keepNext/>
              <w:spacing w:before="40" w:after="0" w:line="240" w:lineRule="auto"/>
              <w:jc w:val="both"/>
              <w:rPr>
                <w:rFonts w:eastAsia="Times New Roman" w:cs="Calibri"/>
                <w:noProof/>
              </w:rPr>
            </w:pPr>
            <w:r>
              <w:rPr>
                <w:noProof/>
              </w:rPr>
              <w:t>Odobritev končnih poročil o izvajanju 70 projektov v podporo inovacijam, energetskemu prehodu in zmanjšanju vpliva na okolje za subjekte v ribiškem sektorju s strani DGRM-IFAP (Generalni direktorat za naravne vire, varnost in pomorske storitve). DGRM-IFAP meri kvantitativen napredek pri doseganju specifičnih ciljev, dogovorjenih ob dodelitvi osnovnega financiranja na podlagi dveh javnih razpisov, ki ju organizira DGRM-IFAP in naj bi se začeli izvajati v letih 2021 in 2022</w:t>
            </w:r>
            <w:r>
              <w:rPr>
                <w:noProof/>
                <w:shd w:val="clear" w:color="auto" w:fill="E6E6E6"/>
              </w:rPr>
              <w:t>.</w:t>
            </w:r>
          </w:p>
        </w:tc>
      </w:tr>
      <w:tr w:rsidR="00F24946" w14:paraId="7741B9D8" w14:textId="77777777">
        <w:trPr>
          <w:trHeight w:val="630"/>
          <w:jc w:val="center"/>
        </w:trPr>
        <w:tc>
          <w:tcPr>
            <w:tcW w:w="1101" w:type="dxa"/>
            <w:shd w:val="clear" w:color="auto" w:fill="C4EFCE"/>
            <w:vAlign w:val="center"/>
            <w:hideMark/>
          </w:tcPr>
          <w:p w14:paraId="39E27BD5" w14:textId="77777777" w:rsidR="00F24946" w:rsidRDefault="00613B06">
            <w:pPr>
              <w:pStyle w:val="P68B1DB1-Normal7"/>
              <w:keepNext/>
              <w:spacing w:before="40" w:after="0" w:line="240" w:lineRule="auto"/>
              <w:jc w:val="center"/>
              <w:rPr>
                <w:rFonts w:eastAsia="Times New Roman" w:cs="Calibri"/>
                <w:noProof/>
              </w:rPr>
            </w:pPr>
            <w:r>
              <w:rPr>
                <w:noProof/>
              </w:rPr>
              <w:t>10.8</w:t>
            </w:r>
          </w:p>
        </w:tc>
        <w:tc>
          <w:tcPr>
            <w:tcW w:w="1231" w:type="dxa"/>
            <w:shd w:val="clear" w:color="auto" w:fill="C4EFCE"/>
            <w:noWrap/>
            <w:vAlign w:val="center"/>
            <w:hideMark/>
          </w:tcPr>
          <w:p w14:paraId="40B57651" w14:textId="77777777" w:rsidR="00F24946" w:rsidRDefault="00613B06">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C88D666"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7895B9C7" w14:textId="2C5299C6" w:rsidR="00F24946" w:rsidRDefault="00613B06">
            <w:pPr>
              <w:pStyle w:val="P68B1DB1-Normal8"/>
              <w:keepNext/>
              <w:spacing w:before="40" w:after="0" w:line="240" w:lineRule="auto"/>
              <w:jc w:val="center"/>
              <w:rPr>
                <w:rFonts w:eastAsia="Times New Roman" w:cs="Calibri"/>
                <w:noProof/>
              </w:rPr>
            </w:pPr>
            <w:r>
              <w:rPr>
                <w:noProof/>
              </w:rPr>
              <w:t>Začetek pogodbe o javnih delih za tehnični center MARTEC</w:t>
            </w:r>
          </w:p>
        </w:tc>
        <w:tc>
          <w:tcPr>
            <w:tcW w:w="1231" w:type="dxa"/>
            <w:shd w:val="clear" w:color="auto" w:fill="C4EFCE"/>
            <w:noWrap/>
            <w:vAlign w:val="center"/>
            <w:hideMark/>
          </w:tcPr>
          <w:p w14:paraId="23050660" w14:textId="1D88FF3D" w:rsidR="00F24946" w:rsidRDefault="00613B06">
            <w:pPr>
              <w:pStyle w:val="P68B1DB1-Normal8"/>
              <w:keepNext/>
              <w:spacing w:before="40" w:after="0" w:line="240" w:lineRule="auto"/>
              <w:jc w:val="center"/>
              <w:rPr>
                <w:rFonts w:eastAsia="Times New Roman" w:cs="Calibri"/>
                <w:noProof/>
              </w:rPr>
            </w:pPr>
            <w:r>
              <w:rPr>
                <w:noProof/>
              </w:rPr>
              <w:t>Začetek gradbenih del za tehnični center MARTEC</w:t>
            </w:r>
          </w:p>
        </w:tc>
        <w:tc>
          <w:tcPr>
            <w:tcW w:w="962" w:type="dxa"/>
            <w:shd w:val="clear" w:color="auto" w:fill="C4EFCE"/>
            <w:noWrap/>
            <w:vAlign w:val="center"/>
            <w:hideMark/>
          </w:tcPr>
          <w:p w14:paraId="12D246C0"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27F0FE3B"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355E60A"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166E7D8"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13D93DFC" w14:textId="0E0F7803" w:rsidR="00F24946" w:rsidRDefault="00613B06">
            <w:pPr>
              <w:pStyle w:val="P68B1DB1-Normal8"/>
              <w:keepNext/>
              <w:spacing w:before="40" w:after="0" w:line="240" w:lineRule="auto"/>
              <w:jc w:val="center"/>
              <w:rPr>
                <w:rFonts w:eastAsia="Times New Roman" w:cs="Calibri"/>
                <w:noProof/>
              </w:rPr>
            </w:pPr>
            <w:r>
              <w:rPr>
                <w:noProof/>
              </w:rPr>
              <w:t>2023</w:t>
            </w:r>
          </w:p>
        </w:tc>
        <w:tc>
          <w:tcPr>
            <w:tcW w:w="5223" w:type="dxa"/>
            <w:shd w:val="clear" w:color="auto" w:fill="C4EFCE"/>
            <w:vAlign w:val="center"/>
            <w:hideMark/>
          </w:tcPr>
          <w:p w14:paraId="7652F711" w14:textId="77777777" w:rsidR="00F24946" w:rsidRDefault="00613B06">
            <w:pPr>
              <w:pStyle w:val="P68B1DB1-Normal8"/>
              <w:keepNext/>
              <w:spacing w:before="40" w:after="0" w:line="240" w:lineRule="auto"/>
              <w:jc w:val="both"/>
              <w:rPr>
                <w:rFonts w:eastAsia="Times New Roman" w:cs="Calibri"/>
                <w:noProof/>
              </w:rPr>
            </w:pPr>
            <w:r>
              <w:rPr>
                <w:noProof/>
              </w:rPr>
              <w:t xml:space="preserve">Začetek gradbenih del infrastrukture za Technopolo MARTEC (vključno z nakupom zemljišč in rušenjem obstoječe infrastrukture) na otoku Faial, ki bo končan leta 2025 kot del eksperimentalnega in razvojnega centra, povezanega z morjem na Azorih. </w:t>
            </w:r>
          </w:p>
          <w:p w14:paraId="6E6AE8E6" w14:textId="77777777" w:rsidR="00F24946" w:rsidRDefault="00613B06">
            <w:pPr>
              <w:pStyle w:val="P68B1DB1-Normal8"/>
              <w:keepNext/>
              <w:spacing w:before="40" w:after="0" w:line="240" w:lineRule="auto"/>
              <w:jc w:val="both"/>
              <w:rPr>
                <w:rFonts w:eastAsia="Times New Roman" w:cs="Calibri"/>
                <w:noProof/>
              </w:rPr>
            </w:pPr>
            <w:r>
              <w:rPr>
                <w:noProof/>
              </w:rPr>
              <w:t>Vključuje modri inkubator (z najmanj 6 500 m²), akvakulturni center (najmanj 2 000 m²) in potrebno opremo (med drugim splošno opremo ter namestitev poskusnega centra in postaje za raziskave na področju ribogojstva).</w:t>
            </w:r>
          </w:p>
          <w:p w14:paraId="102BB169" w14:textId="1675BC9D" w:rsidR="00F24946" w:rsidRDefault="00613B06">
            <w:pPr>
              <w:pStyle w:val="P68B1DB1-Normal8"/>
              <w:keepNext/>
              <w:spacing w:before="40" w:after="0" w:line="240" w:lineRule="auto"/>
              <w:jc w:val="both"/>
              <w:rPr>
                <w:rFonts w:eastAsia="Times New Roman" w:cs="Calibri"/>
                <w:noProof/>
              </w:rPr>
            </w:pPr>
            <w:r>
              <w:rPr>
                <w:noProof/>
              </w:rPr>
              <w:t>Potrebe po primarni energiji za nove stavbe so za vsaj 20 % nižje od potreb stavb s skoraj nično porabo energije.</w:t>
            </w:r>
          </w:p>
        </w:tc>
      </w:tr>
      <w:tr w:rsidR="00F24946" w14:paraId="5F9977DC" w14:textId="77777777">
        <w:trPr>
          <w:trHeight w:val="1060"/>
          <w:jc w:val="center"/>
        </w:trPr>
        <w:tc>
          <w:tcPr>
            <w:tcW w:w="1101" w:type="dxa"/>
            <w:shd w:val="clear" w:color="auto" w:fill="C4EFCE"/>
            <w:vAlign w:val="center"/>
            <w:hideMark/>
          </w:tcPr>
          <w:p w14:paraId="5F48BC21" w14:textId="77777777" w:rsidR="00F24946" w:rsidRDefault="00613B06">
            <w:pPr>
              <w:pStyle w:val="P68B1DB1-Normal7"/>
              <w:keepNext/>
              <w:spacing w:before="40" w:after="0" w:line="240" w:lineRule="auto"/>
              <w:jc w:val="center"/>
              <w:rPr>
                <w:rFonts w:eastAsia="Times New Roman" w:cs="Calibri"/>
                <w:noProof/>
              </w:rPr>
            </w:pPr>
            <w:r>
              <w:rPr>
                <w:noProof/>
              </w:rPr>
              <w:t>10.9</w:t>
            </w:r>
          </w:p>
        </w:tc>
        <w:tc>
          <w:tcPr>
            <w:tcW w:w="1231" w:type="dxa"/>
            <w:shd w:val="clear" w:color="auto" w:fill="C4EFCE"/>
            <w:noWrap/>
            <w:vAlign w:val="center"/>
            <w:hideMark/>
          </w:tcPr>
          <w:p w14:paraId="04663115" w14:textId="77777777" w:rsidR="00F24946" w:rsidRDefault="00613B06">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5F75A61A" w14:textId="77777777" w:rsidR="00F24946" w:rsidRDefault="00613B06">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3F722B7B" w14:textId="77777777" w:rsidR="00F24946" w:rsidRDefault="00613B06">
            <w:pPr>
              <w:pStyle w:val="P68B1DB1-Normal8"/>
              <w:keepNext/>
              <w:spacing w:before="40" w:after="0" w:line="240" w:lineRule="auto"/>
              <w:jc w:val="center"/>
              <w:rPr>
                <w:rFonts w:eastAsia="Times New Roman" w:cs="Calibri"/>
                <w:noProof/>
              </w:rPr>
            </w:pPr>
            <w:r>
              <w:rPr>
                <w:noProof/>
              </w:rPr>
              <w:t xml:space="preserve">Dobava raziskovalnega plovila </w:t>
            </w:r>
          </w:p>
        </w:tc>
        <w:tc>
          <w:tcPr>
            <w:tcW w:w="1231" w:type="dxa"/>
            <w:shd w:val="clear" w:color="auto" w:fill="C4EFCE"/>
            <w:noWrap/>
            <w:vAlign w:val="center"/>
            <w:hideMark/>
          </w:tcPr>
          <w:p w14:paraId="19FAE713" w14:textId="77777777" w:rsidR="00F24946" w:rsidRDefault="00613B06">
            <w:pPr>
              <w:pStyle w:val="P68B1DB1-Normal8"/>
              <w:keepNext/>
              <w:spacing w:before="40" w:after="0" w:line="240" w:lineRule="auto"/>
              <w:jc w:val="center"/>
              <w:rPr>
                <w:rFonts w:eastAsia="Times New Roman" w:cs="Calibri"/>
                <w:noProof/>
              </w:rPr>
            </w:pPr>
            <w:r>
              <w:rPr>
                <w:noProof/>
              </w:rPr>
              <w:t xml:space="preserve"> Dobava raziskovalnega plovila</w:t>
            </w:r>
          </w:p>
        </w:tc>
        <w:tc>
          <w:tcPr>
            <w:tcW w:w="962" w:type="dxa"/>
            <w:shd w:val="clear" w:color="auto" w:fill="C4EFCE"/>
            <w:noWrap/>
            <w:vAlign w:val="center"/>
            <w:hideMark/>
          </w:tcPr>
          <w:p w14:paraId="497F9221"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3E15C7BE"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49C9000"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654D30E1" w14:textId="027BD054" w:rsidR="00F24946" w:rsidRDefault="00613B06">
            <w:pPr>
              <w:pStyle w:val="P68B1DB1-Normal8"/>
              <w:keepNext/>
              <w:spacing w:before="40" w:after="0" w:line="240" w:lineRule="auto"/>
              <w:jc w:val="center"/>
              <w:rPr>
                <w:rFonts w:eastAsia="Times New Roman" w:cs="Calibri"/>
                <w:noProof/>
              </w:rPr>
            </w:pPr>
            <w:r>
              <w:rPr>
                <w:noProof/>
              </w:rPr>
              <w:t>Q4</w:t>
            </w:r>
          </w:p>
        </w:tc>
        <w:tc>
          <w:tcPr>
            <w:tcW w:w="684" w:type="dxa"/>
            <w:shd w:val="clear" w:color="auto" w:fill="C4EFCE"/>
            <w:noWrap/>
            <w:vAlign w:val="center"/>
            <w:hideMark/>
          </w:tcPr>
          <w:p w14:paraId="5D59229F" w14:textId="1FE12986" w:rsidR="00F24946" w:rsidRDefault="00613B06">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3F920368" w14:textId="7AA2937D" w:rsidR="00F24946" w:rsidRDefault="00613B06">
            <w:pPr>
              <w:pStyle w:val="P68B1DB1-Normal8"/>
              <w:keepNext/>
              <w:spacing w:before="40" w:after="0" w:line="240" w:lineRule="auto"/>
              <w:jc w:val="both"/>
              <w:rPr>
                <w:rFonts w:eastAsia="Times New Roman" w:cs="Calibri"/>
                <w:noProof/>
              </w:rPr>
            </w:pPr>
            <w:r>
              <w:rPr>
                <w:noProof/>
              </w:rPr>
              <w:t>Dobava sodobnega raziskovalnega plovila. Lahko deluje v velikih globinah, vključuje sodobno raziskovalno opremo in opremo za podatkovno komunikacijo, dinamično določanje položaja, upravljanje plovil za daljinsko upravljanje, pelagična omrežja, strgače, strgače, jedro škatle z visokimi tehnološkimi standardi v smislu zmogljivosti in opreme z visoko energetsko učinkovitostjo, da se izpolnijo trenutne potrebe na področju pomorskih raziskav in spremljanja ali spodbujanja trajnostne rabe oceanov.</w:t>
            </w:r>
          </w:p>
        </w:tc>
      </w:tr>
      <w:tr w:rsidR="00F24946" w14:paraId="622F6723" w14:textId="77777777">
        <w:trPr>
          <w:trHeight w:val="1060"/>
          <w:jc w:val="center"/>
        </w:trPr>
        <w:tc>
          <w:tcPr>
            <w:tcW w:w="1101" w:type="dxa"/>
            <w:shd w:val="clear" w:color="auto" w:fill="C4EFCE"/>
            <w:vAlign w:val="center"/>
          </w:tcPr>
          <w:p w14:paraId="42689895" w14:textId="717581FE" w:rsidR="00F24946" w:rsidRDefault="00613B06">
            <w:pPr>
              <w:pStyle w:val="P68B1DB1-Normal11"/>
              <w:keepNext/>
              <w:spacing w:before="40" w:after="0" w:line="240" w:lineRule="auto"/>
              <w:jc w:val="center"/>
              <w:rPr>
                <w:rFonts w:eastAsia="Times New Roman"/>
                <w:noProof/>
              </w:rPr>
            </w:pPr>
            <w:r>
              <w:rPr>
                <w:noProof/>
              </w:rPr>
              <w:t>10.11</w:t>
            </w:r>
          </w:p>
        </w:tc>
        <w:tc>
          <w:tcPr>
            <w:tcW w:w="1231" w:type="dxa"/>
            <w:shd w:val="clear" w:color="auto" w:fill="C4EFCE"/>
            <w:noWrap/>
            <w:vAlign w:val="center"/>
          </w:tcPr>
          <w:p w14:paraId="41B255A2" w14:textId="2496DE23" w:rsidR="00F24946" w:rsidRDefault="00613B06">
            <w:pPr>
              <w:pStyle w:val="P68B1DB1-Normal12"/>
              <w:keepNext/>
              <w:spacing w:before="40" w:after="0" w:line="240" w:lineRule="auto"/>
              <w:jc w:val="center"/>
              <w:rPr>
                <w:rFonts w:eastAsia="Times New Roman" w:cstheme="minorHAnsi"/>
                <w:noProof/>
              </w:rPr>
            </w:pPr>
            <w:r>
              <w:rPr>
                <w:noProof/>
              </w:rPr>
              <w:t xml:space="preserve"> TC-C10-i04-RAA</w:t>
            </w:r>
          </w:p>
        </w:tc>
        <w:tc>
          <w:tcPr>
            <w:tcW w:w="1096" w:type="dxa"/>
            <w:shd w:val="clear" w:color="auto" w:fill="C4EFCE"/>
            <w:noWrap/>
            <w:vAlign w:val="center"/>
          </w:tcPr>
          <w:p w14:paraId="718C08F5" w14:textId="0ECD9053" w:rsidR="00F24946" w:rsidRDefault="00613B06">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440886E" w14:textId="5BA56187" w:rsidR="00F24946" w:rsidRDefault="00613B06">
            <w:pPr>
              <w:pStyle w:val="P68B1DB1-Normal12"/>
              <w:keepNext/>
              <w:spacing w:before="40" w:after="0" w:line="240" w:lineRule="auto"/>
              <w:jc w:val="center"/>
              <w:rPr>
                <w:rFonts w:eastAsia="Arial" w:cstheme="minorHAnsi"/>
                <w:noProof/>
              </w:rPr>
            </w:pPr>
            <w:r>
              <w:rPr>
                <w:noProof/>
              </w:rPr>
              <w:t xml:space="preserve">Dobava dveh modulov za novo raziskovalno plovilo </w:t>
            </w:r>
          </w:p>
        </w:tc>
        <w:tc>
          <w:tcPr>
            <w:tcW w:w="1231" w:type="dxa"/>
            <w:shd w:val="clear" w:color="auto" w:fill="C4EFCE"/>
            <w:noWrap/>
            <w:vAlign w:val="center"/>
          </w:tcPr>
          <w:p w14:paraId="5ABEAD50" w14:textId="3E3B82CC" w:rsidR="00F24946" w:rsidRDefault="00613B06">
            <w:pPr>
              <w:pStyle w:val="P68B1DB1-Normal12"/>
              <w:keepNext/>
              <w:spacing w:before="40" w:after="0" w:line="240" w:lineRule="auto"/>
              <w:jc w:val="center"/>
              <w:rPr>
                <w:rFonts w:eastAsia="Times New Roman" w:cstheme="minorHAnsi"/>
                <w:noProof/>
              </w:rPr>
            </w:pPr>
            <w:r>
              <w:rPr>
                <w:noProof/>
              </w:rPr>
              <w:t>Dobava dveh modulov za novo raziskovalno plovilo</w:t>
            </w:r>
          </w:p>
        </w:tc>
        <w:tc>
          <w:tcPr>
            <w:tcW w:w="962" w:type="dxa"/>
            <w:shd w:val="clear" w:color="auto" w:fill="C4EFCE"/>
            <w:noWrap/>
            <w:vAlign w:val="center"/>
          </w:tcPr>
          <w:p w14:paraId="600BCF98" w14:textId="77777777" w:rsidR="00F24946" w:rsidRDefault="00F24946">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4027EBE3" w14:textId="1E059CAD" w:rsidR="00F24946" w:rsidRDefault="00F24946">
            <w:pPr>
              <w:keepNext/>
              <w:spacing w:before="40" w:after="0" w:line="240" w:lineRule="auto"/>
              <w:jc w:val="center"/>
              <w:rPr>
                <w:rFonts w:cstheme="minorHAnsi"/>
                <w:noProof/>
                <w:sz w:val="16"/>
              </w:rPr>
            </w:pPr>
          </w:p>
        </w:tc>
        <w:tc>
          <w:tcPr>
            <w:tcW w:w="690" w:type="dxa"/>
            <w:shd w:val="clear" w:color="auto" w:fill="C4EFCE"/>
            <w:noWrap/>
            <w:vAlign w:val="center"/>
          </w:tcPr>
          <w:p w14:paraId="56912BFF" w14:textId="585868F2" w:rsidR="00F24946" w:rsidRDefault="00F24946">
            <w:pPr>
              <w:keepNext/>
              <w:spacing w:before="40" w:after="0" w:line="240" w:lineRule="auto"/>
              <w:jc w:val="center"/>
              <w:rPr>
                <w:rFonts w:cstheme="minorHAnsi"/>
                <w:noProof/>
                <w:sz w:val="16"/>
              </w:rPr>
            </w:pPr>
          </w:p>
        </w:tc>
        <w:tc>
          <w:tcPr>
            <w:tcW w:w="554" w:type="dxa"/>
            <w:shd w:val="clear" w:color="auto" w:fill="C4EFCE"/>
            <w:noWrap/>
            <w:vAlign w:val="center"/>
          </w:tcPr>
          <w:p w14:paraId="1A51A8E2" w14:textId="5CF011EB" w:rsidR="00F24946" w:rsidRDefault="00613B06">
            <w:pPr>
              <w:pStyle w:val="P68B1DB1-Normal12"/>
              <w:keepNext/>
              <w:spacing w:before="40" w:after="0" w:line="240" w:lineRule="auto"/>
              <w:jc w:val="center"/>
              <w:rPr>
                <w:rFonts w:eastAsia="Arial" w:cstheme="minorHAnsi"/>
                <w:noProof/>
              </w:rPr>
            </w:pPr>
            <w:r>
              <w:rPr>
                <w:noProof/>
              </w:rPr>
              <w:t>Q2</w:t>
            </w:r>
          </w:p>
        </w:tc>
        <w:tc>
          <w:tcPr>
            <w:tcW w:w="684" w:type="dxa"/>
            <w:shd w:val="clear" w:color="auto" w:fill="C4EFCE"/>
            <w:noWrap/>
            <w:vAlign w:val="center"/>
          </w:tcPr>
          <w:p w14:paraId="49C8B85F" w14:textId="00EC4422" w:rsidR="00F24946" w:rsidRDefault="00613B06">
            <w:pPr>
              <w:pStyle w:val="P68B1DB1-Normal12"/>
              <w:keepNext/>
              <w:spacing w:before="40" w:after="0" w:line="240" w:lineRule="auto"/>
              <w:jc w:val="center"/>
              <w:rPr>
                <w:rFonts w:eastAsia="Arial" w:cstheme="minorHAnsi"/>
                <w:noProof/>
              </w:rPr>
            </w:pPr>
            <w:r>
              <w:rPr>
                <w:noProof/>
              </w:rPr>
              <w:t>2026</w:t>
            </w:r>
          </w:p>
        </w:tc>
        <w:tc>
          <w:tcPr>
            <w:tcW w:w="5223" w:type="dxa"/>
            <w:shd w:val="clear" w:color="auto" w:fill="C4EFCE"/>
            <w:vAlign w:val="center"/>
          </w:tcPr>
          <w:p w14:paraId="3455FF49" w14:textId="02FE8514" w:rsidR="00F24946" w:rsidRDefault="00613B06">
            <w:pPr>
              <w:pStyle w:val="P68B1DB1-Normal12"/>
              <w:keepNext/>
              <w:spacing w:before="40" w:after="0" w:line="240" w:lineRule="auto"/>
              <w:jc w:val="both"/>
              <w:rPr>
                <w:rFonts w:eastAsia="Calibri" w:cstheme="minorHAnsi"/>
                <w:noProof/>
              </w:rPr>
            </w:pPr>
            <w:r>
              <w:rPr>
                <w:noProof/>
              </w:rPr>
              <w:t>Zagotavljanje dveh modulov za nove raziskave plovil: 1 Module ROV in 1 Modul opreme za ribolov z vlečnimi mrežami</w:t>
            </w:r>
          </w:p>
        </w:tc>
      </w:tr>
      <w:tr w:rsidR="00F24946" w14:paraId="4ED5D0BF" w14:textId="77777777">
        <w:trPr>
          <w:trHeight w:val="61"/>
          <w:jc w:val="center"/>
        </w:trPr>
        <w:tc>
          <w:tcPr>
            <w:tcW w:w="1101" w:type="dxa"/>
            <w:shd w:val="clear" w:color="auto" w:fill="C4EFCE"/>
            <w:vAlign w:val="center"/>
            <w:hideMark/>
          </w:tcPr>
          <w:p w14:paraId="1D980CEA" w14:textId="4E2C1C4E" w:rsidR="00F24946" w:rsidRDefault="00613B06">
            <w:pPr>
              <w:pStyle w:val="P68B1DB1-Normal7"/>
              <w:keepNext/>
              <w:spacing w:before="40" w:after="0" w:line="240" w:lineRule="auto"/>
              <w:jc w:val="center"/>
              <w:rPr>
                <w:rFonts w:eastAsia="Times New Roman" w:cs="Calibri"/>
                <w:noProof/>
              </w:rPr>
            </w:pPr>
            <w:r>
              <w:rPr>
                <w:noProof/>
              </w:rPr>
              <w:t>10.10</w:t>
            </w:r>
          </w:p>
        </w:tc>
        <w:tc>
          <w:tcPr>
            <w:tcW w:w="1231" w:type="dxa"/>
            <w:shd w:val="clear" w:color="auto" w:fill="C4EFCE"/>
            <w:noWrap/>
            <w:vAlign w:val="center"/>
            <w:hideMark/>
          </w:tcPr>
          <w:p w14:paraId="6D342640" w14:textId="77777777" w:rsidR="00F24946" w:rsidRDefault="00613B06">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4AC5CC4" w14:textId="77777777" w:rsidR="00F24946" w:rsidRDefault="00613B06">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636F73E3" w14:textId="16AB0CF0" w:rsidR="00F24946" w:rsidRDefault="00613B06">
            <w:pPr>
              <w:pStyle w:val="P68B1DB1-Normal8"/>
              <w:keepNext/>
              <w:spacing w:before="40" w:after="0" w:line="240" w:lineRule="auto"/>
              <w:jc w:val="center"/>
              <w:rPr>
                <w:rFonts w:eastAsia="Times New Roman" w:cs="Calibri"/>
                <w:noProof/>
              </w:rPr>
            </w:pPr>
            <w:r>
              <w:rPr>
                <w:noProof/>
              </w:rPr>
              <w:t>Operacionalizacija eksperimentalnega raziskovalnega in razvojnega centra, povezanega z morjem na Azorih (središče MARTEC)</w:t>
            </w:r>
          </w:p>
        </w:tc>
        <w:tc>
          <w:tcPr>
            <w:tcW w:w="1231" w:type="dxa"/>
            <w:shd w:val="clear" w:color="auto" w:fill="C4EFCE"/>
            <w:noWrap/>
            <w:vAlign w:val="center"/>
            <w:hideMark/>
          </w:tcPr>
          <w:p w14:paraId="45BDBD81" w14:textId="41D58349" w:rsidR="00F24946" w:rsidRDefault="00613B06">
            <w:pPr>
              <w:pStyle w:val="P68B1DB1-Normal8"/>
              <w:keepNext/>
              <w:spacing w:before="40" w:after="0" w:line="240" w:lineRule="auto"/>
              <w:jc w:val="center"/>
              <w:rPr>
                <w:rFonts w:eastAsia="Times New Roman" w:cs="Calibri"/>
                <w:noProof/>
              </w:rPr>
            </w:pPr>
            <w:r>
              <w:rPr>
                <w:noProof/>
              </w:rPr>
              <w:t>Operacionalizacija eksperimentalnega raziskovalnega in razvojnega centra, povezanega z morjem na Azorih (središče MARTEC)</w:t>
            </w:r>
          </w:p>
        </w:tc>
        <w:tc>
          <w:tcPr>
            <w:tcW w:w="962" w:type="dxa"/>
            <w:shd w:val="clear" w:color="auto" w:fill="C4EFCE"/>
            <w:noWrap/>
            <w:vAlign w:val="center"/>
            <w:hideMark/>
          </w:tcPr>
          <w:p w14:paraId="1B1BE93D"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18CF87CE"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C99979D"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5B5A6190" w14:textId="371A61A9" w:rsidR="00F24946" w:rsidRDefault="00613B06">
            <w:pPr>
              <w:pStyle w:val="P68B1DB1-Normal8"/>
              <w:keepNext/>
              <w:spacing w:before="40" w:after="0" w:line="240" w:lineRule="auto"/>
              <w:jc w:val="center"/>
              <w:rPr>
                <w:rFonts w:eastAsia="Times New Roman" w:cs="Calibri"/>
                <w:noProof/>
              </w:rPr>
            </w:pPr>
            <w:r>
              <w:rPr>
                <w:noProof/>
              </w:rPr>
              <w:t>Q2</w:t>
            </w:r>
          </w:p>
        </w:tc>
        <w:tc>
          <w:tcPr>
            <w:tcW w:w="684" w:type="dxa"/>
            <w:shd w:val="clear" w:color="auto" w:fill="C4EFCE"/>
            <w:noWrap/>
            <w:vAlign w:val="center"/>
            <w:hideMark/>
          </w:tcPr>
          <w:p w14:paraId="355DB126" w14:textId="0A215794" w:rsidR="00F24946" w:rsidRDefault="00613B06">
            <w:pPr>
              <w:pStyle w:val="P68B1DB1-Normal8"/>
              <w:keepNext/>
              <w:spacing w:before="40" w:after="0" w:line="240" w:lineRule="auto"/>
              <w:jc w:val="center"/>
              <w:rPr>
                <w:rFonts w:eastAsia="Times New Roman" w:cs="Calibri"/>
                <w:noProof/>
              </w:rPr>
            </w:pPr>
            <w:r>
              <w:rPr>
                <w:noProof/>
              </w:rPr>
              <w:t>2026</w:t>
            </w:r>
          </w:p>
        </w:tc>
        <w:tc>
          <w:tcPr>
            <w:tcW w:w="5223" w:type="dxa"/>
            <w:shd w:val="clear" w:color="auto" w:fill="C4EFCE"/>
            <w:vAlign w:val="center"/>
            <w:hideMark/>
          </w:tcPr>
          <w:p w14:paraId="3E083202" w14:textId="4E0D2C48" w:rsidR="00F24946" w:rsidRDefault="00613B06">
            <w:pPr>
              <w:pStyle w:val="P68B1DB1-Normal9"/>
              <w:keepNext/>
              <w:spacing w:before="40" w:after="0" w:line="240" w:lineRule="auto"/>
              <w:jc w:val="both"/>
              <w:rPr>
                <w:rFonts w:eastAsia="Times New Roman" w:cs="Calibri"/>
                <w:noProof/>
                <w:sz w:val="16"/>
              </w:rPr>
            </w:pPr>
            <w:r>
              <w:rPr>
                <w:noProof/>
                <w:sz w:val="4"/>
              </w:rPr>
              <w:t> </w:t>
            </w:r>
            <w:r>
              <w:rPr>
                <w:noProof/>
                <w:sz w:val="16"/>
              </w:rPr>
              <w:t xml:space="preserve">Ustanovitev in operacionalizacija eksperimentalnega raziskovalnega in razvojnega centra, povezanega z morjem, ki ga je mogoče deliti z institucijami znanstvenega in tehnološkega sistema Azorov in podjetji, ki je odgovoren za raziskave in razvoj na tradicionalnih in nastajajočih območjih, kot so ribištvo in proizvodi iz njih, akvakultura, morska biotehnologija, biomateriali ali pomorske tehnologije in naprave. Operacionalizacija centra (tehnični center MARTEC), ki se nahaja na otoku Faial. </w:t>
            </w:r>
          </w:p>
          <w:p w14:paraId="6661BE7E" w14:textId="06F54DE1" w:rsidR="00F24946" w:rsidRDefault="00613B06">
            <w:pPr>
              <w:pStyle w:val="P68B1DB1-Normal8"/>
              <w:keepNext/>
              <w:spacing w:before="40" w:after="0" w:line="240" w:lineRule="auto"/>
              <w:jc w:val="both"/>
              <w:rPr>
                <w:rFonts w:eastAsia="Times New Roman" w:cs="Calibri"/>
                <w:noProof/>
              </w:rPr>
            </w:pPr>
            <w:r>
              <w:rPr>
                <w:noProof/>
              </w:rPr>
              <w:t>Potrebe po primarni energiji za nove stavbe so za vsaj 20 % nižje od potreb stavb s skoraj nično porabo energije.</w:t>
            </w:r>
          </w:p>
        </w:tc>
      </w:tr>
      <w:tr w:rsidR="00F24946" w14:paraId="3E3DE191" w14:textId="77777777">
        <w:trPr>
          <w:trHeight w:val="61"/>
          <w:jc w:val="center"/>
        </w:trPr>
        <w:tc>
          <w:tcPr>
            <w:tcW w:w="1101" w:type="dxa"/>
            <w:shd w:val="clear" w:color="auto" w:fill="C4EFCE"/>
            <w:vAlign w:val="center"/>
          </w:tcPr>
          <w:p w14:paraId="26903038" w14:textId="0E90B29C" w:rsidR="00F24946" w:rsidRDefault="00613B06">
            <w:pPr>
              <w:pStyle w:val="P68B1DB1-Normal11"/>
              <w:keepNext/>
              <w:spacing w:after="0" w:line="240" w:lineRule="auto"/>
              <w:jc w:val="center"/>
              <w:rPr>
                <w:noProof/>
              </w:rPr>
            </w:pPr>
            <w:r>
              <w:rPr>
                <w:noProof/>
              </w:rPr>
              <w:t>10.12</w:t>
            </w:r>
          </w:p>
        </w:tc>
        <w:tc>
          <w:tcPr>
            <w:tcW w:w="1231" w:type="dxa"/>
            <w:shd w:val="clear" w:color="auto" w:fill="C4EFCE"/>
            <w:noWrap/>
            <w:vAlign w:val="center"/>
          </w:tcPr>
          <w:p w14:paraId="0496A8A4" w14:textId="19D8C5CA" w:rsidR="00F24946" w:rsidRDefault="00613B06">
            <w:pPr>
              <w:pStyle w:val="P68B1DB1-Normal12"/>
              <w:keepNext/>
              <w:spacing w:after="0" w:line="240" w:lineRule="auto"/>
              <w:jc w:val="center"/>
              <w:rPr>
                <w:rFonts w:eastAsia="Times New Roman" w:cstheme="minorHAnsi"/>
                <w:noProof/>
              </w:rPr>
            </w:pPr>
            <w:r>
              <w:rPr>
                <w:noProof/>
              </w:rPr>
              <w:t>TC-C10-i05-RAA</w:t>
            </w:r>
          </w:p>
        </w:tc>
        <w:tc>
          <w:tcPr>
            <w:tcW w:w="1096" w:type="dxa"/>
            <w:shd w:val="clear" w:color="auto" w:fill="C4EFCE"/>
            <w:noWrap/>
            <w:vAlign w:val="center"/>
          </w:tcPr>
          <w:p w14:paraId="22D05C51" w14:textId="779F89BB" w:rsidR="00F24946" w:rsidRDefault="00613B06">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2E7266DE" w14:textId="3E73B555" w:rsidR="00F24946" w:rsidRDefault="00613B06">
            <w:pPr>
              <w:pStyle w:val="P68B1DB1-Normal12"/>
              <w:keepNext/>
              <w:spacing w:after="0" w:line="240" w:lineRule="auto"/>
              <w:jc w:val="center"/>
              <w:rPr>
                <w:rFonts w:eastAsia="Times New Roman" w:cstheme="minorHAnsi"/>
                <w:noProof/>
              </w:rPr>
            </w:pPr>
            <w:r>
              <w:rPr>
                <w:noProof/>
              </w:rPr>
              <w:t xml:space="preserve">Zaključek projektov v sektorju ribištva in akvakulture </w:t>
            </w:r>
          </w:p>
        </w:tc>
        <w:tc>
          <w:tcPr>
            <w:tcW w:w="1231" w:type="dxa"/>
            <w:shd w:val="clear" w:color="auto" w:fill="C4EFCE"/>
            <w:noWrap/>
            <w:vAlign w:val="center"/>
          </w:tcPr>
          <w:p w14:paraId="75E12B83" w14:textId="77777777" w:rsidR="00F24946" w:rsidRDefault="00F24946">
            <w:pPr>
              <w:keepNext/>
              <w:spacing w:after="0" w:line="240" w:lineRule="auto"/>
              <w:jc w:val="center"/>
              <w:rPr>
                <w:rFonts w:eastAsia="Times New Roman" w:cstheme="minorHAnsi"/>
                <w:noProof/>
                <w:sz w:val="16"/>
              </w:rPr>
            </w:pPr>
          </w:p>
        </w:tc>
        <w:tc>
          <w:tcPr>
            <w:tcW w:w="962" w:type="dxa"/>
            <w:shd w:val="clear" w:color="auto" w:fill="C4EFCE"/>
            <w:noWrap/>
            <w:vAlign w:val="center"/>
          </w:tcPr>
          <w:p w14:paraId="5A4F2AC3" w14:textId="78005504" w:rsidR="00F24946" w:rsidRDefault="00613B06">
            <w:pPr>
              <w:pStyle w:val="P68B1DB1-Normal12"/>
              <w:keepNext/>
              <w:spacing w:after="0" w:line="240" w:lineRule="auto"/>
              <w:jc w:val="center"/>
              <w:rPr>
                <w:rFonts w:eastAsia="Times New Roman" w:cstheme="minorHAnsi"/>
                <w:noProof/>
              </w:rPr>
            </w:pPr>
            <w:r>
              <w:rPr>
                <w:noProof/>
              </w:rPr>
              <w:t>Število</w:t>
            </w:r>
          </w:p>
        </w:tc>
        <w:tc>
          <w:tcPr>
            <w:tcW w:w="961" w:type="dxa"/>
            <w:shd w:val="clear" w:color="auto" w:fill="C4EFCE"/>
            <w:noWrap/>
            <w:vAlign w:val="center"/>
          </w:tcPr>
          <w:p w14:paraId="2A286384" w14:textId="3FCA842C" w:rsidR="00F24946" w:rsidRDefault="00613B06">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6A7E8F46" w14:textId="573D606D" w:rsidR="00F24946" w:rsidRDefault="00613B06">
            <w:pPr>
              <w:pStyle w:val="P68B1DB1-Normal12"/>
              <w:keepNext/>
              <w:spacing w:after="0" w:line="240" w:lineRule="auto"/>
              <w:jc w:val="center"/>
              <w:rPr>
                <w:rFonts w:eastAsia="Times New Roman" w:cstheme="minorHAnsi"/>
                <w:noProof/>
              </w:rPr>
            </w:pPr>
            <w:r>
              <w:rPr>
                <w:noProof/>
              </w:rPr>
              <w:t>15</w:t>
            </w:r>
          </w:p>
        </w:tc>
        <w:tc>
          <w:tcPr>
            <w:tcW w:w="554" w:type="dxa"/>
            <w:shd w:val="clear" w:color="auto" w:fill="C4EFCE"/>
            <w:noWrap/>
            <w:vAlign w:val="center"/>
          </w:tcPr>
          <w:p w14:paraId="144B65D8" w14:textId="68A92AA2" w:rsidR="00F24946" w:rsidRDefault="00613B06">
            <w:pPr>
              <w:pStyle w:val="P68B1DB1-Normal12"/>
              <w:keepNext/>
              <w:spacing w:after="0" w:line="240" w:lineRule="auto"/>
              <w:jc w:val="center"/>
              <w:rPr>
                <w:rFonts w:eastAsia="Times New Roman" w:cstheme="minorHAnsi"/>
                <w:noProof/>
              </w:rPr>
            </w:pPr>
            <w:r>
              <w:rPr>
                <w:noProof/>
              </w:rPr>
              <w:t>ČETRTLETJE 1</w:t>
            </w:r>
          </w:p>
        </w:tc>
        <w:tc>
          <w:tcPr>
            <w:tcW w:w="684" w:type="dxa"/>
            <w:shd w:val="clear" w:color="auto" w:fill="C4EFCE"/>
            <w:noWrap/>
            <w:vAlign w:val="center"/>
          </w:tcPr>
          <w:p w14:paraId="2B8EDB26" w14:textId="3CD57E6A" w:rsidR="00F24946" w:rsidRDefault="00613B06">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2BBD1A35" w14:textId="6A68B2CD" w:rsidR="00F24946" w:rsidRDefault="00613B06">
            <w:pPr>
              <w:pStyle w:val="P68B1DB1-Normal12"/>
              <w:keepNext/>
              <w:spacing w:after="0" w:line="240" w:lineRule="auto"/>
              <w:jc w:val="both"/>
              <w:rPr>
                <w:noProof/>
              </w:rPr>
            </w:pPr>
            <w:r>
              <w:rPr>
                <w:noProof/>
              </w:rPr>
              <w:t xml:space="preserve">Zaključek 15 projektov v zvezi s posodobitvijo in obnovo ribiške flote, inovacijami v ribištvu in akvakulturi za izboljšanje energetske učinkovitosti, posodobitvijo procesov, zmanjšanjem nastajanja odpadkov na morju in spodbujanjem krožnega gospodarstva v celotnem ribiškem sektorju in sektorju akvakulture ter diverzifikacijo ribolovnih dejavnosti. </w:t>
            </w:r>
          </w:p>
          <w:p w14:paraId="227A05D1" w14:textId="3F225BEF" w:rsidR="00F24946" w:rsidRDefault="00613B06">
            <w:pPr>
              <w:pStyle w:val="P68B1DB1-Normal12"/>
              <w:keepNext/>
              <w:spacing w:after="0" w:line="240" w:lineRule="auto"/>
              <w:jc w:val="both"/>
              <w:rPr>
                <w:rFonts w:eastAsia="Times New Roman" w:cstheme="minorHAnsi"/>
                <w:noProof/>
              </w:rPr>
            </w:pPr>
            <w:r>
              <w:rPr>
                <w:noProof/>
              </w:rPr>
              <w:t>Merila za izbor zagotavljajo skladnost s tehničnimi smernicami „da se ne škoduje bistveno“ (2021/C58/01) podprtih transakcij v okviru tega ukrepa z uporabo seznama za izključitev (kot je določen v opisu ukrepa) ter zahtevo po skladnosti z ustrezno okoljsko zakonodajo EU in nacionalno okoljsko zakonodajo.</w:t>
            </w:r>
          </w:p>
        </w:tc>
      </w:tr>
      <w:tr w:rsidR="00F24946" w14:paraId="7AA31F3F" w14:textId="77777777">
        <w:trPr>
          <w:trHeight w:val="61"/>
          <w:jc w:val="center"/>
        </w:trPr>
        <w:tc>
          <w:tcPr>
            <w:tcW w:w="1101" w:type="dxa"/>
            <w:shd w:val="clear" w:color="auto" w:fill="C4EFCE"/>
            <w:vAlign w:val="center"/>
          </w:tcPr>
          <w:p w14:paraId="2FDBE218" w14:textId="6636866D" w:rsidR="00F24946" w:rsidRDefault="00613B06">
            <w:pPr>
              <w:pStyle w:val="P68B1DB1-Normal11"/>
              <w:keepNext/>
              <w:spacing w:before="40" w:after="0" w:line="240" w:lineRule="auto"/>
              <w:jc w:val="center"/>
              <w:rPr>
                <w:noProof/>
              </w:rPr>
            </w:pPr>
            <w:r>
              <w:rPr>
                <w:noProof/>
              </w:rPr>
              <w:t>10.13</w:t>
            </w:r>
          </w:p>
        </w:tc>
        <w:tc>
          <w:tcPr>
            <w:tcW w:w="1231" w:type="dxa"/>
            <w:shd w:val="clear" w:color="auto" w:fill="C4EFCE"/>
            <w:noWrap/>
            <w:vAlign w:val="center"/>
          </w:tcPr>
          <w:p w14:paraId="217D89A3" w14:textId="2D6DE9DE" w:rsidR="00F24946" w:rsidRDefault="00613B06">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681600AA" w14:textId="32CC34AF" w:rsidR="00F24946" w:rsidRDefault="00613B06">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F245A6B" w14:textId="015E3869" w:rsidR="00F24946" w:rsidRDefault="00613B06">
            <w:pPr>
              <w:pStyle w:val="P68B1DB1-Normal12"/>
              <w:keepNext/>
              <w:spacing w:before="40" w:after="0" w:line="240" w:lineRule="auto"/>
              <w:jc w:val="center"/>
              <w:rPr>
                <w:rFonts w:eastAsia="Times New Roman" w:cstheme="minorHAnsi"/>
                <w:noProof/>
              </w:rPr>
            </w:pPr>
            <w:r>
              <w:rPr>
                <w:noProof/>
              </w:rPr>
              <w:t>Podpis pogodbe za večnamensko raziskovalno plovilo</w:t>
            </w:r>
          </w:p>
        </w:tc>
        <w:tc>
          <w:tcPr>
            <w:tcW w:w="1231" w:type="dxa"/>
            <w:shd w:val="clear" w:color="auto" w:fill="C4EFCE"/>
            <w:noWrap/>
          </w:tcPr>
          <w:p w14:paraId="20AD7A7D" w14:textId="4BE3559E" w:rsidR="00F24946" w:rsidRDefault="00613B06">
            <w:pPr>
              <w:pStyle w:val="P68B1DB1-Normal12"/>
              <w:keepNext/>
              <w:spacing w:before="40" w:after="0" w:line="240" w:lineRule="auto"/>
              <w:jc w:val="center"/>
              <w:rPr>
                <w:rFonts w:eastAsia="Times New Roman" w:cstheme="minorHAnsi"/>
                <w:noProof/>
              </w:rPr>
            </w:pPr>
            <w:r>
              <w:rPr>
                <w:noProof/>
              </w:rPr>
              <w:t>Podpis pogodbe za večnamensko raziskovalno plovilo</w:t>
            </w:r>
          </w:p>
        </w:tc>
        <w:tc>
          <w:tcPr>
            <w:tcW w:w="962" w:type="dxa"/>
            <w:shd w:val="clear" w:color="auto" w:fill="C4EFCE"/>
            <w:noWrap/>
            <w:vAlign w:val="center"/>
          </w:tcPr>
          <w:p w14:paraId="3A40C90E" w14:textId="77777777" w:rsidR="00F24946" w:rsidRDefault="00F24946">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26DE80A" w14:textId="77777777" w:rsidR="00F24946" w:rsidRDefault="00F24946">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2D6BAC30" w14:textId="77777777" w:rsidR="00F24946" w:rsidRDefault="00F24946">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16B97E23" w14:textId="3AF81EB9" w:rsidR="00F24946" w:rsidRDefault="00613B06">
            <w:pPr>
              <w:pStyle w:val="P68B1DB1-Normal12"/>
              <w:keepNext/>
              <w:spacing w:before="40" w:after="0" w:line="240" w:lineRule="auto"/>
              <w:jc w:val="center"/>
              <w:rPr>
                <w:rFonts w:eastAsia="Times New Roman" w:cstheme="minorHAnsi"/>
                <w:noProof/>
              </w:rPr>
            </w:pPr>
            <w:r>
              <w:rPr>
                <w:noProof/>
              </w:rPr>
              <w:t>Q2</w:t>
            </w:r>
          </w:p>
        </w:tc>
        <w:tc>
          <w:tcPr>
            <w:tcW w:w="684" w:type="dxa"/>
            <w:shd w:val="clear" w:color="auto" w:fill="C4EFCE"/>
            <w:noWrap/>
            <w:vAlign w:val="center"/>
          </w:tcPr>
          <w:p w14:paraId="6528D03E" w14:textId="5BBF66E9" w:rsidR="00F24946" w:rsidRDefault="00613B06">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8DBF254" w14:textId="4B711299" w:rsidR="00F24946" w:rsidRDefault="00613B06">
            <w:pPr>
              <w:pStyle w:val="P68B1DB1-Bodytext1013"/>
              <w:spacing w:after="0" w:line="240" w:lineRule="auto"/>
              <w:jc w:val="both"/>
              <w:rPr>
                <w:rFonts w:cstheme="minorHAnsi"/>
                <w:noProof/>
              </w:rPr>
            </w:pPr>
            <w:r>
              <w:rPr>
                <w:noProof/>
              </w:rPr>
              <w:t>Podpis pogodbe za gradnjo večnamenskega raziskovalnega plovila.</w:t>
            </w:r>
          </w:p>
          <w:p w14:paraId="69C9B7F5" w14:textId="2745F682" w:rsidR="00F24946" w:rsidRDefault="00613B06">
            <w:pPr>
              <w:pStyle w:val="P68B1DB1-Bodytext1013"/>
              <w:spacing w:after="0" w:line="240" w:lineRule="auto"/>
              <w:jc w:val="both"/>
              <w:rPr>
                <w:rFonts w:cstheme="minorHAnsi"/>
                <w:noProof/>
              </w:rPr>
            </w:pPr>
            <w:r>
              <w:rPr>
                <w:noProof/>
              </w:rPr>
              <w:t>Mandat zahteva uporabo pogoja, da se ne škoduje bistveno, iz opisa ukrepa.</w:t>
            </w:r>
          </w:p>
        </w:tc>
      </w:tr>
      <w:tr w:rsidR="00F24946" w14:paraId="2A3E48E3" w14:textId="77777777">
        <w:trPr>
          <w:trHeight w:val="61"/>
          <w:jc w:val="center"/>
        </w:trPr>
        <w:tc>
          <w:tcPr>
            <w:tcW w:w="1101" w:type="dxa"/>
            <w:shd w:val="clear" w:color="auto" w:fill="C4EFCE"/>
            <w:vAlign w:val="center"/>
          </w:tcPr>
          <w:p w14:paraId="5F10CBE7" w14:textId="4A79894B" w:rsidR="00F24946" w:rsidRDefault="00613B06">
            <w:pPr>
              <w:pStyle w:val="P68B1DB1-Normal11"/>
              <w:keepNext/>
              <w:spacing w:before="40" w:after="0" w:line="240" w:lineRule="auto"/>
              <w:jc w:val="center"/>
              <w:rPr>
                <w:noProof/>
              </w:rPr>
            </w:pPr>
            <w:r>
              <w:rPr>
                <w:noProof/>
              </w:rPr>
              <w:t>10.14</w:t>
            </w:r>
          </w:p>
        </w:tc>
        <w:tc>
          <w:tcPr>
            <w:tcW w:w="1231" w:type="dxa"/>
            <w:shd w:val="clear" w:color="auto" w:fill="C4EFCE"/>
            <w:noWrap/>
            <w:vAlign w:val="center"/>
          </w:tcPr>
          <w:p w14:paraId="226B4B24" w14:textId="77A8C67B" w:rsidR="00F24946" w:rsidRDefault="00613B06">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92E5EFA" w14:textId="343F1A1A" w:rsidR="00F24946" w:rsidRDefault="00613B06">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52FE4774" w14:textId="73D91BDA" w:rsidR="00F24946" w:rsidRDefault="00613B06">
            <w:pPr>
              <w:pStyle w:val="P68B1DB1-Normal12"/>
              <w:keepNext/>
              <w:spacing w:before="40" w:after="0" w:line="240" w:lineRule="auto"/>
              <w:jc w:val="center"/>
              <w:rPr>
                <w:rFonts w:eastAsia="Times New Roman" w:cstheme="minorHAnsi"/>
                <w:noProof/>
              </w:rPr>
            </w:pPr>
            <w:r>
              <w:rPr>
                <w:noProof/>
              </w:rPr>
              <w:t>Dobava energetsko učinkovitega večnamenskega raziskovalnega plovila</w:t>
            </w:r>
          </w:p>
        </w:tc>
        <w:tc>
          <w:tcPr>
            <w:tcW w:w="1231" w:type="dxa"/>
            <w:shd w:val="clear" w:color="auto" w:fill="C4EFCE"/>
            <w:noWrap/>
            <w:vAlign w:val="center"/>
          </w:tcPr>
          <w:p w14:paraId="0008148C" w14:textId="6B0E742D" w:rsidR="00F24946" w:rsidRDefault="00613B06">
            <w:pPr>
              <w:pStyle w:val="P68B1DB1-Normal12"/>
              <w:keepNext/>
              <w:spacing w:before="40" w:after="0" w:line="240" w:lineRule="auto"/>
              <w:jc w:val="center"/>
              <w:rPr>
                <w:rFonts w:eastAsia="Times New Roman" w:cstheme="minorHAnsi"/>
                <w:noProof/>
              </w:rPr>
            </w:pPr>
            <w:r>
              <w:rPr>
                <w:noProof/>
              </w:rPr>
              <w:t>Dobava večnamenskega raziskovalnega plovila</w:t>
            </w:r>
          </w:p>
        </w:tc>
        <w:tc>
          <w:tcPr>
            <w:tcW w:w="962" w:type="dxa"/>
            <w:shd w:val="clear" w:color="auto" w:fill="C4EFCE"/>
            <w:noWrap/>
            <w:vAlign w:val="center"/>
          </w:tcPr>
          <w:p w14:paraId="5108E572" w14:textId="77777777" w:rsidR="00F24946" w:rsidRDefault="00F24946">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5D573528" w14:textId="77777777" w:rsidR="00F24946" w:rsidRDefault="00F24946">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59F38D6" w14:textId="77777777" w:rsidR="00F24946" w:rsidRDefault="00F24946">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78546CDD" w14:textId="248BD776" w:rsidR="00F24946" w:rsidRDefault="00613B06">
            <w:pPr>
              <w:pStyle w:val="P68B1DB1-Normal12"/>
              <w:keepNext/>
              <w:spacing w:before="40" w:after="0" w:line="240" w:lineRule="auto"/>
              <w:jc w:val="center"/>
              <w:rPr>
                <w:rFonts w:eastAsia="Times New Roman" w:cstheme="minorHAnsi"/>
                <w:noProof/>
              </w:rPr>
            </w:pPr>
            <w:r>
              <w:rPr>
                <w:noProof/>
              </w:rPr>
              <w:t>Q2</w:t>
            </w:r>
          </w:p>
        </w:tc>
        <w:tc>
          <w:tcPr>
            <w:tcW w:w="684" w:type="dxa"/>
            <w:shd w:val="clear" w:color="auto" w:fill="C4EFCE"/>
            <w:noWrap/>
            <w:vAlign w:val="center"/>
          </w:tcPr>
          <w:p w14:paraId="59E155B1" w14:textId="23D5A01D" w:rsidR="00F24946" w:rsidRDefault="00613B06">
            <w:pPr>
              <w:pStyle w:val="P68B1DB1-Normal12"/>
              <w:keepNext/>
              <w:spacing w:before="40" w:after="0" w:line="240" w:lineRule="auto"/>
              <w:jc w:val="center"/>
              <w:rPr>
                <w:rFonts w:eastAsia="Times New Roman" w:cstheme="minorHAnsi"/>
                <w:noProof/>
              </w:rPr>
            </w:pPr>
            <w:r>
              <w:rPr>
                <w:noProof/>
              </w:rPr>
              <w:t>2026</w:t>
            </w:r>
          </w:p>
        </w:tc>
        <w:tc>
          <w:tcPr>
            <w:tcW w:w="5223" w:type="dxa"/>
            <w:shd w:val="clear" w:color="auto" w:fill="C4EFCE"/>
            <w:vAlign w:val="center"/>
          </w:tcPr>
          <w:p w14:paraId="34A1476F" w14:textId="225C975F" w:rsidR="00F24946" w:rsidRDefault="00613B06">
            <w:pPr>
              <w:pStyle w:val="P68B1DB1-Normal12"/>
              <w:keepNext/>
              <w:spacing w:before="40" w:after="0" w:line="240" w:lineRule="auto"/>
              <w:jc w:val="both"/>
              <w:rPr>
                <w:rFonts w:eastAsia="Times New Roman" w:cstheme="minorHAnsi"/>
                <w:noProof/>
              </w:rPr>
            </w:pPr>
            <w:r>
              <w:rPr>
                <w:noProof/>
              </w:rPr>
              <w:t xml:space="preserve">Zagotavljanje energetsko učinkovitega večnamenskega raziskovalnega plovila. Lahko deluje v plitvih vodah avtonomne regije Madeira okoli otokov otočja in na odprtem morju. </w:t>
            </w:r>
          </w:p>
        </w:tc>
      </w:tr>
      <w:tr w:rsidR="00F24946" w14:paraId="091A1A6A" w14:textId="77777777">
        <w:trPr>
          <w:trHeight w:val="61"/>
          <w:jc w:val="center"/>
        </w:trPr>
        <w:tc>
          <w:tcPr>
            <w:tcW w:w="1101" w:type="dxa"/>
            <w:shd w:val="clear" w:color="auto" w:fill="C4EFCE"/>
            <w:vAlign w:val="center"/>
          </w:tcPr>
          <w:p w14:paraId="411A72EE" w14:textId="6F64B9D4" w:rsidR="00F24946" w:rsidRDefault="00613B06">
            <w:pPr>
              <w:pStyle w:val="P68B1DB1-Normal11"/>
              <w:keepNext/>
              <w:spacing w:before="40" w:after="0" w:line="240" w:lineRule="auto"/>
              <w:jc w:val="center"/>
              <w:rPr>
                <w:noProof/>
              </w:rPr>
            </w:pPr>
            <w:r>
              <w:rPr>
                <w:noProof/>
              </w:rPr>
              <w:t>10.15</w:t>
            </w:r>
          </w:p>
        </w:tc>
        <w:tc>
          <w:tcPr>
            <w:tcW w:w="1231" w:type="dxa"/>
            <w:shd w:val="clear" w:color="auto" w:fill="C4EFCE"/>
            <w:noWrap/>
            <w:vAlign w:val="center"/>
          </w:tcPr>
          <w:p w14:paraId="2EB7E203" w14:textId="651B5F2E" w:rsidR="00F24946" w:rsidRDefault="00613B06">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5F6666DA" w14:textId="7D095AF5" w:rsidR="00F24946" w:rsidRDefault="00613B06">
            <w:pPr>
              <w:pStyle w:val="P68B1DB1-Normal12"/>
              <w:keepNext/>
              <w:spacing w:before="40" w:after="0" w:line="240" w:lineRule="auto"/>
              <w:jc w:val="center"/>
              <w:rPr>
                <w:rFonts w:eastAsia="Times New Roman" w:cstheme="minorHAnsi"/>
                <w:noProof/>
              </w:rPr>
            </w:pPr>
            <w:r>
              <w:rPr>
                <w:noProof/>
              </w:rPr>
              <w:t>T</w:t>
            </w:r>
          </w:p>
        </w:tc>
        <w:tc>
          <w:tcPr>
            <w:tcW w:w="1640" w:type="dxa"/>
            <w:shd w:val="clear" w:color="auto" w:fill="C4EFCE"/>
            <w:noWrap/>
            <w:vAlign w:val="center"/>
          </w:tcPr>
          <w:p w14:paraId="7684AA42" w14:textId="6AF3654F" w:rsidR="00F24946" w:rsidRDefault="00613B06">
            <w:pPr>
              <w:pStyle w:val="P68B1DB1-Normal12"/>
              <w:keepNext/>
              <w:spacing w:before="40" w:after="0" w:line="240" w:lineRule="auto"/>
              <w:jc w:val="center"/>
              <w:rPr>
                <w:rFonts w:eastAsia="Times New Roman" w:cstheme="minorHAnsi"/>
                <w:noProof/>
              </w:rPr>
            </w:pPr>
            <w:r>
              <w:rPr>
                <w:noProof/>
              </w:rPr>
              <w:t>Dobava dveh avtonomnih brezpilotnih vozil</w:t>
            </w:r>
          </w:p>
        </w:tc>
        <w:tc>
          <w:tcPr>
            <w:tcW w:w="1231" w:type="dxa"/>
            <w:shd w:val="clear" w:color="auto" w:fill="C4EFCE"/>
            <w:noWrap/>
            <w:vAlign w:val="center"/>
          </w:tcPr>
          <w:p w14:paraId="5A84A9D9" w14:textId="16826EBA" w:rsidR="00F24946" w:rsidRDefault="00613B06">
            <w:pPr>
              <w:pStyle w:val="P68B1DB1-Normal12"/>
              <w:keepNext/>
              <w:spacing w:before="40" w:after="0" w:line="240" w:lineRule="auto"/>
              <w:jc w:val="center"/>
              <w:rPr>
                <w:rFonts w:eastAsia="Times New Roman" w:cstheme="minorHAnsi"/>
                <w:noProof/>
              </w:rPr>
            </w:pPr>
            <w:r>
              <w:rPr>
                <w:noProof/>
              </w:rPr>
              <w:t xml:space="preserve">Dobava dveh avtonomnih vozil </w:t>
            </w:r>
          </w:p>
        </w:tc>
        <w:tc>
          <w:tcPr>
            <w:tcW w:w="962" w:type="dxa"/>
            <w:shd w:val="clear" w:color="auto" w:fill="C4EFCE"/>
            <w:noWrap/>
            <w:vAlign w:val="center"/>
          </w:tcPr>
          <w:p w14:paraId="2E74DE0C" w14:textId="24DEA61F" w:rsidR="00F24946" w:rsidRDefault="00613B06">
            <w:pPr>
              <w:pStyle w:val="P68B1DB1-Normal12"/>
              <w:keepNext/>
              <w:spacing w:before="40" w:after="0" w:line="240" w:lineRule="auto"/>
              <w:jc w:val="center"/>
              <w:rPr>
                <w:rFonts w:eastAsia="Times New Roman" w:cstheme="minorHAnsi"/>
                <w:noProof/>
              </w:rPr>
            </w:pPr>
            <w:r>
              <w:rPr>
                <w:noProof/>
              </w:rPr>
              <w:t>Število</w:t>
            </w:r>
          </w:p>
        </w:tc>
        <w:tc>
          <w:tcPr>
            <w:tcW w:w="961" w:type="dxa"/>
            <w:shd w:val="clear" w:color="auto" w:fill="C4EFCE"/>
            <w:noWrap/>
            <w:vAlign w:val="center"/>
          </w:tcPr>
          <w:p w14:paraId="547741A2" w14:textId="0C97B0DB" w:rsidR="00F24946" w:rsidRDefault="00613B06">
            <w:pPr>
              <w:pStyle w:val="P68B1DB1-Normal12"/>
              <w:keepNext/>
              <w:spacing w:before="40" w:after="0" w:line="240" w:lineRule="auto"/>
              <w:jc w:val="center"/>
              <w:rPr>
                <w:rFonts w:eastAsia="Times New Roman" w:cstheme="minorHAnsi"/>
                <w:noProof/>
              </w:rPr>
            </w:pPr>
            <w:r>
              <w:rPr>
                <w:noProof/>
              </w:rPr>
              <w:t>0</w:t>
            </w:r>
          </w:p>
        </w:tc>
        <w:tc>
          <w:tcPr>
            <w:tcW w:w="690" w:type="dxa"/>
            <w:shd w:val="clear" w:color="auto" w:fill="C4EFCE"/>
            <w:noWrap/>
            <w:vAlign w:val="center"/>
          </w:tcPr>
          <w:p w14:paraId="7E1DC46E" w14:textId="326880E0" w:rsidR="00F24946" w:rsidRDefault="00613B06">
            <w:pPr>
              <w:pStyle w:val="P68B1DB1-Normal12"/>
              <w:keepNext/>
              <w:spacing w:before="40" w:after="0" w:line="240" w:lineRule="auto"/>
              <w:jc w:val="center"/>
              <w:rPr>
                <w:rFonts w:eastAsia="Times New Roman" w:cstheme="minorHAnsi"/>
                <w:noProof/>
              </w:rPr>
            </w:pPr>
            <w:r>
              <w:rPr>
                <w:noProof/>
              </w:rPr>
              <w:t>2</w:t>
            </w:r>
          </w:p>
        </w:tc>
        <w:tc>
          <w:tcPr>
            <w:tcW w:w="554" w:type="dxa"/>
            <w:shd w:val="clear" w:color="auto" w:fill="C4EFCE"/>
            <w:noWrap/>
            <w:vAlign w:val="center"/>
          </w:tcPr>
          <w:p w14:paraId="5705B555" w14:textId="6E24D781" w:rsidR="00F24946" w:rsidRDefault="00613B06">
            <w:pPr>
              <w:pStyle w:val="P68B1DB1-Normal12"/>
              <w:keepNext/>
              <w:spacing w:before="40" w:after="0" w:line="240" w:lineRule="auto"/>
              <w:jc w:val="center"/>
              <w:rPr>
                <w:rFonts w:eastAsia="Times New Roman" w:cstheme="minorHAnsi"/>
                <w:noProof/>
              </w:rPr>
            </w:pPr>
            <w:r>
              <w:rPr>
                <w:noProof/>
              </w:rPr>
              <w:t>Q3</w:t>
            </w:r>
          </w:p>
        </w:tc>
        <w:tc>
          <w:tcPr>
            <w:tcW w:w="684" w:type="dxa"/>
            <w:shd w:val="clear" w:color="auto" w:fill="C4EFCE"/>
            <w:noWrap/>
            <w:vAlign w:val="center"/>
          </w:tcPr>
          <w:p w14:paraId="110A6402" w14:textId="166C70AB" w:rsidR="00F24946" w:rsidRDefault="00613B06">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92B0CE3" w14:textId="77777777" w:rsidR="00F24946" w:rsidRDefault="00613B06">
            <w:pPr>
              <w:pStyle w:val="P68B1DB1-Bodytext1013"/>
              <w:spacing w:after="0" w:line="240" w:lineRule="auto"/>
              <w:jc w:val="both"/>
              <w:rPr>
                <w:rFonts w:cstheme="minorHAnsi"/>
                <w:noProof/>
              </w:rPr>
            </w:pPr>
            <w:r>
              <w:rPr>
                <w:noProof/>
              </w:rPr>
              <w:t xml:space="preserve">Dobava dveh avtonomnih brezpilotnih vozil: </w:t>
            </w:r>
          </w:p>
          <w:p w14:paraId="639A4637" w14:textId="77777777" w:rsidR="00F24946" w:rsidRDefault="00613B06">
            <w:pPr>
              <w:pStyle w:val="P68B1DB1-Bodytext1013"/>
              <w:widowControl/>
              <w:numPr>
                <w:ilvl w:val="0"/>
                <w:numId w:val="79"/>
              </w:numPr>
              <w:spacing w:after="0" w:line="240" w:lineRule="auto"/>
              <w:jc w:val="both"/>
              <w:rPr>
                <w:rFonts w:cstheme="minorHAnsi"/>
                <w:noProof/>
              </w:rPr>
            </w:pPr>
            <w:r>
              <w:rPr>
                <w:noProof/>
              </w:rPr>
              <w:t xml:space="preserve">Avtonomno vozilo s površino (USV) </w:t>
            </w:r>
          </w:p>
          <w:p w14:paraId="56AB6A4E" w14:textId="2C32EDBC" w:rsidR="00F24946" w:rsidRDefault="00613B06">
            <w:pPr>
              <w:pStyle w:val="P68B1DB1-Bodytext1013"/>
              <w:widowControl/>
              <w:numPr>
                <w:ilvl w:val="0"/>
                <w:numId w:val="79"/>
              </w:numPr>
              <w:spacing w:after="0" w:line="240" w:lineRule="auto"/>
              <w:jc w:val="both"/>
              <w:rPr>
                <w:rFonts w:cstheme="minorHAnsi"/>
                <w:noProof/>
              </w:rPr>
            </w:pPr>
            <w:r>
              <w:rPr>
                <w:noProof/>
              </w:rPr>
              <w:t>Podvodno avtonomno vozilo (AUV) 1000 M</w:t>
            </w:r>
          </w:p>
        </w:tc>
      </w:tr>
      <w:tr w:rsidR="00F24946" w14:paraId="12E1396B" w14:textId="77777777">
        <w:trPr>
          <w:trHeight w:val="61"/>
          <w:jc w:val="center"/>
        </w:trPr>
        <w:tc>
          <w:tcPr>
            <w:tcW w:w="1101" w:type="dxa"/>
            <w:shd w:val="clear" w:color="auto" w:fill="C4EFCE"/>
            <w:vAlign w:val="center"/>
          </w:tcPr>
          <w:p w14:paraId="56FD233F" w14:textId="75E58EAE" w:rsidR="00F24946" w:rsidRDefault="00613B06">
            <w:pPr>
              <w:pStyle w:val="P68B1DB1-Normal11"/>
              <w:keepNext/>
              <w:spacing w:before="40" w:after="0" w:line="240" w:lineRule="auto"/>
              <w:jc w:val="center"/>
              <w:rPr>
                <w:noProof/>
              </w:rPr>
            </w:pPr>
            <w:r>
              <w:rPr>
                <w:noProof/>
              </w:rPr>
              <w:t>10.16</w:t>
            </w:r>
          </w:p>
        </w:tc>
        <w:tc>
          <w:tcPr>
            <w:tcW w:w="1231" w:type="dxa"/>
            <w:shd w:val="clear" w:color="auto" w:fill="C4EFCE"/>
            <w:noWrap/>
            <w:vAlign w:val="center"/>
          </w:tcPr>
          <w:p w14:paraId="483DF909" w14:textId="5978A081" w:rsidR="00F24946" w:rsidRDefault="00613B06">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C879D3F" w14:textId="0AE81711" w:rsidR="00F24946" w:rsidRDefault="00613B06">
            <w:pPr>
              <w:pStyle w:val="P68B1DB1-Normal12"/>
              <w:keepNext/>
              <w:spacing w:before="40" w:after="0" w:line="240" w:lineRule="auto"/>
              <w:jc w:val="center"/>
              <w:rPr>
                <w:rFonts w:eastAsia="Times New Roman"/>
                <w:noProof/>
              </w:rPr>
            </w:pPr>
            <w:r>
              <w:rPr>
                <w:noProof/>
              </w:rPr>
              <w:t>M</w:t>
            </w:r>
          </w:p>
        </w:tc>
        <w:tc>
          <w:tcPr>
            <w:tcW w:w="1640" w:type="dxa"/>
            <w:shd w:val="clear" w:color="auto" w:fill="C4EFCE"/>
            <w:noWrap/>
            <w:vAlign w:val="center"/>
          </w:tcPr>
          <w:p w14:paraId="49A83E98" w14:textId="3C7FA536" w:rsidR="00F24946" w:rsidRDefault="00613B06">
            <w:pPr>
              <w:pStyle w:val="P68B1DB1-Normal12"/>
              <w:keepNext/>
              <w:spacing w:before="40" w:after="0" w:line="240" w:lineRule="auto"/>
              <w:jc w:val="center"/>
              <w:rPr>
                <w:rFonts w:eastAsia="Times New Roman" w:cstheme="minorHAnsi"/>
                <w:noProof/>
              </w:rPr>
            </w:pPr>
            <w:r>
              <w:rPr>
                <w:noProof/>
              </w:rPr>
              <w:t>Dobava avtonomnega brezpilotnega vozila</w:t>
            </w:r>
          </w:p>
        </w:tc>
        <w:tc>
          <w:tcPr>
            <w:tcW w:w="1231" w:type="dxa"/>
            <w:shd w:val="clear" w:color="auto" w:fill="C4EFCE"/>
            <w:noWrap/>
            <w:vAlign w:val="center"/>
          </w:tcPr>
          <w:p w14:paraId="56763CB6" w14:textId="04C99C4E" w:rsidR="00F24946" w:rsidRDefault="00613B06">
            <w:pPr>
              <w:pStyle w:val="P68B1DB1-Normal12"/>
              <w:keepNext/>
              <w:spacing w:before="40" w:after="0" w:line="240" w:lineRule="auto"/>
              <w:jc w:val="center"/>
              <w:rPr>
                <w:rFonts w:eastAsia="Times New Roman" w:cstheme="minorHAnsi"/>
                <w:noProof/>
              </w:rPr>
            </w:pPr>
            <w:r>
              <w:rPr>
                <w:noProof/>
              </w:rPr>
              <w:t>Dobava avtonomnega brezpilotnega vozila</w:t>
            </w:r>
          </w:p>
        </w:tc>
        <w:tc>
          <w:tcPr>
            <w:tcW w:w="962" w:type="dxa"/>
            <w:shd w:val="clear" w:color="auto" w:fill="C4EFCE"/>
            <w:noWrap/>
            <w:vAlign w:val="center"/>
          </w:tcPr>
          <w:p w14:paraId="1103F6C0" w14:textId="457E077F" w:rsidR="00F24946" w:rsidRDefault="00F24946">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01DD50D" w14:textId="0EF25E98" w:rsidR="00F24946" w:rsidRDefault="00F24946">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383417D" w14:textId="03239D54" w:rsidR="00F24946" w:rsidRDefault="00F24946">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0D745C96" w14:textId="508646F6" w:rsidR="00F24946" w:rsidRDefault="00613B06">
            <w:pPr>
              <w:pStyle w:val="P68B1DB1-Normal12"/>
              <w:keepNext/>
              <w:spacing w:before="40" w:after="0" w:line="240" w:lineRule="auto"/>
              <w:jc w:val="center"/>
              <w:rPr>
                <w:rFonts w:eastAsia="Times New Roman" w:cstheme="minorHAnsi"/>
                <w:noProof/>
              </w:rPr>
            </w:pPr>
            <w:r>
              <w:rPr>
                <w:noProof/>
              </w:rPr>
              <w:t>Q4</w:t>
            </w:r>
          </w:p>
        </w:tc>
        <w:tc>
          <w:tcPr>
            <w:tcW w:w="684" w:type="dxa"/>
            <w:shd w:val="clear" w:color="auto" w:fill="C4EFCE"/>
            <w:noWrap/>
            <w:vAlign w:val="center"/>
          </w:tcPr>
          <w:p w14:paraId="4410A9DA" w14:textId="4A5D18FE" w:rsidR="00F24946" w:rsidRDefault="00613B06">
            <w:pPr>
              <w:pStyle w:val="P68B1DB1-Normal12"/>
              <w:keepNext/>
              <w:spacing w:before="40" w:after="0" w:line="240" w:lineRule="auto"/>
              <w:jc w:val="center"/>
              <w:rPr>
                <w:rFonts w:eastAsia="Times New Roman" w:cstheme="minorHAnsi"/>
                <w:noProof/>
              </w:rPr>
            </w:pPr>
            <w:r>
              <w:rPr>
                <w:noProof/>
              </w:rPr>
              <w:t>2025</w:t>
            </w:r>
          </w:p>
        </w:tc>
        <w:tc>
          <w:tcPr>
            <w:tcW w:w="5223" w:type="dxa"/>
            <w:shd w:val="clear" w:color="auto" w:fill="C4EFCE"/>
            <w:vAlign w:val="center"/>
          </w:tcPr>
          <w:p w14:paraId="4E50F559" w14:textId="7094A901" w:rsidR="00F24946" w:rsidRDefault="00613B06">
            <w:pPr>
              <w:pStyle w:val="P68B1DB1-Normal12"/>
              <w:keepNext/>
              <w:spacing w:before="40" w:after="0" w:line="240" w:lineRule="auto"/>
              <w:jc w:val="both"/>
              <w:rPr>
                <w:rFonts w:eastAsia="Times New Roman" w:cstheme="minorHAnsi"/>
                <w:noProof/>
              </w:rPr>
            </w:pPr>
            <w:r>
              <w:rPr>
                <w:noProof/>
              </w:rPr>
              <w:t xml:space="preserve">Dobava podvodnega avtonomnega brezpilotnega vozila 6000 M. </w:t>
            </w:r>
          </w:p>
        </w:tc>
      </w:tr>
    </w:tbl>
    <w:p w14:paraId="2BA4F9E6" w14:textId="4FDF11B3" w:rsidR="00F24946" w:rsidRDefault="00F24946">
      <w:pPr>
        <w:rPr>
          <w:noProof/>
        </w:rPr>
      </w:pPr>
    </w:p>
    <w:p w14:paraId="57C9C0BA"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4CBC1AE8" w14:textId="378A82D4"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29ABB686" w14:textId="06439B4A" w:rsidR="00F24946" w:rsidRDefault="00613B06">
      <w:pPr>
        <w:pStyle w:val="P68B1DB1-Normal3"/>
        <w:spacing w:before="40" w:after="0" w:line="259" w:lineRule="auto"/>
        <w:ind w:left="130" w:firstLine="720"/>
        <w:jc w:val="both"/>
        <w:outlineLvl w:val="2"/>
        <w:rPr>
          <w:rFonts w:eastAsiaTheme="minorEastAsia" w:cs="Times New Roman"/>
          <w:noProof/>
        </w:rPr>
      </w:pPr>
      <w:r>
        <w:rPr>
          <w:noProof/>
        </w:rPr>
        <w:t>J.3. Opis reform in naložb za posojilo</w:t>
      </w:r>
    </w:p>
    <w:p w14:paraId="6F09459D" w14:textId="77777777"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Naložba TC-C10-i03: Atlantski obrambni center in pomorska platforma</w:t>
      </w:r>
    </w:p>
    <w:p w14:paraId="51C079D1" w14:textId="77777777" w:rsidR="00F24946" w:rsidRDefault="00613B06">
      <w:pPr>
        <w:pStyle w:val="P68B1DB1-Normal4"/>
        <w:keepNext/>
        <w:spacing w:before="40" w:after="0" w:line="259" w:lineRule="auto"/>
        <w:jc w:val="both"/>
        <w:rPr>
          <w:rFonts w:eastAsia="Times New Roman"/>
          <w:noProof/>
        </w:rPr>
      </w:pPr>
      <w:r>
        <w:rPr>
          <w:noProof/>
        </w:rPr>
        <w:t xml:space="preserve">Cilj te naložbe je prispevati k reševanju številnih izzivov, vključno s spremljanjem biogeokemijske razsežnosti oceana in ozračja; kartiranje in ocenjevanje mineralnih virov in vseh drugih neobnovljivih virov morskega dna in podtalja v portugalski pristojnosti; stalno evidentirati žive vire (obnovljive vire) in spremljati njihov razvoj; boj proti nepravilnostim in nezakonitostim v zvezi z oceani pod portugalsko jurisdikcijo v vrednostnih verigah oceanske industrije; odzivanje na naravne nesreče in nesreče, ki jih povzroči človek; prispevanje k blažitvi škodljivih človeških dejanj v oceanu (odpravljanje učinkov onesnaževanja, kot je makroplastika); povečanje zmogljivosti za evidentiranje vseh informacij, pridobljenih na morju; ustvarjati novo znanje in ustvarjati znanje z združevanjem informacij ter razviti modele napovedovanja z različnimi časovnimi in prostorskimi ravnmi. </w:t>
      </w:r>
    </w:p>
    <w:p w14:paraId="600E2269" w14:textId="72E35649" w:rsidR="00F24946" w:rsidRDefault="00613B06">
      <w:pPr>
        <w:pStyle w:val="P68B1DB1-Normal4"/>
        <w:keepNext/>
        <w:spacing w:before="40" w:after="0" w:line="259" w:lineRule="auto"/>
        <w:jc w:val="both"/>
        <w:rPr>
          <w:rFonts w:eastAsia="Times New Roman"/>
          <w:noProof/>
        </w:rPr>
      </w:pPr>
      <w:r>
        <w:rPr>
          <w:noProof/>
        </w:rPr>
        <w:t xml:space="preserve">Naložba zajema razvoj sistema, ki temelji na treh ključnih stebrih: Steber I – večnamenska pomorska platforma z več prednostmi in za naslednje namene: spremljanje oceanov, oceanografske raziskave, spremljanje morske ekologije, vključevanje novih tehnologij za spremljanje oceanov in posredovanje oceanov – vključno s sistemi zračne in podmorske robotike); Steber II – operativni center, ki je zasidran v sistemu ozaveščanja, ki temelji na nacionalni pomorski podatkovni zbirki in digitalnem dvojčku, ter mreži raziskovalnih, razvojnih, eksperimentalnih in inovacijskih centrov, da bi okrepili sredstva za opazovanje oceanov, prispevali k cilju ustvarjanja digitalnega oceana, spodbujali znanje in zagotovili rešitve za posege v oceane, kot so zbiranje letalskih, navtičnih in podmorskih podatkov, poznavanje oceanskih pojavov in kartiranje oceanov za znanstvene namene; in steber III – akademija Alfeite Arsenal (Akademija 4.0). Steber I zajema izgradnjo večnamenske platforme, ki vključuje obmejno tehnologijo in razširja funkcije oceanskega nadzornega plovila in oceanografskega raziskovalnega plovila na druge scenarije, kot so izredni scenariji, kot so razlitja nafte ali cvetenje plastike, alg ali želej) ali dejavnosti spremljanja morske ekologije ter vključevanje novih tehnoloških sredstev za opazovanje, spremljanje in posredovanje oceanov, kot so robotski sistemi, ki se prenašajo po zraku ali podmorjih. Platforma izvaja več ukrepov, kot so: nujne operacije, nadzor, znanstvene in tehnološke raziskave ter spremljanje okolja in meteoroloških razmer. V okviru stebra II je cilj operativnega centra okrepiti sredstva za opazovanje oceanov s prispevanjem k cilju oblikovanja „digitalnega oceana“, da se omogoči ustvarjanje znanja in poleg tega zagotovijo rešitve, ki krepijo nacionalne in mednarodne zmogljivosti za posredovanje v oceanih. Steber III naj bi bil inovativen projekt za usposabljanje človeških virov v pomorskem sektorju, tako s kvalifikacijami in izmenjavo izkušenj tistih, ki so že zaposleni v podjetjih, kot s privabljanjem strokovnjakov na področju pomorskega inženiringa. Arsenal Academy se namerava osredotočiti na usposabljanje na prelomnih področjih, kot so robotika, telekomunikacije, biotehnologija, nanotehnologija, povezljivost, umetna inteligenca, velepodatki in strojno učenje. </w:t>
      </w:r>
    </w:p>
    <w:p w14:paraId="194B0E08" w14:textId="4DA04AD9" w:rsidR="00F24946" w:rsidRDefault="00613B06">
      <w:pPr>
        <w:pStyle w:val="P68B1DB1-Normal4"/>
        <w:keepNext/>
        <w:spacing w:before="40" w:after="0" w:line="259" w:lineRule="auto"/>
        <w:jc w:val="both"/>
        <w:rPr>
          <w:rFonts w:eastAsiaTheme="minorEastAsia" w:cs="Times New Roman"/>
          <w:noProof/>
        </w:rPr>
      </w:pPr>
      <w:r>
        <w:rPr>
          <w:noProof/>
        </w:rPr>
        <w:t xml:space="preserve">Naložba se izvede do 30. junija 2026. </w:t>
      </w:r>
    </w:p>
    <w:p w14:paraId="6C40F50C" w14:textId="4BE4D193" w:rsidR="00F24946" w:rsidRDefault="00613B06">
      <w:pPr>
        <w:pStyle w:val="P68B1DB1-Normal5"/>
        <w:keepNext/>
        <w:spacing w:before="240" w:after="0" w:line="259" w:lineRule="auto"/>
        <w:ind w:left="851"/>
        <w:jc w:val="both"/>
        <w:outlineLvl w:val="3"/>
        <w:rPr>
          <w:rFonts w:eastAsiaTheme="minorEastAsia" w:cs="Times New Roman"/>
          <w:noProof/>
        </w:rPr>
      </w:pPr>
      <w:r>
        <w:rPr>
          <w:noProof/>
        </w:rPr>
        <w:t xml:space="preserve">Naložba TC-C10-i07: Zeleni ladijski promet </w:t>
      </w:r>
    </w:p>
    <w:p w14:paraId="1305AFF8" w14:textId="77777777" w:rsidR="00F24946" w:rsidRDefault="00613B06">
      <w:pPr>
        <w:pStyle w:val="P68B1DB1-Normal4"/>
        <w:spacing w:before="40" w:after="0" w:line="259" w:lineRule="auto"/>
        <w:jc w:val="both"/>
        <w:rPr>
          <w:rFonts w:cs="Times New Roman"/>
          <w:noProof/>
        </w:rPr>
      </w:pPr>
      <w:r>
        <w:rPr>
          <w:noProof/>
        </w:rPr>
        <w:t xml:space="preserve">Cilj ukrepa je pospešiti energetski prehod pomorskega tovornega in potniškega prometa. </w:t>
      </w:r>
    </w:p>
    <w:p w14:paraId="5C3C7211" w14:textId="196441A6" w:rsidR="00F24946" w:rsidRDefault="00613B06">
      <w:pPr>
        <w:pStyle w:val="P68B1DB1-Normal4"/>
        <w:spacing w:before="40" w:after="0" w:line="259" w:lineRule="auto"/>
        <w:jc w:val="both"/>
        <w:rPr>
          <w:rFonts w:eastAsia="Yu Mincho Light" w:cs="Times New Roman"/>
          <w:noProof/>
        </w:rPr>
      </w:pPr>
      <w:r>
        <w:rPr>
          <w:noProof/>
        </w:rPr>
        <w:t xml:space="preserve">Naložba je sestavljena iz podpornega programa za ukrepe za energijsko učinkovitost za deset plovil za tovorni in potniški promet, od katerih vsaj 70 % plovil presega 5000 bruto tonaže (BT). Intervencije spadajo v vsaj eno od naslednjih tipologij: (I) ukrepi za nadomestitev fosilnih goriv, (ii) ukrepi za varčevanje z energijo in (iii) dopolnilni ukrepi za zmanjšanje emisij. </w:t>
      </w:r>
    </w:p>
    <w:p w14:paraId="15F0E021" w14:textId="6C3C3C59" w:rsidR="00F24946" w:rsidRDefault="00613B06">
      <w:pPr>
        <w:pStyle w:val="P68B1DB1-Normal4"/>
        <w:spacing w:before="40" w:after="0" w:line="259" w:lineRule="auto"/>
        <w:jc w:val="both"/>
        <w:rPr>
          <w:rFonts w:cs="Times New Roman"/>
          <w:noProof/>
        </w:rPr>
      </w:pPr>
      <w:r>
        <w:rPr>
          <w:noProof/>
        </w:rPr>
        <w:t xml:space="preserve">Vloge se ocenijo pri oceni ravni zmanjšanja emisij ogljikovega dioksida (CO2), izračunanih na podlagi kazalnika intenzivnosti ogljika (CII), in navedbi na delovno enoto prevoza v odstotkih ter pri oceni ravni zmanjšanja emisij žveplovih oksidov (SOx), dušikovih oksidov (NOx) in trdnih delcev v odstotkih. Kot kazalnik ocene se uporablja tudi indeks energijske učinkovitosti obstoječih ladij (EEXI).  </w:t>
      </w:r>
    </w:p>
    <w:p w14:paraId="54D2FF52" w14:textId="77777777" w:rsidR="00F24946" w:rsidRDefault="00613B06">
      <w:pPr>
        <w:pStyle w:val="P68B1DB1-Normal4"/>
        <w:spacing w:before="40" w:after="0" w:line="259" w:lineRule="auto"/>
        <w:jc w:val="both"/>
        <w:rPr>
          <w:rFonts w:eastAsia="@MS Mincho" w:cs="Times New Roman"/>
          <w:noProof/>
        </w:rPr>
      </w:pPr>
      <w:r>
        <w:rPr>
          <w:noProof/>
        </w:rPr>
        <w:t xml:space="preserve">Za zagotovitev, da je ukrep skladen s tehničnimi smernicami, da se ne škoduje bistveno (2021/C58/01), naložba prispeva k vsaj 10-odstotnemu zmanjšanju porabe goriva ladje, izražene v gramih goriva na nosilnost ton na navtično miljo. Izračun porabe se dokaže z računalniško dinamiko tekočin (CFD), preskusi v rezervoarju ali podobnimi inženirskimi izračuni). Poleg tega plovila niso namenjena prevozu fosilnih goriv. </w:t>
      </w:r>
    </w:p>
    <w:p w14:paraId="4981A449" w14:textId="09E215CA" w:rsidR="00F24946" w:rsidRDefault="00613B06">
      <w:pPr>
        <w:pStyle w:val="P68B1DB1-Normal4"/>
        <w:spacing w:before="40" w:after="0" w:line="259" w:lineRule="auto"/>
        <w:jc w:val="both"/>
        <w:rPr>
          <w:rFonts w:cs="Times New Roman"/>
          <w:noProof/>
        </w:rPr>
      </w:pPr>
      <w:r>
        <w:rPr>
          <w:noProof/>
        </w:rPr>
        <w:t>Naložba se izvede do 30. junija 2026.</w:t>
      </w:r>
    </w:p>
    <w:p w14:paraId="1FA687FB"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p>
    <w:p w14:paraId="21CBC0E4" w14:textId="0F96D272"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J.4. Mejniki, cilji, kazalniki in časovni razpored za spremljanje in izvajanje posojila</w:t>
      </w:r>
    </w:p>
    <w:p w14:paraId="2814265F" w14:textId="77777777" w:rsidR="00F24946" w:rsidRDefault="00F24946">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F24946" w14:paraId="7C352B17" w14:textId="77777777">
        <w:trPr>
          <w:trHeight w:val="910"/>
          <w:tblHeader/>
        </w:trPr>
        <w:tc>
          <w:tcPr>
            <w:tcW w:w="1101" w:type="dxa"/>
            <w:vMerge w:val="restart"/>
            <w:shd w:val="clear" w:color="auto" w:fill="BDD6EE"/>
            <w:vAlign w:val="center"/>
            <w:hideMark/>
          </w:tcPr>
          <w:p w14:paraId="293CE21B" w14:textId="77777777" w:rsidR="00F24946" w:rsidRDefault="00613B06">
            <w:pPr>
              <w:pStyle w:val="P68B1DB1-Normal6"/>
              <w:keepNext/>
              <w:spacing w:before="40" w:after="0" w:line="240" w:lineRule="auto"/>
              <w:jc w:val="center"/>
              <w:rPr>
                <w:rFonts w:eastAsia="Times New Roman" w:cs="Times New Roman"/>
                <w:noProof/>
              </w:rPr>
            </w:pPr>
            <w:r>
              <w:rPr>
                <w:noProof/>
              </w:rPr>
              <w:t>Zaporedna številka</w:t>
            </w:r>
          </w:p>
        </w:tc>
        <w:tc>
          <w:tcPr>
            <w:tcW w:w="1231" w:type="dxa"/>
            <w:vMerge w:val="restart"/>
            <w:shd w:val="clear" w:color="auto" w:fill="BDD6EE"/>
            <w:vAlign w:val="center"/>
            <w:hideMark/>
          </w:tcPr>
          <w:p w14:paraId="1FBAE739" w14:textId="77777777" w:rsidR="00F24946" w:rsidRDefault="00613B06">
            <w:pPr>
              <w:pStyle w:val="P68B1DB1-Normal6"/>
              <w:keepNext/>
              <w:spacing w:before="40" w:after="0" w:line="240" w:lineRule="auto"/>
              <w:jc w:val="center"/>
              <w:rPr>
                <w:rFonts w:eastAsia="Times New Roman" w:cs="Times New Roman"/>
                <w:noProof/>
              </w:rPr>
            </w:pPr>
            <w:r>
              <w:rPr>
                <w:noProof/>
              </w:rPr>
              <w:t>Ukrep (reforma ali naložba)</w:t>
            </w:r>
          </w:p>
        </w:tc>
        <w:tc>
          <w:tcPr>
            <w:tcW w:w="1096" w:type="dxa"/>
            <w:vMerge w:val="restart"/>
            <w:shd w:val="clear" w:color="auto" w:fill="BDD6EE"/>
            <w:vAlign w:val="center"/>
            <w:hideMark/>
          </w:tcPr>
          <w:p w14:paraId="60453F23" w14:textId="77777777" w:rsidR="00F24946" w:rsidRDefault="00613B06">
            <w:pPr>
              <w:pStyle w:val="P68B1DB1-Normal6"/>
              <w:keepNext/>
              <w:spacing w:before="40" w:after="0" w:line="240" w:lineRule="auto"/>
              <w:jc w:val="center"/>
              <w:rPr>
                <w:rFonts w:eastAsia="Times New Roman" w:cs="Times New Roman"/>
                <w:noProof/>
                <w:sz w:val="14"/>
              </w:rPr>
            </w:pPr>
            <w:r>
              <w:rPr>
                <w:noProof/>
              </w:rPr>
              <w:t>Mejnik/cilj</w:t>
            </w:r>
          </w:p>
        </w:tc>
        <w:tc>
          <w:tcPr>
            <w:tcW w:w="1640" w:type="dxa"/>
            <w:vMerge w:val="restart"/>
            <w:shd w:val="clear" w:color="auto" w:fill="BDD6EE"/>
            <w:vAlign w:val="center"/>
            <w:hideMark/>
          </w:tcPr>
          <w:p w14:paraId="5B93FBDA" w14:textId="77777777" w:rsidR="00F24946" w:rsidRDefault="00613B06">
            <w:pPr>
              <w:pStyle w:val="P68B1DB1-Normal6"/>
              <w:keepNext/>
              <w:spacing w:before="40" w:after="0" w:line="240" w:lineRule="auto"/>
              <w:jc w:val="center"/>
              <w:rPr>
                <w:rFonts w:eastAsia="Times New Roman" w:cs="Times New Roman"/>
                <w:noProof/>
              </w:rPr>
            </w:pPr>
            <w:r>
              <w:rPr>
                <w:noProof/>
              </w:rPr>
              <w:t>Ime</w:t>
            </w:r>
          </w:p>
        </w:tc>
        <w:tc>
          <w:tcPr>
            <w:tcW w:w="1231" w:type="dxa"/>
            <w:vMerge w:val="restart"/>
            <w:shd w:val="clear" w:color="auto" w:fill="BDD6EE"/>
            <w:vAlign w:val="center"/>
            <w:hideMark/>
          </w:tcPr>
          <w:p w14:paraId="5731C7BD" w14:textId="77777777" w:rsidR="00F24946" w:rsidRDefault="00613B06">
            <w:pPr>
              <w:pStyle w:val="P68B1DB1-Normal6"/>
              <w:keepNext/>
              <w:spacing w:before="40" w:after="0" w:line="240" w:lineRule="auto"/>
              <w:jc w:val="center"/>
              <w:rPr>
                <w:rFonts w:eastAsia="Times New Roman" w:cs="Times New Roman"/>
                <w:noProof/>
              </w:rPr>
            </w:pPr>
            <w:r>
              <w:rPr>
                <w:noProof/>
              </w:rPr>
              <w:t>Kvalitativni kazalniki za mejnike</w:t>
            </w:r>
          </w:p>
        </w:tc>
        <w:tc>
          <w:tcPr>
            <w:tcW w:w="2613" w:type="dxa"/>
            <w:gridSpan w:val="3"/>
            <w:shd w:val="clear" w:color="auto" w:fill="BDD6EE"/>
            <w:vAlign w:val="center"/>
            <w:hideMark/>
          </w:tcPr>
          <w:p w14:paraId="2BC88CEE" w14:textId="77777777" w:rsidR="00F24946" w:rsidRDefault="00613B06">
            <w:pPr>
              <w:pStyle w:val="P68B1DB1-Normal6"/>
              <w:keepNext/>
              <w:spacing w:before="40" w:after="0" w:line="240" w:lineRule="auto"/>
              <w:jc w:val="center"/>
              <w:rPr>
                <w:rFonts w:eastAsia="Times New Roman" w:cs="Times New Roman"/>
                <w:noProof/>
              </w:rPr>
            </w:pPr>
            <w:r>
              <w:rPr>
                <w:noProof/>
              </w:rPr>
              <w:t>Kvantitativni kazalniki (za ciljne vrednosti)</w:t>
            </w:r>
          </w:p>
        </w:tc>
        <w:tc>
          <w:tcPr>
            <w:tcW w:w="1238" w:type="dxa"/>
            <w:gridSpan w:val="2"/>
            <w:shd w:val="clear" w:color="auto" w:fill="BDD6EE"/>
            <w:vAlign w:val="center"/>
            <w:hideMark/>
          </w:tcPr>
          <w:p w14:paraId="47D3562F" w14:textId="77777777" w:rsidR="00F24946" w:rsidRDefault="00613B06">
            <w:pPr>
              <w:pStyle w:val="P68B1DB1-Normal6"/>
              <w:keepNext/>
              <w:spacing w:before="40" w:after="0" w:line="240" w:lineRule="auto"/>
              <w:jc w:val="center"/>
              <w:rPr>
                <w:rFonts w:eastAsia="Times New Roman" w:cs="Times New Roman"/>
                <w:noProof/>
              </w:rPr>
            </w:pPr>
            <w:r>
              <w:rPr>
                <w:noProof/>
              </w:rPr>
              <w:t>Okvirni časovni razpored za dokončanje</w:t>
            </w:r>
          </w:p>
        </w:tc>
        <w:tc>
          <w:tcPr>
            <w:tcW w:w="5223" w:type="dxa"/>
            <w:vMerge w:val="restart"/>
            <w:shd w:val="clear" w:color="auto" w:fill="BDD6EE"/>
            <w:vAlign w:val="center"/>
            <w:hideMark/>
          </w:tcPr>
          <w:p w14:paraId="119E2D1B" w14:textId="77777777" w:rsidR="00F24946" w:rsidRDefault="00613B06">
            <w:pPr>
              <w:pStyle w:val="P68B1DB1-Normal6"/>
              <w:keepNext/>
              <w:spacing w:before="40" w:after="0" w:line="240" w:lineRule="auto"/>
              <w:jc w:val="center"/>
              <w:rPr>
                <w:rFonts w:eastAsia="Times New Roman" w:cs="Times New Roman"/>
                <w:noProof/>
              </w:rPr>
            </w:pPr>
            <w:r>
              <w:rPr>
                <w:noProof/>
              </w:rPr>
              <w:t>Opis in jasna opredelitev vsakega mejnika in cilja</w:t>
            </w:r>
          </w:p>
        </w:tc>
      </w:tr>
      <w:tr w:rsidR="00F24946" w14:paraId="12D4B3EB" w14:textId="77777777">
        <w:trPr>
          <w:trHeight w:val="470"/>
          <w:tblHeader/>
        </w:trPr>
        <w:tc>
          <w:tcPr>
            <w:tcW w:w="1101" w:type="dxa"/>
            <w:vMerge/>
            <w:vAlign w:val="center"/>
            <w:hideMark/>
          </w:tcPr>
          <w:p w14:paraId="1EC2F9BC"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38F355D3"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6A303FCA" w14:textId="77777777" w:rsidR="00F24946" w:rsidRDefault="00F24946">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580C14CE"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6286F64E"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6EA3F582" w14:textId="77777777" w:rsidR="00F24946" w:rsidRDefault="00613B06">
            <w:pPr>
              <w:pStyle w:val="P68B1DB1-Normal6"/>
              <w:keepNext/>
              <w:spacing w:before="40" w:after="0" w:line="240" w:lineRule="auto"/>
              <w:jc w:val="center"/>
              <w:rPr>
                <w:rFonts w:eastAsia="Times New Roman" w:cs="Times New Roman"/>
                <w:noProof/>
              </w:rPr>
            </w:pPr>
            <w:r>
              <w:rPr>
                <w:noProof/>
              </w:rPr>
              <w:t>Merska enota</w:t>
            </w:r>
          </w:p>
        </w:tc>
        <w:tc>
          <w:tcPr>
            <w:tcW w:w="961" w:type="dxa"/>
            <w:shd w:val="clear" w:color="auto" w:fill="BDD6EE"/>
            <w:vAlign w:val="center"/>
            <w:hideMark/>
          </w:tcPr>
          <w:p w14:paraId="230E8100" w14:textId="77777777" w:rsidR="00F24946" w:rsidRDefault="00613B06">
            <w:pPr>
              <w:pStyle w:val="P68B1DB1-Normal6"/>
              <w:keepNext/>
              <w:spacing w:before="40" w:after="0" w:line="240" w:lineRule="auto"/>
              <w:jc w:val="center"/>
              <w:rPr>
                <w:rFonts w:eastAsia="Times New Roman" w:cs="Times New Roman"/>
                <w:noProof/>
              </w:rPr>
            </w:pPr>
            <w:r>
              <w:rPr>
                <w:noProof/>
              </w:rPr>
              <w:t>Izhodišče</w:t>
            </w:r>
          </w:p>
        </w:tc>
        <w:tc>
          <w:tcPr>
            <w:tcW w:w="690" w:type="dxa"/>
            <w:shd w:val="clear" w:color="auto" w:fill="BDD6EE"/>
            <w:vAlign w:val="center"/>
            <w:hideMark/>
          </w:tcPr>
          <w:p w14:paraId="7E77B1BE" w14:textId="77777777" w:rsidR="00F24946" w:rsidRDefault="00613B06">
            <w:pPr>
              <w:pStyle w:val="P68B1DB1-Normal6"/>
              <w:keepNext/>
              <w:spacing w:before="40" w:after="0" w:line="240" w:lineRule="auto"/>
              <w:jc w:val="center"/>
              <w:rPr>
                <w:rFonts w:eastAsia="Times New Roman" w:cs="Times New Roman"/>
                <w:noProof/>
              </w:rPr>
            </w:pPr>
            <w:r>
              <w:rPr>
                <w:noProof/>
              </w:rPr>
              <w:t>Cilj</w:t>
            </w:r>
          </w:p>
        </w:tc>
        <w:tc>
          <w:tcPr>
            <w:tcW w:w="554" w:type="dxa"/>
            <w:shd w:val="clear" w:color="auto" w:fill="BDD6EE"/>
            <w:vAlign w:val="center"/>
            <w:hideMark/>
          </w:tcPr>
          <w:p w14:paraId="50EAB092" w14:textId="77777777" w:rsidR="00F24946" w:rsidRDefault="00613B06">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5684B644" w14:textId="77777777" w:rsidR="00F24946" w:rsidRDefault="00613B06">
            <w:pPr>
              <w:pStyle w:val="P68B1DB1-Normal6"/>
              <w:keepNext/>
              <w:spacing w:before="40" w:after="0" w:line="240" w:lineRule="auto"/>
              <w:jc w:val="center"/>
              <w:rPr>
                <w:rFonts w:eastAsia="Times New Roman" w:cs="Times New Roman"/>
                <w:noProof/>
              </w:rPr>
            </w:pPr>
            <w:r>
              <w:rPr>
                <w:noProof/>
              </w:rPr>
              <w:t>Leto</w:t>
            </w:r>
          </w:p>
        </w:tc>
        <w:tc>
          <w:tcPr>
            <w:tcW w:w="5223" w:type="dxa"/>
            <w:vMerge/>
            <w:vAlign w:val="center"/>
            <w:hideMark/>
          </w:tcPr>
          <w:p w14:paraId="3C5137C1" w14:textId="77777777" w:rsidR="00F24946" w:rsidRDefault="00F24946">
            <w:pPr>
              <w:keepNext/>
              <w:spacing w:before="40" w:after="0" w:line="240" w:lineRule="auto"/>
              <w:jc w:val="both"/>
              <w:rPr>
                <w:rFonts w:ascii="Times New Roman" w:eastAsia="Times New Roman" w:hAnsi="Times New Roman" w:cs="Times New Roman"/>
                <w:b/>
                <w:noProof/>
                <w:sz w:val="18"/>
              </w:rPr>
            </w:pPr>
          </w:p>
        </w:tc>
      </w:tr>
      <w:tr w:rsidR="00F24946" w14:paraId="52BD253E" w14:textId="77777777">
        <w:trPr>
          <w:trHeight w:val="61"/>
        </w:trPr>
        <w:tc>
          <w:tcPr>
            <w:tcW w:w="1101" w:type="dxa"/>
            <w:shd w:val="clear" w:color="auto" w:fill="C4EFCE"/>
            <w:vAlign w:val="center"/>
          </w:tcPr>
          <w:p w14:paraId="1F146FCF" w14:textId="4E6EEEBB" w:rsidR="00F24946" w:rsidRDefault="00613B06">
            <w:pPr>
              <w:pStyle w:val="P68B1DB1-Normal7"/>
              <w:keepNext/>
              <w:spacing w:before="40" w:after="0" w:line="240" w:lineRule="auto"/>
              <w:jc w:val="center"/>
              <w:rPr>
                <w:noProof/>
                <w:highlight w:val="magenta"/>
              </w:rPr>
            </w:pPr>
            <w:r>
              <w:rPr>
                <w:noProof/>
              </w:rPr>
              <w:t>10.5</w:t>
            </w:r>
          </w:p>
        </w:tc>
        <w:tc>
          <w:tcPr>
            <w:tcW w:w="1231" w:type="dxa"/>
            <w:shd w:val="clear" w:color="auto" w:fill="C4EFCE"/>
            <w:noWrap/>
            <w:vAlign w:val="center"/>
          </w:tcPr>
          <w:p w14:paraId="6E122812" w14:textId="10C964C3" w:rsidR="00F24946" w:rsidRDefault="00613B06">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49982C81" w14:textId="192B44BD" w:rsidR="00F24946" w:rsidRDefault="00613B06">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6DF03557" w14:textId="2BF8CD78" w:rsidR="00F24946" w:rsidRDefault="00613B06">
            <w:pPr>
              <w:pStyle w:val="P68B1DB1-Normal8"/>
              <w:keepNext/>
              <w:spacing w:before="40" w:after="0" w:line="240" w:lineRule="auto"/>
              <w:jc w:val="center"/>
              <w:rPr>
                <w:rFonts w:cstheme="minorHAnsi"/>
                <w:noProof/>
              </w:rPr>
            </w:pPr>
            <w:r>
              <w:rPr>
                <w:noProof/>
              </w:rPr>
              <w:t>Podpis pogodbe za večfunkcionalno pomorsko platformo in operativni center</w:t>
            </w:r>
          </w:p>
        </w:tc>
        <w:tc>
          <w:tcPr>
            <w:tcW w:w="1231" w:type="dxa"/>
            <w:shd w:val="clear" w:color="auto" w:fill="C4EFCE"/>
            <w:noWrap/>
            <w:vAlign w:val="center"/>
          </w:tcPr>
          <w:p w14:paraId="333B3AB3" w14:textId="02EF4106" w:rsidR="00F24946" w:rsidRDefault="00613B06">
            <w:pPr>
              <w:pStyle w:val="P68B1DB1-Normal8"/>
              <w:keepNext/>
              <w:spacing w:before="40" w:after="0" w:line="240" w:lineRule="auto"/>
              <w:jc w:val="center"/>
              <w:rPr>
                <w:rFonts w:cstheme="minorHAnsi"/>
                <w:noProof/>
              </w:rPr>
            </w:pPr>
            <w:r>
              <w:rPr>
                <w:noProof/>
              </w:rPr>
              <w:t>Podpis pogodbe za večfunkcionalno pomorsko platformo in operativni center</w:t>
            </w:r>
          </w:p>
        </w:tc>
        <w:tc>
          <w:tcPr>
            <w:tcW w:w="962" w:type="dxa"/>
            <w:shd w:val="clear" w:color="auto" w:fill="C4EFCE"/>
            <w:noWrap/>
            <w:vAlign w:val="center"/>
          </w:tcPr>
          <w:p w14:paraId="0247B4AE" w14:textId="2F9E4126" w:rsidR="00F24946" w:rsidRDefault="00613B06">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3EB2DE9" w14:textId="65360A99" w:rsidR="00F24946" w:rsidRDefault="00613B06">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404D0E0D" w14:textId="65417E79" w:rsidR="00F24946" w:rsidRDefault="00613B06">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6720E15C" w14:textId="1C9DE191" w:rsidR="00F24946" w:rsidRDefault="00613B06">
            <w:pPr>
              <w:pStyle w:val="P68B1DB1-Normal8"/>
              <w:keepNext/>
              <w:spacing w:before="40" w:after="0" w:line="240" w:lineRule="auto"/>
              <w:jc w:val="center"/>
              <w:rPr>
                <w:rFonts w:cstheme="minorHAnsi"/>
                <w:noProof/>
              </w:rPr>
            </w:pPr>
            <w:r>
              <w:rPr>
                <w:noProof/>
              </w:rPr>
              <w:t>Q3</w:t>
            </w:r>
          </w:p>
        </w:tc>
        <w:tc>
          <w:tcPr>
            <w:tcW w:w="684" w:type="dxa"/>
            <w:shd w:val="clear" w:color="auto" w:fill="C4EFCE"/>
            <w:noWrap/>
            <w:vAlign w:val="center"/>
          </w:tcPr>
          <w:p w14:paraId="7372820D" w14:textId="3637367A" w:rsidR="00F24946" w:rsidRDefault="00613B06">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30002EA5" w14:textId="77777777" w:rsidR="00F24946" w:rsidRDefault="00613B06">
            <w:pPr>
              <w:pStyle w:val="P68B1DB1-Normal8"/>
              <w:keepNext/>
              <w:spacing w:before="40" w:after="0" w:line="240" w:lineRule="auto"/>
              <w:jc w:val="both"/>
              <w:rPr>
                <w:rFonts w:eastAsia="Times New Roman" w:cs="Calibri"/>
                <w:noProof/>
              </w:rPr>
            </w:pPr>
            <w:r>
              <w:rPr>
                <w:noProof/>
              </w:rPr>
              <w:t xml:space="preserve">Podpis pogodbe o gradbenih delih po objavi javnega razpisa – stebra I in II: </w:t>
            </w:r>
          </w:p>
          <w:p w14:paraId="120A48F6" w14:textId="77777777" w:rsidR="00F24946" w:rsidRDefault="00613B06">
            <w:pPr>
              <w:pStyle w:val="P68B1DB1-Normal8"/>
              <w:keepNext/>
              <w:spacing w:before="40" w:after="0" w:line="240" w:lineRule="auto"/>
              <w:jc w:val="both"/>
              <w:rPr>
                <w:rFonts w:eastAsia="Times New Roman" w:cs="Calibri"/>
                <w:noProof/>
              </w:rPr>
            </w:pPr>
            <w:r>
              <w:rPr>
                <w:noProof/>
              </w:rPr>
              <w:t xml:space="preserve">Steber I – večnamenska pomorska platforma, </w:t>
            </w:r>
          </w:p>
          <w:p w14:paraId="2F9DB0C1" w14:textId="77777777" w:rsidR="00F24946" w:rsidRDefault="00613B06">
            <w:pPr>
              <w:pStyle w:val="P68B1DB1-Normal8"/>
              <w:keepNext/>
              <w:spacing w:before="40" w:after="0" w:line="240" w:lineRule="auto"/>
              <w:jc w:val="both"/>
              <w:rPr>
                <w:rFonts w:eastAsia="Times New Roman" w:cs="Calibri"/>
                <w:noProof/>
              </w:rPr>
            </w:pPr>
            <w:r>
              <w:rPr>
                <w:noProof/>
              </w:rPr>
              <w:t>Vključuje gradnjo večnamenske pomorske ploščadi, dolge približno 100 metrov, z dinamičnim samodejnim določanjem položaja, integriranim sistemom upravljanja ploščadi, poveljniškim mostom in operativnim centrom, podvodnim sistemom za zvočno določanje položaja, odprtino za izstrelitev podmornic in/ali izkrcanje avtonomnih sistemov, žerjavov, helidemin itd.),</w:t>
            </w:r>
          </w:p>
          <w:p w14:paraId="4F92961B" w14:textId="0FCD137D" w:rsidR="00F24946" w:rsidRDefault="00613B06">
            <w:pPr>
              <w:pStyle w:val="P68B1DB1-Normal8"/>
              <w:keepNext/>
              <w:spacing w:before="40" w:after="0" w:line="240" w:lineRule="auto"/>
              <w:jc w:val="both"/>
              <w:rPr>
                <w:rFonts w:eastAsia="Times New Roman" w:cs="Calibri"/>
                <w:noProof/>
              </w:rPr>
            </w:pPr>
            <w:r>
              <w:rPr>
                <w:noProof/>
              </w:rPr>
              <w:t>Vključuje tudi zmožnost upravljanja vozil do 6000 metrov, parkiranje avtonomnih površinskih vozil in dodatna pomorska sredstva (vključno z avtonomnimi oceanskimi površinskimi vozili, avtonomnimi podvodnimi vozili, avtonomnimi zračnimi vozili, droni).</w:t>
            </w:r>
          </w:p>
          <w:p w14:paraId="45957A47" w14:textId="77777777" w:rsidR="00F24946" w:rsidRDefault="00613B06">
            <w:pPr>
              <w:pStyle w:val="P68B1DB1-Normal8"/>
              <w:keepNext/>
              <w:spacing w:before="40" w:after="0" w:line="240" w:lineRule="auto"/>
              <w:jc w:val="both"/>
              <w:rPr>
                <w:rFonts w:eastAsia="Times New Roman" w:cs="Calibri"/>
                <w:noProof/>
              </w:rPr>
            </w:pPr>
            <w:r>
              <w:rPr>
                <w:noProof/>
              </w:rPr>
              <w:t>Steber II – Operativni center</w:t>
            </w:r>
          </w:p>
          <w:p w14:paraId="0AF421B0" w14:textId="49716D7D" w:rsidR="00F24946" w:rsidRDefault="00613B06">
            <w:pPr>
              <w:pStyle w:val="P68B1DB1-Bodytext1018"/>
              <w:spacing w:before="40" w:after="0" w:line="240" w:lineRule="auto"/>
              <w:jc w:val="both"/>
              <w:rPr>
                <w:rFonts w:asciiTheme="minorHAnsi" w:hAnsiTheme="minorHAnsi" w:cstheme="minorHAnsi"/>
                <w:noProof/>
              </w:rPr>
            </w:pPr>
            <w:r>
              <w:rPr>
                <w:noProof/>
              </w:rPr>
              <w:t>Vključuje prenovo obstoječih stavb in struktur, naprav za računalniške in komunikacijske sisteme za operativni center in laboratorijsko omrežje, visokozmogljivostne računalniške sisteme in sisteme za shranjevanje informacij, komunikacijske sisteme (vključno z zelo majhnimi odprtinami terminala (VSAT) izključno televisonov (TVRO) in interoperabilnostnimi sistemi z drugimi pomorskimi sistemi, razvoj programske opreme in potopitvenimi sistemi.</w:t>
            </w:r>
          </w:p>
        </w:tc>
      </w:tr>
      <w:tr w:rsidR="00F24946" w14:paraId="2CE6D5E1" w14:textId="77777777">
        <w:trPr>
          <w:trHeight w:val="61"/>
        </w:trPr>
        <w:tc>
          <w:tcPr>
            <w:tcW w:w="1101" w:type="dxa"/>
            <w:shd w:val="clear" w:color="auto" w:fill="C4EFCE"/>
            <w:vAlign w:val="center"/>
          </w:tcPr>
          <w:p w14:paraId="49ADFB31" w14:textId="33E084CF" w:rsidR="00F24946" w:rsidRDefault="00613B06">
            <w:pPr>
              <w:pStyle w:val="P68B1DB1-Normal7"/>
              <w:keepNext/>
              <w:spacing w:before="40" w:after="0" w:line="240" w:lineRule="auto"/>
              <w:jc w:val="center"/>
              <w:rPr>
                <w:noProof/>
                <w:highlight w:val="magenta"/>
              </w:rPr>
            </w:pPr>
            <w:r>
              <w:rPr>
                <w:noProof/>
              </w:rPr>
              <w:t>10.6</w:t>
            </w:r>
          </w:p>
        </w:tc>
        <w:tc>
          <w:tcPr>
            <w:tcW w:w="1231" w:type="dxa"/>
            <w:shd w:val="clear" w:color="auto" w:fill="C4EFCE"/>
            <w:noWrap/>
            <w:vAlign w:val="center"/>
          </w:tcPr>
          <w:p w14:paraId="328A6835" w14:textId="4753CB2C" w:rsidR="00F24946" w:rsidRDefault="00613B06">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02CC9831" w14:textId="74A625E2" w:rsidR="00F24946" w:rsidRDefault="00613B06">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7DF74898" w14:textId="25083335" w:rsidR="00F24946" w:rsidRDefault="00613B06">
            <w:pPr>
              <w:pStyle w:val="P68B1DB1-Normal8"/>
              <w:keepNext/>
              <w:spacing w:before="40" w:after="0" w:line="240" w:lineRule="auto"/>
              <w:jc w:val="center"/>
              <w:rPr>
                <w:rFonts w:cstheme="minorHAnsi"/>
                <w:noProof/>
              </w:rPr>
            </w:pPr>
            <w:r>
              <w:rPr>
                <w:noProof/>
              </w:rPr>
              <w:t>Dokončanje akademije Alfeite Arsenal</w:t>
            </w:r>
          </w:p>
        </w:tc>
        <w:tc>
          <w:tcPr>
            <w:tcW w:w="1231" w:type="dxa"/>
            <w:shd w:val="clear" w:color="auto" w:fill="C4EFCE"/>
            <w:noWrap/>
            <w:vAlign w:val="center"/>
          </w:tcPr>
          <w:p w14:paraId="12A8E34A" w14:textId="46A14581" w:rsidR="00F24946" w:rsidRDefault="00613B06">
            <w:pPr>
              <w:pStyle w:val="P68B1DB1-Normal8"/>
              <w:keepNext/>
              <w:spacing w:before="40" w:after="0" w:line="240" w:lineRule="auto"/>
              <w:jc w:val="center"/>
              <w:rPr>
                <w:rFonts w:cstheme="minorHAnsi"/>
                <w:noProof/>
              </w:rPr>
            </w:pPr>
            <w:r>
              <w:rPr>
                <w:noProof/>
              </w:rPr>
              <w:t>Dokončanje akademije Alfeite Arsenal </w:t>
            </w:r>
          </w:p>
        </w:tc>
        <w:tc>
          <w:tcPr>
            <w:tcW w:w="962" w:type="dxa"/>
            <w:shd w:val="clear" w:color="auto" w:fill="C4EFCE"/>
            <w:noWrap/>
            <w:vAlign w:val="center"/>
          </w:tcPr>
          <w:p w14:paraId="74243FDB" w14:textId="33F44A1E" w:rsidR="00F24946" w:rsidRDefault="00613B06">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2DB2BAAF" w14:textId="3DCC3C16" w:rsidR="00F24946" w:rsidRDefault="00613B06">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3CB08472" w14:textId="5F29F401" w:rsidR="00F24946" w:rsidRDefault="00613B06">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5AD5DE15" w14:textId="6782A64C" w:rsidR="00F24946" w:rsidRDefault="00613B06">
            <w:pPr>
              <w:pStyle w:val="P68B1DB1-Normal8"/>
              <w:keepNext/>
              <w:spacing w:before="40" w:after="0" w:line="240" w:lineRule="auto"/>
              <w:jc w:val="center"/>
              <w:rPr>
                <w:rFonts w:cstheme="minorHAnsi"/>
                <w:noProof/>
              </w:rPr>
            </w:pPr>
            <w:r>
              <w:rPr>
                <w:noProof/>
              </w:rPr>
              <w:t>Q4</w:t>
            </w:r>
          </w:p>
        </w:tc>
        <w:tc>
          <w:tcPr>
            <w:tcW w:w="684" w:type="dxa"/>
            <w:shd w:val="clear" w:color="auto" w:fill="C4EFCE"/>
            <w:noWrap/>
            <w:vAlign w:val="center"/>
          </w:tcPr>
          <w:p w14:paraId="59B5AF35" w14:textId="1A32ACF2" w:rsidR="00F24946" w:rsidRDefault="00613B06">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252172A4" w14:textId="77777777" w:rsidR="00F24946" w:rsidRDefault="00613B06">
            <w:pPr>
              <w:pStyle w:val="P68B1DB1-Normal8"/>
              <w:keepNext/>
              <w:spacing w:before="40" w:after="0" w:line="240" w:lineRule="auto"/>
              <w:jc w:val="both"/>
              <w:rPr>
                <w:rFonts w:eastAsia="Times New Roman" w:cs="Calibri"/>
                <w:noProof/>
              </w:rPr>
            </w:pPr>
            <w:r>
              <w:rPr>
                <w:noProof/>
              </w:rPr>
              <w:t xml:space="preserve">Dokončanje šole za akademijo Alfeite Arsenal </w:t>
            </w:r>
          </w:p>
          <w:p w14:paraId="2A0F6D74" w14:textId="0F37D64C" w:rsidR="00F24946" w:rsidRDefault="00613B06">
            <w:pPr>
              <w:pStyle w:val="P68B1DB1-Bodytext1018"/>
              <w:spacing w:before="40" w:after="0" w:line="240" w:lineRule="auto"/>
              <w:jc w:val="both"/>
              <w:rPr>
                <w:rFonts w:asciiTheme="minorHAnsi" w:hAnsiTheme="minorHAnsi" w:cstheme="minorHAnsi"/>
                <w:noProof/>
              </w:rPr>
            </w:pPr>
            <w:r>
              <w:rPr>
                <w:noProof/>
              </w:rPr>
              <w:t>(vključno z nadgradnjo infrastrukture in nakupom opreme (računalnikov; laboratorijska oprema, tehnološka infrastruktura, oprema za industrijo 4.0 in digitalni prehod), diagnostika potreb po usposabljanju, razvoj tečajev usposabljanja, zagotavljanje prvih tečajev usposabljanja že pred dokončanjem šole)</w:t>
            </w:r>
          </w:p>
        </w:tc>
      </w:tr>
      <w:tr w:rsidR="00F24946" w14:paraId="48A6F7E1" w14:textId="77777777">
        <w:trPr>
          <w:trHeight w:val="61"/>
        </w:trPr>
        <w:tc>
          <w:tcPr>
            <w:tcW w:w="1101" w:type="dxa"/>
            <w:shd w:val="clear" w:color="auto" w:fill="C4EFCE"/>
            <w:vAlign w:val="center"/>
          </w:tcPr>
          <w:p w14:paraId="6A6158B3" w14:textId="6C24D77B" w:rsidR="00F24946" w:rsidRDefault="00613B06">
            <w:pPr>
              <w:pStyle w:val="P68B1DB1-Normal7"/>
              <w:keepNext/>
              <w:spacing w:before="40" w:after="0" w:line="240" w:lineRule="auto"/>
              <w:jc w:val="center"/>
              <w:rPr>
                <w:noProof/>
                <w:highlight w:val="magenta"/>
              </w:rPr>
            </w:pPr>
            <w:r>
              <w:rPr>
                <w:noProof/>
              </w:rPr>
              <w:t>10.7</w:t>
            </w:r>
          </w:p>
        </w:tc>
        <w:tc>
          <w:tcPr>
            <w:tcW w:w="1231" w:type="dxa"/>
            <w:shd w:val="clear" w:color="auto" w:fill="C4EFCE"/>
            <w:noWrap/>
            <w:vAlign w:val="center"/>
          </w:tcPr>
          <w:p w14:paraId="3394B414" w14:textId="5C6B7A86" w:rsidR="00F24946" w:rsidRDefault="00613B06">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6ACD3011" w14:textId="224855CD" w:rsidR="00F24946" w:rsidRDefault="00613B06">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5CB9DCFB" w14:textId="4C105B42" w:rsidR="00F24946" w:rsidRDefault="00613B06">
            <w:pPr>
              <w:pStyle w:val="P68B1DB1-Normal8"/>
              <w:keepNext/>
              <w:spacing w:before="40" w:after="0" w:line="240" w:lineRule="auto"/>
              <w:jc w:val="center"/>
              <w:rPr>
                <w:rFonts w:cstheme="minorHAnsi"/>
                <w:noProof/>
              </w:rPr>
            </w:pPr>
            <w:r>
              <w:rPr>
                <w:noProof/>
              </w:rPr>
              <w:t>Sprejem in sprejetje „večfunkcionalne pomorske platforme“ in „operativnega centra“</w:t>
            </w:r>
          </w:p>
        </w:tc>
        <w:tc>
          <w:tcPr>
            <w:tcW w:w="1231" w:type="dxa"/>
            <w:shd w:val="clear" w:color="auto" w:fill="C4EFCE"/>
            <w:noWrap/>
            <w:vAlign w:val="center"/>
          </w:tcPr>
          <w:p w14:paraId="615F7D19" w14:textId="2A89DF40" w:rsidR="00F24946" w:rsidRDefault="00613B06">
            <w:pPr>
              <w:pStyle w:val="P68B1DB1-Normal8"/>
              <w:keepNext/>
              <w:spacing w:before="40" w:after="0" w:line="240" w:lineRule="auto"/>
              <w:jc w:val="center"/>
              <w:rPr>
                <w:rFonts w:cstheme="minorHAnsi"/>
                <w:noProof/>
              </w:rPr>
            </w:pPr>
            <w:r>
              <w:rPr>
                <w:noProof/>
              </w:rPr>
              <w:t>Sprejem in sprejetje „večfunkcionalne pomorske platforme“ in „operativnega centra“</w:t>
            </w:r>
          </w:p>
        </w:tc>
        <w:tc>
          <w:tcPr>
            <w:tcW w:w="962" w:type="dxa"/>
            <w:shd w:val="clear" w:color="auto" w:fill="C4EFCE"/>
            <w:noWrap/>
            <w:vAlign w:val="center"/>
          </w:tcPr>
          <w:p w14:paraId="274F01D9" w14:textId="06465FCA" w:rsidR="00F24946" w:rsidRDefault="00613B06">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D06AC8A" w14:textId="54D56B13" w:rsidR="00F24946" w:rsidRDefault="00613B06">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2415E148" w14:textId="1A799591" w:rsidR="00F24946" w:rsidRDefault="00613B06">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76705501" w14:textId="1F822E67" w:rsidR="00F24946" w:rsidRDefault="00613B06">
            <w:pPr>
              <w:pStyle w:val="P68B1DB1-Normal8"/>
              <w:keepNext/>
              <w:spacing w:before="40" w:after="0" w:line="240" w:lineRule="auto"/>
              <w:jc w:val="center"/>
              <w:rPr>
                <w:rFonts w:cstheme="minorHAnsi"/>
                <w:noProof/>
              </w:rPr>
            </w:pPr>
            <w:r>
              <w:rPr>
                <w:noProof/>
              </w:rPr>
              <w:t>Q2</w:t>
            </w:r>
          </w:p>
        </w:tc>
        <w:tc>
          <w:tcPr>
            <w:tcW w:w="684" w:type="dxa"/>
            <w:shd w:val="clear" w:color="auto" w:fill="C4EFCE"/>
            <w:noWrap/>
            <w:vAlign w:val="center"/>
          </w:tcPr>
          <w:p w14:paraId="4E79FD00" w14:textId="603ADEA9" w:rsidR="00F24946" w:rsidRDefault="00613B06">
            <w:pPr>
              <w:pStyle w:val="P68B1DB1-Normal8"/>
              <w:keepNext/>
              <w:spacing w:before="40" w:after="0" w:line="240" w:lineRule="auto"/>
              <w:jc w:val="center"/>
              <w:rPr>
                <w:rFonts w:cstheme="minorHAnsi"/>
                <w:noProof/>
              </w:rPr>
            </w:pPr>
            <w:r>
              <w:rPr>
                <w:noProof/>
              </w:rPr>
              <w:t>2026</w:t>
            </w:r>
          </w:p>
        </w:tc>
        <w:tc>
          <w:tcPr>
            <w:tcW w:w="5223" w:type="dxa"/>
            <w:shd w:val="clear" w:color="auto" w:fill="C4EFCE"/>
            <w:vAlign w:val="center"/>
          </w:tcPr>
          <w:p w14:paraId="38EBC9BC" w14:textId="6072BE21" w:rsidR="00F24946" w:rsidRDefault="00613B06">
            <w:pPr>
              <w:pStyle w:val="P68B1DB1-Bodytext1018"/>
              <w:spacing w:before="40" w:after="0" w:line="240" w:lineRule="auto"/>
              <w:jc w:val="both"/>
              <w:rPr>
                <w:rFonts w:asciiTheme="minorHAnsi" w:hAnsiTheme="minorHAnsi" w:cstheme="minorHAnsi"/>
                <w:noProof/>
              </w:rPr>
            </w:pPr>
            <w:r>
              <w:rPr>
                <w:noProof/>
              </w:rPr>
              <w:t>Sprejem in sprejetje „večfunkcionalne pomorske platforme“ in „operativnega centra“</w:t>
            </w:r>
          </w:p>
        </w:tc>
      </w:tr>
      <w:tr w:rsidR="00F24946" w14:paraId="027F039F" w14:textId="77777777">
        <w:trPr>
          <w:trHeight w:val="61"/>
        </w:trPr>
        <w:tc>
          <w:tcPr>
            <w:tcW w:w="1101" w:type="dxa"/>
            <w:shd w:val="clear" w:color="auto" w:fill="C4EFCE"/>
            <w:vAlign w:val="center"/>
          </w:tcPr>
          <w:p w14:paraId="34B47902" w14:textId="00559ADD" w:rsidR="00F24946" w:rsidRDefault="00613B06">
            <w:pPr>
              <w:pStyle w:val="P68B1DB1-Normal11"/>
              <w:keepNext/>
              <w:spacing w:before="40" w:after="0" w:line="240" w:lineRule="auto"/>
              <w:jc w:val="center"/>
              <w:rPr>
                <w:noProof/>
              </w:rPr>
            </w:pPr>
            <w:r>
              <w:rPr>
                <w:noProof/>
              </w:rPr>
              <w:t>10.17</w:t>
            </w:r>
          </w:p>
        </w:tc>
        <w:tc>
          <w:tcPr>
            <w:tcW w:w="1231" w:type="dxa"/>
            <w:shd w:val="clear" w:color="auto" w:fill="C4EFCE"/>
            <w:noWrap/>
            <w:vAlign w:val="center"/>
          </w:tcPr>
          <w:p w14:paraId="0A93137A" w14:textId="55F0B8D2" w:rsidR="00F24946" w:rsidRDefault="00613B06">
            <w:pPr>
              <w:pStyle w:val="P68B1DB1-Normal12"/>
              <w:keepNext/>
              <w:spacing w:before="40" w:after="0" w:line="240" w:lineRule="auto"/>
              <w:jc w:val="center"/>
              <w:rPr>
                <w:rFonts w:eastAsia="Times New Roman" w:cstheme="minorHAnsi"/>
                <w:noProof/>
              </w:rPr>
            </w:pPr>
            <w:r>
              <w:rPr>
                <w:noProof/>
              </w:rPr>
              <w:t>TC-C10-i07</w:t>
            </w:r>
          </w:p>
        </w:tc>
        <w:tc>
          <w:tcPr>
            <w:tcW w:w="1096" w:type="dxa"/>
            <w:shd w:val="clear" w:color="auto" w:fill="C4EFCE"/>
            <w:noWrap/>
            <w:vAlign w:val="center"/>
          </w:tcPr>
          <w:p w14:paraId="475EE951" w14:textId="77777777" w:rsidR="00F24946" w:rsidRDefault="00613B06">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1F299288" w14:textId="77777777" w:rsidR="00F24946" w:rsidRDefault="00613B06">
            <w:pPr>
              <w:pStyle w:val="P68B1DB1-Normal12"/>
              <w:keepNext/>
              <w:spacing w:before="40" w:after="0" w:line="240" w:lineRule="auto"/>
              <w:jc w:val="center"/>
              <w:rPr>
                <w:rFonts w:eastAsia="Times New Roman" w:cstheme="minorHAnsi"/>
                <w:noProof/>
              </w:rPr>
            </w:pPr>
            <w:r>
              <w:rPr>
                <w:noProof/>
              </w:rPr>
              <w:t>Objava javnega razpisa za razogljičenje plovil</w:t>
            </w:r>
          </w:p>
        </w:tc>
        <w:tc>
          <w:tcPr>
            <w:tcW w:w="1231" w:type="dxa"/>
            <w:shd w:val="clear" w:color="auto" w:fill="C4EFCE"/>
            <w:noWrap/>
            <w:vAlign w:val="center"/>
          </w:tcPr>
          <w:p w14:paraId="18E73789" w14:textId="77777777" w:rsidR="00F24946" w:rsidRDefault="00613B06">
            <w:pPr>
              <w:pStyle w:val="P68B1DB1-Normal12"/>
              <w:keepNext/>
              <w:spacing w:before="40" w:after="0" w:line="240" w:lineRule="auto"/>
              <w:jc w:val="center"/>
              <w:rPr>
                <w:rFonts w:eastAsia="Times New Roman" w:cstheme="minorHAnsi"/>
                <w:noProof/>
              </w:rPr>
            </w:pPr>
            <w:r>
              <w:rPr>
                <w:noProof/>
              </w:rPr>
              <w:t>Objava javnega razpisa za razogljičenje plovil</w:t>
            </w:r>
          </w:p>
        </w:tc>
        <w:tc>
          <w:tcPr>
            <w:tcW w:w="962" w:type="dxa"/>
            <w:shd w:val="clear" w:color="auto" w:fill="C4EFCE"/>
            <w:noWrap/>
            <w:vAlign w:val="center"/>
          </w:tcPr>
          <w:p w14:paraId="794A4B39" w14:textId="77777777" w:rsidR="00F24946" w:rsidRDefault="00613B06">
            <w:pPr>
              <w:pStyle w:val="P68B1DB1-Normal12"/>
              <w:keepNext/>
              <w:spacing w:before="40" w:after="0" w:line="240" w:lineRule="auto"/>
              <w:jc w:val="center"/>
              <w:rPr>
                <w:rFonts w:eastAsia="Times New Roman" w:cstheme="minorHAnsi"/>
                <w:noProof/>
              </w:rPr>
            </w:pPr>
            <w:r>
              <w:rPr>
                <w:noProof/>
              </w:rPr>
              <w:t xml:space="preserve"> </w:t>
            </w:r>
          </w:p>
        </w:tc>
        <w:tc>
          <w:tcPr>
            <w:tcW w:w="961" w:type="dxa"/>
            <w:shd w:val="clear" w:color="auto" w:fill="C4EFCE"/>
            <w:noWrap/>
            <w:vAlign w:val="center"/>
          </w:tcPr>
          <w:p w14:paraId="3234BC59" w14:textId="77777777" w:rsidR="00F24946" w:rsidRDefault="00613B06">
            <w:pPr>
              <w:pStyle w:val="P68B1DB1-Normal12"/>
              <w:keepNext/>
              <w:spacing w:before="40" w:after="0" w:line="240" w:lineRule="auto"/>
              <w:jc w:val="center"/>
              <w:rPr>
                <w:rFonts w:eastAsia="Times New Roman" w:cstheme="minorHAnsi"/>
                <w:noProof/>
              </w:rPr>
            </w:pPr>
            <w:r>
              <w:rPr>
                <w:noProof/>
              </w:rPr>
              <w:t xml:space="preserve"> </w:t>
            </w:r>
          </w:p>
        </w:tc>
        <w:tc>
          <w:tcPr>
            <w:tcW w:w="690" w:type="dxa"/>
            <w:shd w:val="clear" w:color="auto" w:fill="C4EFCE"/>
            <w:noWrap/>
            <w:vAlign w:val="center"/>
          </w:tcPr>
          <w:p w14:paraId="2C2A78E0" w14:textId="77777777" w:rsidR="00F24946" w:rsidRDefault="00613B06">
            <w:pPr>
              <w:pStyle w:val="P68B1DB1-Normal12"/>
              <w:keepNext/>
              <w:spacing w:before="40" w:after="0" w:line="240" w:lineRule="auto"/>
              <w:jc w:val="center"/>
              <w:rPr>
                <w:rFonts w:eastAsia="Times New Roman" w:cstheme="minorHAnsi"/>
                <w:noProof/>
              </w:rPr>
            </w:pPr>
            <w:r>
              <w:rPr>
                <w:noProof/>
              </w:rPr>
              <w:t xml:space="preserve"> </w:t>
            </w:r>
          </w:p>
        </w:tc>
        <w:tc>
          <w:tcPr>
            <w:tcW w:w="554" w:type="dxa"/>
            <w:shd w:val="clear" w:color="auto" w:fill="C4EFCE"/>
            <w:noWrap/>
            <w:vAlign w:val="center"/>
          </w:tcPr>
          <w:p w14:paraId="746BFB58" w14:textId="77777777" w:rsidR="00F24946" w:rsidRDefault="00613B06">
            <w:pPr>
              <w:pStyle w:val="P68B1DB1-Normal12"/>
              <w:keepNext/>
              <w:spacing w:before="40" w:after="0" w:line="240" w:lineRule="auto"/>
              <w:jc w:val="center"/>
              <w:rPr>
                <w:rFonts w:eastAsia="Times New Roman" w:cstheme="minorHAnsi"/>
                <w:noProof/>
              </w:rPr>
            </w:pPr>
            <w:r>
              <w:rPr>
                <w:noProof/>
              </w:rPr>
              <w:t>Q3</w:t>
            </w:r>
          </w:p>
        </w:tc>
        <w:tc>
          <w:tcPr>
            <w:tcW w:w="684" w:type="dxa"/>
            <w:shd w:val="clear" w:color="auto" w:fill="C4EFCE"/>
            <w:noWrap/>
            <w:vAlign w:val="center"/>
          </w:tcPr>
          <w:p w14:paraId="6D96543B" w14:textId="77777777" w:rsidR="00F24946" w:rsidRDefault="00613B06">
            <w:pPr>
              <w:pStyle w:val="P68B1DB1-Normal12"/>
              <w:keepNext/>
              <w:spacing w:before="40" w:after="0" w:line="240" w:lineRule="auto"/>
              <w:jc w:val="center"/>
              <w:rPr>
                <w:rFonts w:eastAsia="Times New Roman" w:cstheme="minorHAnsi"/>
                <w:noProof/>
              </w:rPr>
            </w:pPr>
            <w:r>
              <w:rPr>
                <w:noProof/>
              </w:rPr>
              <w:t>2023</w:t>
            </w:r>
          </w:p>
        </w:tc>
        <w:tc>
          <w:tcPr>
            <w:tcW w:w="5223" w:type="dxa"/>
            <w:shd w:val="clear" w:color="auto" w:fill="C4EFCE"/>
          </w:tcPr>
          <w:p w14:paraId="3B2A3F9D" w14:textId="4D7CF0E8" w:rsidR="00F24946" w:rsidRDefault="00613B06">
            <w:pPr>
              <w:pStyle w:val="P68B1DB1-Bodytext1013"/>
              <w:spacing w:before="40" w:after="0" w:line="240" w:lineRule="auto"/>
              <w:jc w:val="both"/>
              <w:rPr>
                <w:rFonts w:cstheme="minorHAnsi"/>
                <w:noProof/>
              </w:rPr>
            </w:pPr>
            <w:r>
              <w:rPr>
                <w:noProof/>
              </w:rPr>
              <w:t>Objava javnega razpisa za razogljičenje desetih plovil za pomorski tovorni in potniški promet, od katerih vsaj 70 % plovil presega 5000 bruto tonaže (BT).</w:t>
            </w:r>
          </w:p>
          <w:p w14:paraId="5ED73E54" w14:textId="18EEA591" w:rsidR="00F24946" w:rsidRDefault="00613B06">
            <w:pPr>
              <w:pStyle w:val="P68B1DB1-Bodytext1013"/>
              <w:spacing w:before="40" w:after="0" w:line="240" w:lineRule="auto"/>
              <w:jc w:val="both"/>
              <w:rPr>
                <w:rFonts w:eastAsia="@MS Mincho" w:cstheme="minorHAnsi"/>
                <w:noProof/>
              </w:rPr>
            </w:pPr>
            <w:r>
              <w:rPr>
                <w:noProof/>
              </w:rPr>
              <w:t>Mandat vključuje merila za upravičenost, ki zagotavljajo, da so izbrani projekti skladni s tehničnimi smernicami „da se ne škoduje bistveno“ (2021/C58/01) in prispevajo k vsaj 10-odstotnemu zmanjšanju porabe goriva ladje, izražene v gramih goriva na nosilnost ton na navtično miljo, v skladu z zahtevami iz opisa ukrepa. Vključuje tudi zahtevo po skladnosti z okoljsko zakonodajo EU in nacionalno okoljsko zakonodajo.</w:t>
            </w:r>
          </w:p>
        </w:tc>
      </w:tr>
      <w:tr w:rsidR="00F24946" w14:paraId="37D8A87F" w14:textId="77777777">
        <w:trPr>
          <w:trHeight w:val="61"/>
        </w:trPr>
        <w:tc>
          <w:tcPr>
            <w:tcW w:w="1101" w:type="dxa"/>
            <w:shd w:val="clear" w:color="auto" w:fill="C4EFCE"/>
            <w:vAlign w:val="center"/>
          </w:tcPr>
          <w:p w14:paraId="5DBA9BD7" w14:textId="1EF5F715" w:rsidR="00F24946" w:rsidRDefault="00613B06">
            <w:pPr>
              <w:pStyle w:val="P68B1DB1-Normal11"/>
              <w:keepNext/>
              <w:spacing w:after="0" w:line="240" w:lineRule="auto"/>
              <w:jc w:val="center"/>
              <w:rPr>
                <w:noProof/>
              </w:rPr>
            </w:pPr>
            <w:r>
              <w:rPr>
                <w:noProof/>
              </w:rPr>
              <w:t>10.18</w:t>
            </w:r>
          </w:p>
        </w:tc>
        <w:tc>
          <w:tcPr>
            <w:tcW w:w="1231" w:type="dxa"/>
            <w:shd w:val="clear" w:color="auto" w:fill="C4EFCE"/>
            <w:noWrap/>
            <w:vAlign w:val="center"/>
          </w:tcPr>
          <w:p w14:paraId="5AF95FF9" w14:textId="58BB736B" w:rsidR="00F24946" w:rsidRDefault="00613B06">
            <w:pPr>
              <w:pStyle w:val="P68B1DB1-Bodytext1013"/>
              <w:spacing w:after="0"/>
              <w:jc w:val="center"/>
              <w:rPr>
                <w:rFonts w:cstheme="minorHAnsi"/>
                <w:noProof/>
              </w:rPr>
            </w:pPr>
            <w:r>
              <w:rPr>
                <w:noProof/>
              </w:rPr>
              <w:t>TC-C10-i07</w:t>
            </w:r>
          </w:p>
        </w:tc>
        <w:tc>
          <w:tcPr>
            <w:tcW w:w="1096" w:type="dxa"/>
            <w:shd w:val="clear" w:color="auto" w:fill="C4EFCE"/>
            <w:noWrap/>
            <w:vAlign w:val="center"/>
          </w:tcPr>
          <w:p w14:paraId="2BE3AE46" w14:textId="77777777" w:rsidR="00F24946" w:rsidRDefault="00613B06">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58A16C99" w14:textId="77777777" w:rsidR="00F24946" w:rsidRDefault="00613B06">
            <w:pPr>
              <w:pStyle w:val="P68B1DB1-Normal12"/>
              <w:keepNext/>
              <w:spacing w:after="0" w:line="240" w:lineRule="auto"/>
              <w:jc w:val="center"/>
              <w:rPr>
                <w:rFonts w:eastAsia="Times New Roman" w:cstheme="minorHAnsi"/>
                <w:noProof/>
              </w:rPr>
            </w:pPr>
            <w:r>
              <w:rPr>
                <w:noProof/>
              </w:rPr>
              <w:t>Zaključek ukrepov za energijsko učinkovitost za plovila</w:t>
            </w:r>
          </w:p>
        </w:tc>
        <w:tc>
          <w:tcPr>
            <w:tcW w:w="1231" w:type="dxa"/>
            <w:shd w:val="clear" w:color="auto" w:fill="C4EFCE"/>
            <w:noWrap/>
            <w:vAlign w:val="center"/>
          </w:tcPr>
          <w:p w14:paraId="43D01A20" w14:textId="77777777" w:rsidR="00F24946" w:rsidRDefault="00613B06">
            <w:pPr>
              <w:pStyle w:val="P68B1DB1-Normal12"/>
              <w:keepNext/>
              <w:spacing w:after="0" w:line="240" w:lineRule="auto"/>
              <w:jc w:val="center"/>
              <w:rPr>
                <w:rFonts w:eastAsia="Times New Roman"/>
                <w:noProof/>
              </w:rPr>
            </w:pPr>
            <w:r>
              <w:rPr>
                <w:noProof/>
              </w:rPr>
              <w:t xml:space="preserve">Dokazilo o zaključku ukrepov za energijsko učinkovitost za plovila </w:t>
            </w:r>
          </w:p>
        </w:tc>
        <w:tc>
          <w:tcPr>
            <w:tcW w:w="962" w:type="dxa"/>
            <w:shd w:val="clear" w:color="auto" w:fill="C4EFCE"/>
            <w:noWrap/>
            <w:vAlign w:val="center"/>
          </w:tcPr>
          <w:p w14:paraId="218710B9" w14:textId="77777777" w:rsidR="00F24946" w:rsidRDefault="00613B06">
            <w:pPr>
              <w:pStyle w:val="P68B1DB1-Normal12"/>
              <w:keepNext/>
              <w:spacing w:after="0" w:line="240" w:lineRule="auto"/>
              <w:jc w:val="center"/>
              <w:rPr>
                <w:rFonts w:eastAsia="Times New Roman" w:cstheme="minorHAnsi"/>
                <w:noProof/>
              </w:rPr>
            </w:pPr>
            <w:r>
              <w:rPr>
                <w:noProof/>
              </w:rPr>
              <w:t>Število</w:t>
            </w:r>
          </w:p>
        </w:tc>
        <w:tc>
          <w:tcPr>
            <w:tcW w:w="961" w:type="dxa"/>
            <w:shd w:val="clear" w:color="auto" w:fill="C4EFCE"/>
            <w:noWrap/>
            <w:vAlign w:val="center"/>
          </w:tcPr>
          <w:p w14:paraId="55994D8A" w14:textId="77777777" w:rsidR="00F24946" w:rsidRDefault="00613B06">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75409A25" w14:textId="77777777" w:rsidR="00F24946" w:rsidRDefault="00613B06">
            <w:pPr>
              <w:pStyle w:val="P68B1DB1-Normal12"/>
              <w:keepNext/>
              <w:spacing w:after="0" w:line="240" w:lineRule="auto"/>
              <w:jc w:val="center"/>
              <w:rPr>
                <w:rFonts w:eastAsia="Times New Roman" w:cstheme="minorHAnsi"/>
                <w:noProof/>
              </w:rPr>
            </w:pPr>
            <w:r>
              <w:rPr>
                <w:noProof/>
              </w:rPr>
              <w:t>10</w:t>
            </w:r>
          </w:p>
        </w:tc>
        <w:tc>
          <w:tcPr>
            <w:tcW w:w="554" w:type="dxa"/>
            <w:shd w:val="clear" w:color="auto" w:fill="C4EFCE"/>
            <w:noWrap/>
            <w:vAlign w:val="center"/>
          </w:tcPr>
          <w:p w14:paraId="4A6676AD" w14:textId="77777777" w:rsidR="00F24946" w:rsidRDefault="00613B06">
            <w:pPr>
              <w:pStyle w:val="P68B1DB1-Normal12"/>
              <w:keepNext/>
              <w:spacing w:after="0" w:line="240" w:lineRule="auto"/>
              <w:jc w:val="center"/>
              <w:rPr>
                <w:rFonts w:eastAsia="Times New Roman" w:cstheme="minorHAnsi"/>
                <w:noProof/>
              </w:rPr>
            </w:pPr>
            <w:r>
              <w:rPr>
                <w:noProof/>
              </w:rPr>
              <w:t>Q2</w:t>
            </w:r>
          </w:p>
        </w:tc>
        <w:tc>
          <w:tcPr>
            <w:tcW w:w="684" w:type="dxa"/>
            <w:shd w:val="clear" w:color="auto" w:fill="C4EFCE"/>
            <w:noWrap/>
            <w:vAlign w:val="center"/>
          </w:tcPr>
          <w:p w14:paraId="57E3A0CA" w14:textId="77777777" w:rsidR="00F24946" w:rsidRDefault="00613B06">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512948BF" w14:textId="2C383CAF" w:rsidR="00F24946" w:rsidRDefault="00613B06">
            <w:pPr>
              <w:pStyle w:val="P68B1DB1-Bodytext1013"/>
              <w:spacing w:before="40" w:after="0" w:line="240" w:lineRule="auto"/>
              <w:jc w:val="both"/>
              <w:rPr>
                <w:rFonts w:cstheme="minorBidi"/>
                <w:noProof/>
              </w:rPr>
            </w:pPr>
            <w:r>
              <w:rPr>
                <w:noProof/>
              </w:rPr>
              <w:t>Zaključek ukrepov za energijsko učinkovitost za deset plovil za tovorni in potniški promet, od katerih vsaj 70 % plovil presega 5000 bruto tonaže (BT).</w:t>
            </w:r>
          </w:p>
        </w:tc>
      </w:tr>
    </w:tbl>
    <w:p w14:paraId="51500205" w14:textId="77777777" w:rsidR="00F24946" w:rsidRDefault="00F24946">
      <w:pPr>
        <w:rPr>
          <w:noProof/>
        </w:rPr>
      </w:pPr>
    </w:p>
    <w:p w14:paraId="52BB7A4E"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D5518">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6761070D" w14:textId="3282687D"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K. KOMPONENTA 11: Razogljičenje industrije</w:t>
      </w:r>
    </w:p>
    <w:p w14:paraId="1058769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Del portugalskega načrta za okrevanje in odpornost obravnava izziv prispevka industrije in industrijskih procesov k doseganju ciljev ogljične nevtralnosti, kot so opredeljeni v načrtu za ogljično nevtralnost do leta 2050 ter nacionalnem energetskem in podnebnem načrtu za leto 2030. Za to je potrebna strukturna preobrazba, ki temelji na preoblikovanju industrijske dejavnosti, spremembah proizvodnih procesov in načinu uporabe virov. </w:t>
      </w:r>
    </w:p>
    <w:p w14:paraId="2CCA0B72" w14:textId="77777777" w:rsidR="00F24946" w:rsidRDefault="00613B06">
      <w:pPr>
        <w:pStyle w:val="P68B1DB1-Normal4"/>
        <w:keepNext/>
        <w:spacing w:before="40" w:after="0" w:line="259" w:lineRule="auto"/>
        <w:jc w:val="both"/>
        <w:rPr>
          <w:rFonts w:eastAsiaTheme="minorEastAsia" w:cs="Times New Roman"/>
          <w:noProof/>
        </w:rPr>
      </w:pPr>
      <w:r>
        <w:rPr>
          <w:noProof/>
        </w:rPr>
        <w:t>Cilj ukrepa te komponente je spodbujanje razogljičenja, energijske učinkovitosti in učinkovite rabe virov ter uporabe alternativnih virov energije v industrijskih procesih. Projekti, ki jih je treba podpreti, so povezani tudi z novimi tehnologijami, inovacijami in digitalizacijo industrije, da bi dosegli večjo učinkovitost različnih proizvodnih in organizacijskih procesov.</w:t>
      </w:r>
    </w:p>
    <w:p w14:paraId="5E25DBAB" w14:textId="77777777" w:rsidR="00F24946" w:rsidRDefault="00613B06">
      <w:pPr>
        <w:pStyle w:val="P68B1DB1-Normal4"/>
        <w:keepNext/>
        <w:spacing w:before="40" w:after="0" w:line="259" w:lineRule="auto"/>
        <w:jc w:val="both"/>
        <w:rPr>
          <w:rFonts w:eastAsiaTheme="minorEastAsia" w:cs="Times New Roman"/>
          <w:noProof/>
        </w:rPr>
      </w:pPr>
      <w:r>
        <w:rPr>
          <w:noProof/>
        </w:rPr>
        <w:t>Komponenta prispeva k podnebnemu prehodu portugalske industrije in podpira njeno konkurenčnost. Prispeva k obravnavi priporočil za posamezne države o naložbah v zeleni prehod, zlasti o čisti in učinkoviti proizvodnji in rabi energije (priporočilo za posamezno državo št. 3 2020) ter o naložbah v raziskave in inovacije (priporočili za posamezne države št. 3 2019 in 2020).</w:t>
      </w:r>
    </w:p>
    <w:p w14:paraId="6D69255B"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5CB0606"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K.1. Opis reform in naložb za nepovratno finančno podporo</w:t>
      </w:r>
    </w:p>
    <w:p w14:paraId="08B2F8AA"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TC-C11-i01: Razogljičenje industrije</w:t>
      </w:r>
    </w:p>
    <w:p w14:paraId="54FA353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spodbujanje in finančno podporo inovacijskim projektom v panogah na štirih področjih: </w:t>
      </w:r>
    </w:p>
    <w:p w14:paraId="1DD7BC26" w14:textId="77777777" w:rsidR="00F24946" w:rsidRDefault="00613B06">
      <w:pPr>
        <w:pStyle w:val="P68B1DB1-Normal4"/>
        <w:keepNext/>
        <w:numPr>
          <w:ilvl w:val="0"/>
          <w:numId w:val="29"/>
        </w:numPr>
        <w:spacing w:before="40" w:after="160" w:line="259" w:lineRule="auto"/>
        <w:contextualSpacing/>
        <w:jc w:val="both"/>
        <w:rPr>
          <w:rFonts w:eastAsiaTheme="minorEastAsia" w:cs="Times New Roman"/>
          <w:noProof/>
        </w:rPr>
      </w:pPr>
      <w:r>
        <w:rPr>
          <w:noProof/>
        </w:rPr>
        <w:t>nizkoogljični procesi in tehnologije: cilj je podpreti uvajanje novih tehnologij ali izboljšanih proizvodnih procesov za njihovo razogljičenje, na primer z vključitvijo novih surovin in ukrepov krožnega gospodarstva, ukrepov na področju inovacij, zamenjave in/ali prilagoditve opreme ter povečanja elektrifikacije porabe končne energije;</w:t>
      </w:r>
    </w:p>
    <w:p w14:paraId="7859B061" w14:textId="77777777" w:rsidR="00F24946" w:rsidRDefault="00613B06">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ukrepi za energetsko učinkovitost: cilj podprtih projektov je zmanjšati porabo energije in emisije toplogrednih plinov, na primer z optimizacijo ali zamenjavo motorjev in opreme, optimizacijo postopkov, sprejetjem sistemov spremljanja in upravljanja porabe; </w:t>
      </w:r>
    </w:p>
    <w:p w14:paraId="23D06A62" w14:textId="77777777" w:rsidR="00F24946" w:rsidRDefault="00613B06">
      <w:pPr>
        <w:pStyle w:val="P68B1DB1-Normal4"/>
        <w:keepNext/>
        <w:numPr>
          <w:ilvl w:val="0"/>
          <w:numId w:val="29"/>
        </w:numPr>
        <w:spacing w:before="40" w:after="120" w:line="240" w:lineRule="auto"/>
        <w:contextualSpacing/>
        <w:jc w:val="both"/>
        <w:rPr>
          <w:rFonts w:eastAsiaTheme="minorEastAsia" w:cs="Times New Roman"/>
          <w:noProof/>
        </w:rPr>
      </w:pPr>
      <w:r>
        <w:rPr>
          <w:noProof/>
        </w:rPr>
        <w:t xml:space="preserve">vključevanje energije iz obnovljivih virov in shranjevanje energije iz obnovljivih virov, na primer z namestitvijo sončnih sistemov, proizvodnjo toplote iz obnovljivih virov, visoko učinkovito soproizvodnjo, proizvodnjo in uporabo obnovljivega vodika in obnovljivih plinov, kadar so tehnološke možnosti za razogljičenje, tudi z elektrifikacijo, bolj omejene; </w:t>
      </w:r>
    </w:p>
    <w:p w14:paraId="0D8DEFDF" w14:textId="77777777" w:rsidR="00F24946" w:rsidRDefault="00613B06">
      <w:pPr>
        <w:pStyle w:val="P68B1DB1-Normal4"/>
        <w:keepNext/>
        <w:numPr>
          <w:ilvl w:val="0"/>
          <w:numId w:val="29"/>
        </w:numPr>
        <w:spacing w:before="40" w:after="120" w:line="240" w:lineRule="auto"/>
        <w:contextualSpacing/>
        <w:jc w:val="both"/>
        <w:rPr>
          <w:rFonts w:eastAsiaTheme="minorEastAsia" w:cs="Times New Roman"/>
          <w:noProof/>
        </w:rPr>
      </w:pPr>
      <w:r>
        <w:rPr>
          <w:noProof/>
        </w:rPr>
        <w:t>razvoj načrtov za razogljičenje in pobud za krepitev zmogljivosti, na primer z opredelitvijo in razširjanjem učinkovitih tehnoloških rešitev, dejavnostmi usposabljanja in platformami za izmenjavo informacij.</w:t>
      </w:r>
    </w:p>
    <w:p w14:paraId="1937EF51" w14:textId="2F797FB0" w:rsidR="00F24946" w:rsidRDefault="00613B06">
      <w:pPr>
        <w:pStyle w:val="P68B1DB1-Normal4"/>
        <w:keepNext/>
        <w:spacing w:before="40" w:after="0" w:line="259" w:lineRule="auto"/>
        <w:jc w:val="both"/>
        <w:rPr>
          <w:rFonts w:eastAsiaTheme="minorEastAsia" w:cs="Times New Roman"/>
          <w:noProof/>
        </w:rPr>
      </w:pPr>
      <w:r>
        <w:rPr>
          <w:noProof/>
        </w:rPr>
        <w:t xml:space="preserve">Podpora se prek razpisnih postopkov (2021–2024) dodeli malim in srednjim podjetjem ter velikim podjetjem na področjih industrije in proizvodnje energije, vključno z organi za upravljanje industrijskih območij, operaterji prenosnih in distribucijskih sistemov energije, industrijskimi in energetskimi poslovnimi združenji ter drugimi subjekti. Namen naložbe je podpreti vsaj 310 projektov različnih velikosti: majhna (v povprečju 1 000 000 EUR), srednja (v povprečju 5 000 000 EUR) in velika (v povprečju 10 000 000 EUR). Razpis se osredotoča na sektorje z največjo intenzivnostjo toplogrednih plinov, vendar je odprt za celoten industrijski sektor, ki zajema naprave, vključene v sistem trgovanja z emisijami, in naprave, ki niso vključene v sistem trgovanja z emisijami. Projekti, izbrani na področju ukrepanja 024b, bodo privedli do najmanj 30-odstotnega zmanjšanja emisij toplogrednih plinov v zadevnih industrijskih obratih, kar bo prispevalo k podnebnim ciljem Portugalske v okviru izvajanja nacionalnega energetskega in podnebnega načrta. </w:t>
      </w:r>
    </w:p>
    <w:p w14:paraId="11E4BDD6" w14:textId="77777777" w:rsidR="00F24946" w:rsidRDefault="00613B06">
      <w:pPr>
        <w:pStyle w:val="P68B1DB1-Normal4"/>
        <w:keepNext/>
        <w:spacing w:before="40" w:after="0" w:line="259" w:lineRule="auto"/>
        <w:jc w:val="both"/>
        <w:rPr>
          <w:rFonts w:eastAsiaTheme="minorEastAsia" w:cs="Times New Roman"/>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dejavnosti, povezane s fosilnimi gorivi, vključno z nadaljnjo uporabo</w:t>
      </w:r>
      <w:r>
        <w:rPr>
          <w:noProof/>
        </w:rPr>
        <w:footnoteReference w:id="44"/>
      </w:r>
      <w:r>
        <w:rPr>
          <w:noProof/>
        </w:rPr>
        <w:t>; II) dejavnosti v okviru sistema EU za trgovanje z emisijami (ETS), s katerimi se dosegajo predvidene emisije toplogrednih plinov, ki niso nižje od ustreznih referenčnih vrednosti</w:t>
      </w:r>
      <w:r>
        <w:rPr>
          <w:noProof/>
        </w:rPr>
        <w:footnoteReference w:id="45"/>
      </w:r>
      <w:r>
        <w:rPr>
          <w:noProof/>
        </w:rPr>
        <w:t>; III) dejavnosti, povezane z odlagališči odpadkov, sežigalnicami</w:t>
      </w:r>
      <w:r>
        <w:rPr>
          <w:noProof/>
        </w:rPr>
        <w:footnoteReference w:id="46"/>
      </w:r>
      <w:r>
        <w:rPr>
          <w:noProof/>
        </w:rPr>
        <w:t xml:space="preserve"> in napravami za mehansko-biološko obdelavo</w:t>
      </w:r>
      <w:r>
        <w:rPr>
          <w:noProof/>
        </w:rPr>
        <w:footnoteReference w:id="47"/>
      </w:r>
      <w:r>
        <w:rPr>
          <w:noProof/>
        </w:rPr>
        <w:t>; in iv) dejavnosti, pri katerih lahko dolgoročno odstranjevanje odpadkov škoduje okolju. Poleg tega se zahteva, da se lahko izberejo samo dejavnosti, ki so skladne z ustrezno okoljsko zakonodajo EU in nacionalno okoljsko zakonodajo.</w:t>
      </w:r>
    </w:p>
    <w:p w14:paraId="371668F9"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54B8E0F2"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p>
    <w:p w14:paraId="539A7A4E"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K.2. </w:t>
      </w:r>
      <w:r>
        <w:rPr>
          <w:noProof/>
        </w:rPr>
        <w:tab/>
        <w:t>Mejniki, cilji, kazalniki in časovni razpored za spremljanje in izvajanje nepovratne finančne podpore Naslednje;</w:t>
      </w:r>
    </w:p>
    <w:p w14:paraId="6852ECBB"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pPr w:leftFromText="180" w:rightFromText="180" w:vertAnchor="text" w:tblpX="-176"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55"/>
        <w:gridCol w:w="720"/>
        <w:gridCol w:w="3969"/>
      </w:tblGrid>
      <w:tr w:rsidR="00F24946" w14:paraId="62BD13B6" w14:textId="77777777">
        <w:trPr>
          <w:trHeight w:val="910"/>
          <w:tblHeader/>
        </w:trPr>
        <w:tc>
          <w:tcPr>
            <w:tcW w:w="1135" w:type="dxa"/>
            <w:vMerge w:val="restart"/>
            <w:shd w:val="clear" w:color="auto" w:fill="BDD6EE"/>
            <w:vAlign w:val="center"/>
            <w:hideMark/>
          </w:tcPr>
          <w:p w14:paraId="5050BF70"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44CD0F0B"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shd w:val="clear" w:color="auto" w:fill="BDD6EE"/>
            <w:vAlign w:val="center"/>
            <w:hideMark/>
          </w:tcPr>
          <w:p w14:paraId="09C6ED4B" w14:textId="77777777" w:rsidR="00F24946" w:rsidRDefault="00613B06">
            <w:pPr>
              <w:pStyle w:val="P68B1DB1-Normal6"/>
              <w:spacing w:after="0" w:line="240" w:lineRule="auto"/>
              <w:jc w:val="center"/>
              <w:rPr>
                <w:rFonts w:eastAsia="Times New Roman" w:cs="Times New Roman"/>
                <w:noProof/>
                <w:sz w:val="14"/>
              </w:rPr>
            </w:pPr>
            <w:r>
              <w:rPr>
                <w:noProof/>
              </w:rPr>
              <w:t>Mejnik/</w:t>
            </w:r>
          </w:p>
        </w:tc>
        <w:tc>
          <w:tcPr>
            <w:tcW w:w="1701" w:type="dxa"/>
            <w:vMerge w:val="restart"/>
            <w:shd w:val="clear" w:color="auto" w:fill="BDD6EE"/>
            <w:vAlign w:val="center"/>
            <w:hideMark/>
          </w:tcPr>
          <w:p w14:paraId="2F8A16FC"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5FA098FD"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shd w:val="clear" w:color="auto" w:fill="BDD6EE"/>
            <w:vAlign w:val="center"/>
            <w:hideMark/>
          </w:tcPr>
          <w:p w14:paraId="2F19FAC7"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12B6681B"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7AC4960B"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521639A7" w14:textId="77777777">
        <w:trPr>
          <w:trHeight w:val="470"/>
          <w:tblHeader/>
        </w:trPr>
        <w:tc>
          <w:tcPr>
            <w:tcW w:w="1135" w:type="dxa"/>
            <w:vMerge/>
            <w:vAlign w:val="center"/>
            <w:hideMark/>
          </w:tcPr>
          <w:p w14:paraId="0AAA26BB"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3C9C7FD8" w14:textId="77777777" w:rsidR="00F24946" w:rsidRDefault="00F24946">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5AE145E1" w14:textId="77777777" w:rsidR="00F24946" w:rsidRDefault="00613B06">
            <w:pPr>
              <w:pStyle w:val="P68B1DB1-Normal6"/>
              <w:spacing w:after="0" w:line="240" w:lineRule="auto"/>
              <w:jc w:val="center"/>
              <w:rPr>
                <w:rFonts w:eastAsia="Times New Roman" w:cs="Times New Roman"/>
                <w:noProof/>
                <w:sz w:val="14"/>
              </w:rPr>
            </w:pPr>
            <w:r>
              <w:rPr>
                <w:noProof/>
              </w:rPr>
              <w:t>Tarča</w:t>
            </w:r>
          </w:p>
        </w:tc>
        <w:tc>
          <w:tcPr>
            <w:tcW w:w="1701" w:type="dxa"/>
            <w:vMerge/>
            <w:vAlign w:val="center"/>
            <w:hideMark/>
          </w:tcPr>
          <w:p w14:paraId="0F429C5D"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0975442D"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72C52226"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0FBC07AA"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vAlign w:val="center"/>
            <w:hideMark/>
          </w:tcPr>
          <w:p w14:paraId="3B7EC1FA" w14:textId="77777777" w:rsidR="00F24946" w:rsidRDefault="00613B06">
            <w:pPr>
              <w:pStyle w:val="P68B1DB1-Normal6"/>
              <w:spacing w:after="0" w:line="240" w:lineRule="auto"/>
              <w:jc w:val="center"/>
              <w:rPr>
                <w:rFonts w:eastAsia="Times New Roman" w:cs="Times New Roman"/>
                <w:noProof/>
              </w:rPr>
            </w:pPr>
            <w:r>
              <w:rPr>
                <w:noProof/>
              </w:rPr>
              <w:t>Cilj</w:t>
            </w:r>
          </w:p>
        </w:tc>
        <w:tc>
          <w:tcPr>
            <w:tcW w:w="555" w:type="dxa"/>
            <w:shd w:val="clear" w:color="auto" w:fill="BDD6EE"/>
            <w:vAlign w:val="center"/>
            <w:hideMark/>
          </w:tcPr>
          <w:p w14:paraId="08E456A9" w14:textId="77777777" w:rsidR="00F24946" w:rsidRDefault="00613B06">
            <w:pPr>
              <w:pStyle w:val="P68B1DB1-Normal6"/>
              <w:spacing w:after="0" w:line="240" w:lineRule="auto"/>
              <w:jc w:val="center"/>
              <w:rPr>
                <w:rFonts w:eastAsia="Times New Roman" w:cs="Times New Roman"/>
                <w:noProof/>
              </w:rPr>
            </w:pPr>
            <w:r>
              <w:rPr>
                <w:noProof/>
              </w:rPr>
              <w:t>Q</w:t>
            </w:r>
          </w:p>
        </w:tc>
        <w:tc>
          <w:tcPr>
            <w:tcW w:w="720" w:type="dxa"/>
            <w:shd w:val="clear" w:color="auto" w:fill="BDD6EE"/>
            <w:vAlign w:val="center"/>
            <w:hideMark/>
          </w:tcPr>
          <w:p w14:paraId="3ADD45C5"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55CA6F21" w14:textId="77777777" w:rsidR="00F24946" w:rsidRDefault="00F24946">
            <w:pPr>
              <w:spacing w:after="0" w:line="240" w:lineRule="auto"/>
              <w:rPr>
                <w:rFonts w:ascii="Times New Roman" w:eastAsia="Times New Roman" w:hAnsi="Times New Roman" w:cs="Times New Roman"/>
                <w:b/>
                <w:noProof/>
                <w:sz w:val="18"/>
              </w:rPr>
            </w:pPr>
          </w:p>
        </w:tc>
      </w:tr>
      <w:tr w:rsidR="00F24946" w14:paraId="528553E7" w14:textId="77777777">
        <w:trPr>
          <w:trHeight w:val="630"/>
        </w:trPr>
        <w:tc>
          <w:tcPr>
            <w:tcW w:w="1135" w:type="dxa"/>
            <w:shd w:val="clear" w:color="auto" w:fill="C4EFCE"/>
            <w:vAlign w:val="center"/>
            <w:hideMark/>
          </w:tcPr>
          <w:p w14:paraId="39AE8E64" w14:textId="77777777" w:rsidR="00F24946" w:rsidRDefault="00613B06">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78995A2E" w14:textId="77777777" w:rsidR="00F24946" w:rsidRDefault="00613B06">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2E259E55"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37F406" w14:textId="77777777" w:rsidR="00F24946" w:rsidRDefault="00613B06">
            <w:pPr>
              <w:pStyle w:val="P68B1DB1-Normal8"/>
              <w:spacing w:after="0" w:line="240" w:lineRule="auto"/>
              <w:jc w:val="center"/>
              <w:rPr>
                <w:rFonts w:eastAsia="Times New Roman" w:cs="Calibri"/>
                <w:noProof/>
              </w:rPr>
            </w:pPr>
            <w:r>
              <w:rPr>
                <w:noProof/>
              </w:rPr>
              <w:t xml:space="preserve">Prvi javni razpis za projekte razogljičenja industrije </w:t>
            </w:r>
          </w:p>
        </w:tc>
        <w:tc>
          <w:tcPr>
            <w:tcW w:w="1275" w:type="dxa"/>
            <w:shd w:val="clear" w:color="auto" w:fill="C4EFCE"/>
            <w:noWrap/>
            <w:vAlign w:val="center"/>
            <w:hideMark/>
          </w:tcPr>
          <w:p w14:paraId="21997F85" w14:textId="77777777" w:rsidR="00F24946" w:rsidRDefault="00613B06">
            <w:pPr>
              <w:pStyle w:val="P68B1DB1-Normal8"/>
              <w:spacing w:after="0" w:line="240" w:lineRule="auto"/>
              <w:jc w:val="center"/>
              <w:rPr>
                <w:rFonts w:eastAsia="Times New Roman" w:cs="Calibri"/>
                <w:noProof/>
              </w:rPr>
            </w:pPr>
            <w:r>
              <w:rPr>
                <w:noProof/>
              </w:rPr>
              <w:t>Odprt prvi javni razpis</w:t>
            </w:r>
          </w:p>
        </w:tc>
        <w:tc>
          <w:tcPr>
            <w:tcW w:w="993" w:type="dxa"/>
            <w:shd w:val="clear" w:color="auto" w:fill="C4EFCE"/>
            <w:noWrap/>
            <w:vAlign w:val="center"/>
            <w:hideMark/>
          </w:tcPr>
          <w:p w14:paraId="18BDD62E"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5CE536A"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762E5E6" w14:textId="77777777" w:rsidR="00F24946" w:rsidRDefault="00613B06">
            <w:pPr>
              <w:pStyle w:val="P68B1DB1-Normal8"/>
              <w:spacing w:after="0" w:line="240" w:lineRule="auto"/>
              <w:jc w:val="center"/>
              <w:rPr>
                <w:rFonts w:eastAsia="Times New Roman" w:cs="Calibri"/>
                <w:noProof/>
              </w:rPr>
            </w:pPr>
            <w:r>
              <w:rPr>
                <w:noProof/>
              </w:rPr>
              <w:t> </w:t>
            </w:r>
          </w:p>
        </w:tc>
        <w:tc>
          <w:tcPr>
            <w:tcW w:w="555" w:type="dxa"/>
            <w:shd w:val="clear" w:color="auto" w:fill="C4EFCE"/>
            <w:noWrap/>
            <w:vAlign w:val="center"/>
            <w:hideMark/>
          </w:tcPr>
          <w:p w14:paraId="481A5A9B" w14:textId="77777777" w:rsidR="00F24946" w:rsidRDefault="00613B06">
            <w:pPr>
              <w:pStyle w:val="P68B1DB1-Normal8"/>
              <w:spacing w:after="0" w:line="240" w:lineRule="auto"/>
              <w:jc w:val="center"/>
              <w:rPr>
                <w:rFonts w:eastAsia="Times New Roman" w:cs="Calibri"/>
                <w:noProof/>
              </w:rPr>
            </w:pPr>
            <w:r>
              <w:rPr>
                <w:noProof/>
              </w:rPr>
              <w:t>Q4</w:t>
            </w:r>
          </w:p>
        </w:tc>
        <w:tc>
          <w:tcPr>
            <w:tcW w:w="720" w:type="dxa"/>
            <w:shd w:val="clear" w:color="auto" w:fill="C4EFCE"/>
            <w:noWrap/>
            <w:vAlign w:val="center"/>
            <w:hideMark/>
          </w:tcPr>
          <w:p w14:paraId="3612D309"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9006C92" w14:textId="77777777" w:rsidR="00F24946" w:rsidRDefault="00613B06">
            <w:pPr>
              <w:pStyle w:val="P68B1DB1-Normal8"/>
              <w:spacing w:after="0" w:line="240" w:lineRule="auto"/>
              <w:jc w:val="both"/>
              <w:rPr>
                <w:rFonts w:eastAsia="Times New Roman" w:cs="Calibri"/>
                <w:noProof/>
              </w:rPr>
            </w:pPr>
            <w:r>
              <w:rPr>
                <w:noProof/>
              </w:rPr>
              <w:t xml:space="preserve">Objava prvega razpisa za zbiranje predlogov za projekte razogljičenja industrije, ki se nanašajo na vsaj eno od naslednjih področij: nizkoogljični procesi in tehnologije; sprejetje ukrepov za energetsko učinkovitost; vključitev energije iz obnovljivih virov in shranjevanje energije; in krepitev vloge podjetij. </w:t>
            </w:r>
          </w:p>
          <w:p w14:paraId="730294B7" w14:textId="77777777" w:rsidR="00F24946" w:rsidRDefault="00613B06">
            <w:pPr>
              <w:pStyle w:val="P68B1DB1-Normal8"/>
              <w:spacing w:after="0" w:line="240" w:lineRule="auto"/>
              <w:jc w:val="both"/>
              <w:rPr>
                <w:rFonts w:eastAsia="Times New Roman" w:cs="Calibri"/>
                <w:noProof/>
              </w:rPr>
            </w:pPr>
            <w:r>
              <w:rPr>
                <w:noProof/>
              </w:rPr>
              <w:t xml:space="preserve">Mandat vključuje merila za upravičenost, ki zagotavljajo, da so izbrani projekti skladni s tehničnimi smernicami za uporabo načela, da se ne škoduje bistveno (2021/C58/01), in sicer z uporabo seznama za izključitev in zahtevo po skladnosti z ustrezno okoljsko zakonodajo EU in nacionalno okoljsko zakonodajo. </w:t>
            </w:r>
          </w:p>
          <w:p w14:paraId="0B36DB3C" w14:textId="349C80B6" w:rsidR="00F24946" w:rsidRDefault="00613B06">
            <w:pPr>
              <w:pStyle w:val="P68B1DB1-Normal8"/>
              <w:spacing w:after="0" w:line="240" w:lineRule="auto"/>
              <w:jc w:val="both"/>
              <w:rPr>
                <w:rFonts w:eastAsia="Times New Roman" w:cs="Calibri"/>
                <w:noProof/>
              </w:rPr>
            </w:pPr>
            <w:r>
              <w:rPr>
                <w:noProof/>
              </w:rPr>
              <w:t>S tem javnim razpisom se zagotovi povprečno 30-odstotno zmanjšanje neposrednih in posrednih emisij toplogrednih plinov za industrijske obrate, ki prejemajo podporo za projekte, ki ustrezajo področju intervencije 024b. Prednostno se podpirajo projekti z največjo učinkovitostjo razogljičenja.</w:t>
            </w:r>
          </w:p>
        </w:tc>
      </w:tr>
      <w:tr w:rsidR="00F24946" w14:paraId="04058E6B" w14:textId="77777777">
        <w:trPr>
          <w:trHeight w:val="630"/>
        </w:trPr>
        <w:tc>
          <w:tcPr>
            <w:tcW w:w="1135" w:type="dxa"/>
            <w:shd w:val="clear" w:color="auto" w:fill="C4EFCE"/>
            <w:vAlign w:val="center"/>
            <w:hideMark/>
          </w:tcPr>
          <w:p w14:paraId="2517AFD7" w14:textId="77777777" w:rsidR="00F24946" w:rsidRDefault="00613B06">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18C1A1E0" w14:textId="77777777" w:rsidR="00F24946" w:rsidRDefault="00613B06">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576BCEE3"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DECC35D" w14:textId="77777777" w:rsidR="00F24946" w:rsidRDefault="00613B06">
            <w:pPr>
              <w:pStyle w:val="P68B1DB1-Normal8"/>
              <w:spacing w:after="0" w:line="240" w:lineRule="auto"/>
              <w:jc w:val="center"/>
              <w:rPr>
                <w:rFonts w:eastAsia="Times New Roman" w:cs="Calibri"/>
                <w:noProof/>
              </w:rPr>
            </w:pPr>
            <w:r>
              <w:rPr>
                <w:noProof/>
              </w:rPr>
              <w:t>Podpis pogodb o dodelitvi finančne podpore</w:t>
            </w:r>
          </w:p>
        </w:tc>
        <w:tc>
          <w:tcPr>
            <w:tcW w:w="1275" w:type="dxa"/>
            <w:shd w:val="clear" w:color="auto" w:fill="C4EFCE"/>
            <w:noWrap/>
            <w:vAlign w:val="center"/>
            <w:hideMark/>
          </w:tcPr>
          <w:p w14:paraId="5F0FAC03" w14:textId="77777777" w:rsidR="00F24946" w:rsidRDefault="00613B06">
            <w:pPr>
              <w:pStyle w:val="P68B1DB1-Normal8"/>
              <w:spacing w:after="0" w:line="240" w:lineRule="auto"/>
              <w:jc w:val="center"/>
              <w:rPr>
                <w:rFonts w:eastAsia="Times New Roman" w:cs="Calibri"/>
                <w:noProof/>
              </w:rPr>
            </w:pPr>
            <w:r>
              <w:rPr>
                <w:noProof/>
              </w:rPr>
              <w:t>Podpis pogodb o dodelitvi finančne podpore</w:t>
            </w:r>
          </w:p>
        </w:tc>
        <w:tc>
          <w:tcPr>
            <w:tcW w:w="993" w:type="dxa"/>
            <w:shd w:val="clear" w:color="auto" w:fill="C4EFCE"/>
            <w:noWrap/>
            <w:vAlign w:val="center"/>
            <w:hideMark/>
          </w:tcPr>
          <w:p w14:paraId="7746D823"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DEA9E0"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027FD9F" w14:textId="77777777" w:rsidR="00F24946" w:rsidRDefault="00613B06">
            <w:pPr>
              <w:pStyle w:val="P68B1DB1-Normal8"/>
              <w:spacing w:after="0" w:line="240" w:lineRule="auto"/>
              <w:rPr>
                <w:rFonts w:eastAsia="Times New Roman" w:cs="Calibri"/>
                <w:noProof/>
              </w:rPr>
            </w:pPr>
            <w:r>
              <w:rPr>
                <w:noProof/>
              </w:rPr>
              <w:t> </w:t>
            </w:r>
          </w:p>
        </w:tc>
        <w:tc>
          <w:tcPr>
            <w:tcW w:w="555" w:type="dxa"/>
            <w:shd w:val="clear" w:color="auto" w:fill="C4EFCE"/>
            <w:noWrap/>
            <w:vAlign w:val="center"/>
            <w:hideMark/>
          </w:tcPr>
          <w:p w14:paraId="5939915B" w14:textId="77777777" w:rsidR="00F24946" w:rsidRDefault="00613B06">
            <w:pPr>
              <w:pStyle w:val="P68B1DB1-Normal8"/>
              <w:spacing w:after="0" w:line="240" w:lineRule="auto"/>
              <w:jc w:val="center"/>
              <w:rPr>
                <w:rFonts w:eastAsia="Times New Roman" w:cs="Calibri"/>
                <w:noProof/>
              </w:rPr>
            </w:pPr>
            <w:r>
              <w:rPr>
                <w:noProof/>
              </w:rPr>
              <w:t>Q4</w:t>
            </w:r>
          </w:p>
        </w:tc>
        <w:tc>
          <w:tcPr>
            <w:tcW w:w="720" w:type="dxa"/>
            <w:shd w:val="clear" w:color="auto" w:fill="C4EFCE"/>
            <w:noWrap/>
            <w:vAlign w:val="center"/>
            <w:hideMark/>
          </w:tcPr>
          <w:p w14:paraId="108A2CAC" w14:textId="77777777" w:rsidR="00F24946" w:rsidRDefault="00613B0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EF1A53F" w14:textId="77777777" w:rsidR="00F24946" w:rsidRDefault="00613B06">
            <w:pPr>
              <w:pStyle w:val="P68B1DB1-Normal8"/>
              <w:spacing w:after="0" w:line="240" w:lineRule="auto"/>
              <w:jc w:val="both"/>
              <w:rPr>
                <w:rFonts w:eastAsia="Times New Roman" w:cs="Calibri"/>
                <w:noProof/>
              </w:rPr>
            </w:pPr>
            <w:r>
              <w:rPr>
                <w:noProof/>
              </w:rPr>
              <w:t xml:space="preserve">Najmanj 383 000 000 EUR dodeljenih projektom za razogljičenje industrije, ki se nanašajo na vsaj eno od naslednjih področij: nizkoogljični procesi in tehnologije; sprejetje ukrepov za energetsko učinkovitost; vključitev energije iz obnovljivih virov in shranjevanje energije; in krepitev vloge podjetij. </w:t>
            </w:r>
          </w:p>
          <w:p w14:paraId="1FE08972" w14:textId="2AB1B821" w:rsidR="00F24946" w:rsidRDefault="00613B06">
            <w:pPr>
              <w:pStyle w:val="P68B1DB1-Normal8"/>
              <w:spacing w:after="0" w:line="240" w:lineRule="auto"/>
              <w:jc w:val="both"/>
              <w:rPr>
                <w:rFonts w:eastAsia="Times New Roman" w:cs="Calibri"/>
                <w:noProof/>
              </w:rPr>
            </w:pPr>
            <w:r>
              <w:rPr>
                <w:noProof/>
              </w:rPr>
              <w:t>Z oddajo naročil projektom, izbranim v okviru konkurenčnih razpisov za zbiranje predlogov iz zgornjega mejnika, se zagotovi skladnost s tehničnimi smernicami „da se ne škoduje bistveno“ (2021/C58/01) z uporabo seznama za izključitev in zahtevo po skladnosti z ustrezno okoljsko zakonodajo EU in nacionalno okoljsko zakonodajo.</w:t>
            </w:r>
          </w:p>
        </w:tc>
      </w:tr>
      <w:tr w:rsidR="00F24946" w14:paraId="73B08E92" w14:textId="77777777">
        <w:trPr>
          <w:trHeight w:val="1690"/>
        </w:trPr>
        <w:tc>
          <w:tcPr>
            <w:tcW w:w="1135" w:type="dxa"/>
            <w:shd w:val="clear" w:color="auto" w:fill="C4EFCE"/>
            <w:vAlign w:val="center"/>
            <w:hideMark/>
          </w:tcPr>
          <w:p w14:paraId="06C03D7F" w14:textId="77777777" w:rsidR="00F24946" w:rsidRDefault="00613B06">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1803E8D0" w14:textId="77777777" w:rsidR="00F24946" w:rsidRDefault="00613B06">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69072576"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351F05" w14:textId="77777777" w:rsidR="00F24946" w:rsidRDefault="00613B06">
            <w:pPr>
              <w:pStyle w:val="P68B1DB1-Normal8"/>
              <w:spacing w:after="0" w:line="240" w:lineRule="auto"/>
              <w:jc w:val="center"/>
              <w:rPr>
                <w:rFonts w:eastAsia="Times New Roman" w:cs="Calibri"/>
                <w:noProof/>
              </w:rPr>
            </w:pPr>
            <w:r>
              <w:rPr>
                <w:noProof/>
              </w:rPr>
              <w:t>Finančna podpora za projekte razogljičenja industrije</w:t>
            </w:r>
          </w:p>
        </w:tc>
        <w:tc>
          <w:tcPr>
            <w:tcW w:w="1275" w:type="dxa"/>
            <w:shd w:val="clear" w:color="auto" w:fill="C4EFCE"/>
            <w:noWrap/>
            <w:vAlign w:val="center"/>
            <w:hideMark/>
          </w:tcPr>
          <w:p w14:paraId="5AF3E60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9CC3A8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AEE891E"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C0EF439" w14:textId="63244C11" w:rsidR="00F24946" w:rsidRDefault="00613B06">
            <w:pPr>
              <w:pStyle w:val="P68B1DB1-Normal8"/>
              <w:spacing w:after="0" w:line="240" w:lineRule="auto"/>
              <w:jc w:val="center"/>
              <w:rPr>
                <w:rFonts w:eastAsia="Times New Roman" w:cs="Calibri"/>
                <w:noProof/>
              </w:rPr>
            </w:pPr>
            <w:r>
              <w:rPr>
                <w:noProof/>
              </w:rPr>
              <w:t>310</w:t>
            </w:r>
          </w:p>
        </w:tc>
        <w:tc>
          <w:tcPr>
            <w:tcW w:w="555" w:type="dxa"/>
            <w:shd w:val="clear" w:color="auto" w:fill="C4EFCE"/>
            <w:noWrap/>
            <w:vAlign w:val="center"/>
            <w:hideMark/>
          </w:tcPr>
          <w:p w14:paraId="64BC34FA" w14:textId="77777777" w:rsidR="00F24946" w:rsidRDefault="00613B06">
            <w:pPr>
              <w:pStyle w:val="P68B1DB1-Normal8"/>
              <w:spacing w:after="0" w:line="240" w:lineRule="auto"/>
              <w:jc w:val="center"/>
              <w:rPr>
                <w:rFonts w:eastAsia="Times New Roman" w:cs="Calibri"/>
                <w:noProof/>
              </w:rPr>
            </w:pPr>
            <w:r>
              <w:rPr>
                <w:noProof/>
              </w:rPr>
              <w:t>Q4</w:t>
            </w:r>
          </w:p>
        </w:tc>
        <w:tc>
          <w:tcPr>
            <w:tcW w:w="720" w:type="dxa"/>
            <w:shd w:val="clear" w:color="auto" w:fill="C4EFCE"/>
            <w:noWrap/>
            <w:vAlign w:val="center"/>
            <w:hideMark/>
          </w:tcPr>
          <w:p w14:paraId="234947D8"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D55E7F5" w14:textId="77777777" w:rsidR="00F24946" w:rsidRDefault="00613B06">
            <w:pPr>
              <w:pStyle w:val="P68B1DB1-Normal8"/>
              <w:spacing w:after="0" w:line="240" w:lineRule="auto"/>
              <w:jc w:val="both"/>
              <w:rPr>
                <w:rFonts w:eastAsia="Times New Roman" w:cs="Calibri"/>
                <w:noProof/>
              </w:rPr>
            </w:pPr>
            <w:r>
              <w:rPr>
                <w:noProof/>
              </w:rPr>
              <w:t xml:space="preserve">Število projektov, ki so prejeli finančno podporo za razogljičenje industrije in se nanašajo na vsaj eno od naslednjih področij: nizkoogljični procesi in tehnologije; sprejetje ukrepov za energetsko učinkovitost; ter vključitev energije iz obnovljivih virov in shranjevanja energije. Za podprte industrijske obrate se zagotovi povprečno 30-odstotno zmanjšanje neposrednih in posrednih emisij toplogrednih plinov za projekte, ki ustrezajo področju intervencije 024b, in skladnost s tehničnimi smernicami za nebistveno škodovanje (2021/C58/01), tudi za naprave, vključene v sistem EU za trgovanje z emisijami, da se zagotovi, da podprte naprave dosegajo predvidene emisije toplogrednih plinov pod referenčno vrednostjo, določeno za brezplačno dodelitev, kot je določeno v Izvedbeni uredbi Komisije (EU) 2021/447. </w:t>
            </w:r>
          </w:p>
        </w:tc>
      </w:tr>
    </w:tbl>
    <w:p w14:paraId="575A7ECF"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63D1B59A" w14:textId="77777777" w:rsidR="00F24946" w:rsidRDefault="00F24946">
      <w:pPr>
        <w:keepNext/>
        <w:spacing w:before="40" w:after="0" w:line="259" w:lineRule="auto"/>
        <w:jc w:val="both"/>
        <w:outlineLvl w:val="1"/>
        <w:rPr>
          <w:rFonts w:ascii="Times New Roman" w:eastAsiaTheme="minorEastAsia" w:hAnsi="Times New Roman" w:cs="Times New Roman"/>
          <w:noProof/>
          <w:sz w:val="24"/>
          <w:u w:val="single"/>
        </w:rPr>
        <w:sectPr w:rsidR="00F24946" w:rsidSect="00E00EDD">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7F30AF75"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L. KOMPONENTA 12: Biogospodarstvo</w:t>
      </w:r>
    </w:p>
    <w:p w14:paraId="09C80588" w14:textId="77777777" w:rsidR="00F24946" w:rsidRDefault="00613B06">
      <w:pPr>
        <w:pStyle w:val="P68B1DB1-Normal4"/>
        <w:spacing w:before="40" w:after="0" w:line="259" w:lineRule="auto"/>
        <w:jc w:val="both"/>
        <w:rPr>
          <w:rFonts w:eastAsiaTheme="minorEastAsia" w:cs="Times New Roman"/>
          <w:noProof/>
        </w:rPr>
      </w:pPr>
      <w:r>
        <w:rPr>
          <w:noProof/>
        </w:rPr>
        <w:t xml:space="preserve">Ta komponenta obravnava izziv razvoja uspešnega, trajnostnega, krožnega in konkurenčnega biogospodarstva. Pričakuje se, da bo tak prehod podprl posodobitev in konsolidacijo industrije z ustvarjanjem novih vrednostnih verig in okolju prijaznejših industrijskih procesov. </w:t>
      </w:r>
    </w:p>
    <w:p w14:paraId="5988E6C8"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komponente je spodbujati in pospešiti razvoj proizvodov z visoko dodano vrednostjo iz bioloških virov kot alternative materialom na osnovi fosilnih goriv.  </w:t>
      </w:r>
    </w:p>
    <w:p w14:paraId="740A5F38" w14:textId="1AE9A646" w:rsidR="00F24946" w:rsidRDefault="00613B06">
      <w:pPr>
        <w:pStyle w:val="P68B1DB1-Normal4"/>
        <w:spacing w:before="40" w:after="0" w:line="259" w:lineRule="auto"/>
        <w:jc w:val="both"/>
        <w:rPr>
          <w:rFonts w:eastAsiaTheme="minorEastAsia" w:cs="Times New Roman"/>
          <w:noProof/>
        </w:rPr>
      </w:pPr>
      <w:r>
        <w:rPr>
          <w:noProof/>
        </w:rPr>
        <w:t xml:space="preserve">Ukrepi te komponente so namenjeni podpiranju strukturnih sprememb, povezanih s tem prehodom, in prispevajo k reševanju sedanjih svetovnih in lokalnih izzivov, vključno s podnebnimi spremembami, zmanjšanjem odvisnosti od fosilnih virov in trajnostnim razvojem. Tri sektorje (tekstila in oblačila, obutev in naravna smola) je treba posebej podpreti za razvoj proizvodov na biološki osnovi in za učinkovitejšo rabo virov. Komponenta podpira obravnavanje priporočil za posamezne države o naložbah v zeleni prehod, zlasti v čisto in učinkovito proizvodnjo in rabo energije (priporočilo za posamezno državo št. 3 2020), naložbah v raziskave in inovacije (priporočili za posamezne države št. 3 2019 in 2020) ter pri prehodu na krožno gospodarstvo, zlasti s povečanjem preprečevanja nastajanja odpadkov, recikliranja in ponovne uporabe za preusmeritev odpadkov z odlagališč in sežigalnic (priporočilo za posamezne države št. 3 iz leta 2022 in 2023). </w:t>
      </w:r>
    </w:p>
    <w:p w14:paraId="4CF3DC02" w14:textId="77777777" w:rsidR="00F24946" w:rsidRDefault="00613B06">
      <w:pPr>
        <w:pStyle w:val="P68B1DB1-Normal4"/>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424C0B86" w14:textId="77777777" w:rsidR="00F24946" w:rsidRDefault="00F24946">
      <w:pPr>
        <w:spacing w:before="40" w:after="0" w:line="259" w:lineRule="auto"/>
        <w:jc w:val="both"/>
        <w:rPr>
          <w:rFonts w:ascii="Times New Roman" w:eastAsiaTheme="minorEastAsia" w:hAnsi="Times New Roman" w:cs="Times New Roman"/>
          <w:noProof/>
          <w:sz w:val="24"/>
        </w:rPr>
      </w:pPr>
    </w:p>
    <w:p w14:paraId="7A62E280"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L.1. Opis reform in naložb za nepovratno finančno podporo</w:t>
      </w:r>
    </w:p>
    <w:p w14:paraId="3E984C00"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Reforma TC-r25: Trajnostno biogospodarstvo</w:t>
      </w:r>
    </w:p>
    <w:p w14:paraId="73A86D72" w14:textId="77777777" w:rsidR="00F24946" w:rsidRDefault="00613B06">
      <w:pPr>
        <w:pStyle w:val="P68B1DB1-Normal4"/>
        <w:spacing w:before="40" w:after="0" w:line="259" w:lineRule="auto"/>
        <w:jc w:val="both"/>
        <w:rPr>
          <w:rFonts w:eastAsiaTheme="minorEastAsia" w:cs="Times New Roman"/>
          <w:noProof/>
        </w:rPr>
      </w:pPr>
      <w:r>
        <w:rPr>
          <w:noProof/>
        </w:rPr>
        <w:t>Cilj reforme je spodbujati in spodbujati ohranjanje in učinkovito rabo bioloških virov. Reforma ustreza portugalskemu akcijskemu načrtu za trajnostno biogospodarstvo, ki je predmet javnega posvetovanja in deluje kot strateški okvir za nacionalni trajnostni razvoj. Portugalska v okviru prizadevanj za spodbujanje biogospodarstva oceni tudi davčne spodbude, ki bi lahko okrepile nadomeščanje neobnovljivih naravnih virov z drugimi viri na biološki osnovi.</w:t>
      </w:r>
    </w:p>
    <w:p w14:paraId="1F7B9944" w14:textId="77777777" w:rsidR="00F24946" w:rsidRDefault="00613B06">
      <w:pPr>
        <w:pStyle w:val="P68B1DB1-Normal4"/>
        <w:spacing w:before="40" w:after="0" w:line="259" w:lineRule="auto"/>
        <w:jc w:val="both"/>
        <w:rPr>
          <w:rFonts w:eastAsiaTheme="minorEastAsia" w:cs="Times New Roman"/>
          <w:noProof/>
        </w:rPr>
      </w:pPr>
      <w:r>
        <w:rPr>
          <w:noProof/>
        </w:rPr>
        <w:t xml:space="preserve">Reforma bo sestavljena iz novega splošnega sistema ravnanja z odpadki in vključitve meril za nakup trajnostnih proizvodov na biološki osnovi v pregled nacionalne strategije za zelena javna naročila. Cilj te reforme je odpraviti glavne ovire in omejitve, ugotovljene pri vrednotenju bioloških virov za razvoj trajnostne in krožne bioindustrije, ob upoštevanju načela kaskadne uporabe. </w:t>
      </w:r>
    </w:p>
    <w:p w14:paraId="63B37A13" w14:textId="77777777" w:rsidR="00F24946" w:rsidRDefault="00613B06">
      <w:pPr>
        <w:pStyle w:val="P68B1DB1-Normal4"/>
        <w:spacing w:before="40" w:after="0" w:line="259" w:lineRule="auto"/>
        <w:jc w:val="both"/>
        <w:rPr>
          <w:rFonts w:eastAsiaTheme="minorEastAsia" w:cs="Times New Roman"/>
          <w:noProof/>
        </w:rPr>
      </w:pPr>
      <w:r>
        <w:rPr>
          <w:noProof/>
        </w:rPr>
        <w:t>Z izvajanjem novega splošnega sistema ravnanja z odpadki se odpravijo vsaj omejitve glede uporabe stranskih proizvodov ali odpadkov za nove proizvode s poenostavitvijo postopkov za razvrščanje snovi ali predmetov kot stranskih proizvodov, tudi iz drugih držav EU. Nova splošna shema ravnanja z odpadki je bila sprejeta decembra 2020.</w:t>
      </w:r>
    </w:p>
    <w:p w14:paraId="775F29D4" w14:textId="53DA06AD" w:rsidR="00F24946" w:rsidRDefault="00613B06">
      <w:pPr>
        <w:pStyle w:val="P68B1DB1-Normal4"/>
        <w:spacing w:before="40" w:after="0" w:line="259" w:lineRule="auto"/>
        <w:jc w:val="both"/>
        <w:rPr>
          <w:rFonts w:eastAsiaTheme="minorEastAsia" w:cs="Times New Roman"/>
          <w:noProof/>
        </w:rPr>
      </w:pPr>
      <w:r>
        <w:rPr>
          <w:noProof/>
        </w:rPr>
        <w:t xml:space="preserve">Nacionalna strategija za zelena javna naročila se revidira tako, da vključuje vsaj obvezna okoljska merila v zvezi z javnim naročanjem storitev in proizvodov (zlasti na področju gradbeništva) ter vključuje trajnostne proizvode na biološki osnovi. </w:t>
      </w:r>
    </w:p>
    <w:p w14:paraId="18D49EAF"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30. septembra 2022.</w:t>
      </w:r>
    </w:p>
    <w:p w14:paraId="2FD84C02"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TC-C12-i01: Biogospodarstvo</w:t>
      </w:r>
    </w:p>
    <w:p w14:paraId="17E8B78E"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naložbe je podpreti vključitev materialov na biološki osnovi v proizvodne procese v treh sektorjih: tekstil in oblačila, obutev in naravna smola. </w:t>
      </w:r>
    </w:p>
    <w:p w14:paraId="55D6795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Glavni instrument je finančna podpora, dodeljena prek programskih pogodb s konzorciji, ki vključujejo raziskovalne in inovacijske institucije, podjetja in končne uporabnike ter se izberejo s konkurenčnim postopkom. Podprte dejavnosti vključujejo raziskovalne, razvojne in produktivne inovacijske projekte, projekte digitalizacije in napredne proizvodne tehnologije, namenske programe usposabljanja in opolnomočenja, proizvodnjo domače naravne smole ter ukrepe ozaveščanja za trajnostno proizvodnjo in potrošnjo. Izbrani projekti prispevajo vsaj k razvoju krožnega gospodarstva in ciljem zmanjšanja emisij na Portugalskem. Projekti imajo naslednje cilje: </w:t>
      </w:r>
    </w:p>
    <w:p w14:paraId="1FFA8FCC" w14:textId="77777777" w:rsidR="00F24946" w:rsidRDefault="00613B06">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razvoj novih proizvodnih procesov za ustvarjanje proizvodov z višjo dodano vrednostjo, ki vključujejo in izkoriščajo biološke vire (gozdna biomasa, kmetijski in kmetijsko-industrijski ostanki in stranski proizvodi); </w:t>
      </w:r>
    </w:p>
    <w:p w14:paraId="6A6B42A0" w14:textId="77777777" w:rsidR="00F24946" w:rsidRDefault="00613B06">
      <w:pPr>
        <w:pStyle w:val="P68B1DB1-Normal4"/>
        <w:keepNext/>
        <w:numPr>
          <w:ilvl w:val="0"/>
          <w:numId w:val="29"/>
        </w:numPr>
        <w:spacing w:before="40" w:after="160" w:line="259" w:lineRule="auto"/>
        <w:contextualSpacing/>
        <w:jc w:val="both"/>
        <w:rPr>
          <w:rFonts w:eastAsiaTheme="minorEastAsia" w:cs="Times New Roman"/>
          <w:noProof/>
        </w:rPr>
      </w:pPr>
      <w:r>
        <w:rPr>
          <w:noProof/>
        </w:rPr>
        <w:t>razvoj tehnoloških procesov za izboljšanje krožnosti sektorjev tekstila, oblačil, obutve in smole; in</w:t>
      </w:r>
    </w:p>
    <w:p w14:paraId="2FE7D2D6" w14:textId="77777777" w:rsidR="00F24946" w:rsidRDefault="00613B06">
      <w:pPr>
        <w:pStyle w:val="P68B1DB1-Normal4"/>
        <w:keepNext/>
        <w:numPr>
          <w:ilvl w:val="0"/>
          <w:numId w:val="29"/>
        </w:numPr>
        <w:spacing w:before="40" w:after="160" w:line="259" w:lineRule="auto"/>
        <w:contextualSpacing/>
        <w:jc w:val="both"/>
        <w:rPr>
          <w:rFonts w:eastAsiaTheme="minorEastAsia" w:cs="Times New Roman"/>
          <w:noProof/>
        </w:rPr>
      </w:pPr>
      <w:r>
        <w:rPr>
          <w:noProof/>
        </w:rPr>
        <w:t>prispevati k ravnanju z odpadki v teh sektorjih.</w:t>
      </w:r>
    </w:p>
    <w:p w14:paraId="6B9025FE" w14:textId="77777777" w:rsidR="00F24946" w:rsidRDefault="00613B06">
      <w:pPr>
        <w:pStyle w:val="P68B1DB1-Normal4"/>
        <w:keepNext/>
        <w:spacing w:before="40" w:after="0" w:line="259" w:lineRule="auto"/>
        <w:jc w:val="both"/>
        <w:rPr>
          <w:rFonts w:eastAsiaTheme="minorEastAsia" w:cs="Times New Roman"/>
          <w:noProof/>
        </w:rPr>
      </w:pPr>
      <w:r>
        <w:rPr>
          <w:noProof/>
        </w:rPr>
        <w:t>Raziskovalni, razvojni in inovacijski projekti se podprejo z namenom razvoja novih proizvodnih procesov pri ustvarjanju proizvodov z višjo dodano vrednostjo, ki vključujejo in izkoriščajo biološke vire (gozdna biomasa, kmetijski in kmetijsko-industrijski ostanki in stranski proizvodi), tehnoloških procesov za izboljšanje krožnosti tekstilnega in oblačilnega sektorja, sektorja obutve in predelave smole ter prispevati k ravnanju z odpadki v teh sektorjih. Izbrani projekti prispevajo k zmanjšanju emisij toplogrednih plinov.</w:t>
      </w:r>
    </w:p>
    <w:p w14:paraId="140E81B4" w14:textId="77777777" w:rsidR="00F24946" w:rsidRDefault="00613B06">
      <w:pPr>
        <w:pStyle w:val="P68B1DB1-Normal4"/>
        <w:keepNext/>
        <w:spacing w:before="40" w:after="0" w:line="259" w:lineRule="auto"/>
        <w:jc w:val="both"/>
        <w:rPr>
          <w:rFonts w:eastAsiaTheme="minorEastAsia" w:cs="Times New Roman"/>
          <w:noProof/>
        </w:rPr>
      </w:pPr>
      <w:r>
        <w:rPr>
          <w:noProof/>
        </w:rPr>
        <w:t>Te ukrepe dopolnjujejo posebni in dodatni razpisi za dejavnosti gospodarjenja z gozdovi in proizvodnje naravne smole. Vključuje podporo za dejavnosti preprečevanja požarov, ki jih izvajajo strokovnjaki za proizvodnjo smole, nakup strojev in opreme s strani Inštituta za varstvo narave in gozdov (ICNF) ter dejavnosti zaščite in sanacije morskih borov. S spodbujanjem gospodarjenja z gozdnimi zemljišči ta naložba prispeva k preprečevanju in blaženju učinkov požarov na podeželju ter prispeva k zmanjšanju emisij onesnaževal v ozračje.</w:t>
      </w:r>
    </w:p>
    <w:p w14:paraId="0B9296C2" w14:textId="77777777" w:rsidR="00F24946" w:rsidRDefault="00613B06">
      <w:pPr>
        <w:keepNext/>
        <w:spacing w:before="40" w:after="0" w:line="259" w:lineRule="auto"/>
        <w:jc w:val="both"/>
        <w:rPr>
          <w:rFonts w:ascii="Times New Roman" w:eastAsiaTheme="minorEastAsia" w:hAnsi="Times New Roman" w:cs="Times New Roman"/>
          <w:noProof/>
          <w:sz w:val="24"/>
        </w:rPr>
      </w:pPr>
      <w:r>
        <w:rPr>
          <w:rFonts w:ascii="Times New Roman" w:hAnsi="Times New Roman"/>
          <w:noProof/>
          <w:sz w:val="24"/>
        </w:rPr>
        <w:t>Pričakuje se, da ta ukrep ne bo bistveno škodoval okoljskim ciljem v smislu člena 17 Uredbe (EU) 2020/852, ob upoštevanju opisa ukrepa in blažilnih ukrepov iz načrta za okrevanje in odpornost v skladu s tehničnimi smernicami, da se ne škoduje bistveno (2021/C58/01). Zlasti za zagotovitev skladnosti s tehničnimi smernicami za načelo, da se ne škoduje bistveno (2021/C58/01), morajo biti vozila, stroji in oprema, ki jih kupi Inštitut za naravo in ohranjanje gozdov (ICNF), brezemisijski. Če brezemisijskih alternativ ni, vozila, stroji in oprema, ki se kupijo, predstavljajo najboljše razpoložljive ravni okoljske učinkovitosti v sektorju. Poleg tega merila za upravičenost, vsebovana v formalnih pogojih za prihodnje razpise za projekte, izključujejo naslednji seznam dejavnosti: dejavnosti, povezane s fosilnimi gorivi, vključno z nadaljnjo uporabo</w:t>
      </w:r>
      <w:r>
        <w:rPr>
          <w:rStyle w:val="FootnoteReference"/>
          <w:rFonts w:ascii="Times New Roman" w:hAnsi="Times New Roman" w:cs="Times New Roman"/>
          <w:noProof/>
          <w:sz w:val="24"/>
        </w:rPr>
        <w:footnoteReference w:id="48"/>
      </w:r>
      <w:r>
        <w:rPr>
          <w:rFonts w:ascii="Times New Roman" w:hAnsi="Times New Roman"/>
          <w:noProof/>
          <w:sz w:val="24"/>
        </w:rPr>
        <w:t>; II) dejavnosti v okviru sistema EU za trgovanje z emisijami (ETS), s katerimi se dosegajo predvidene emisije toplogrednih plinov, ki niso nižje od ustreznih referenčnih vrednosti</w:t>
      </w:r>
      <w:r>
        <w:rPr>
          <w:rStyle w:val="FootnoteReference"/>
          <w:rFonts w:ascii="Times New Roman" w:hAnsi="Times New Roman" w:cs="Times New Roman"/>
          <w:noProof/>
          <w:sz w:val="24"/>
        </w:rPr>
        <w:footnoteReference w:id="49"/>
      </w:r>
      <w:r>
        <w:rPr>
          <w:rFonts w:ascii="Times New Roman" w:hAnsi="Times New Roman"/>
          <w:noProof/>
          <w:sz w:val="24"/>
        </w:rPr>
        <w:t>; III) dejavnosti, povezane z odlagališči odpadkov, sežigalnicami</w:t>
      </w:r>
      <w:r>
        <w:rPr>
          <w:rStyle w:val="FootnoteReference"/>
          <w:rFonts w:ascii="Times New Roman" w:hAnsi="Times New Roman" w:cs="Times New Roman"/>
          <w:noProof/>
          <w:sz w:val="24"/>
        </w:rPr>
        <w:footnoteReference w:id="50"/>
      </w:r>
      <w:r>
        <w:rPr>
          <w:rFonts w:ascii="Times New Roman" w:hAnsi="Times New Roman"/>
          <w:noProof/>
          <w:sz w:val="24"/>
        </w:rPr>
        <w:t xml:space="preserve"> in napravami za mehansko-biološko obdelavo</w:t>
      </w:r>
      <w:r>
        <w:rPr>
          <w:rStyle w:val="FootnoteReference"/>
          <w:rFonts w:ascii="Times New Roman" w:hAnsi="Times New Roman" w:cs="Times New Roman"/>
          <w:noProof/>
          <w:sz w:val="24"/>
        </w:rPr>
        <w:footnoteReference w:id="51"/>
      </w:r>
      <w:r>
        <w:rPr>
          <w:rFonts w:ascii="Times New Roman" w:hAnsi="Times New Roman"/>
          <w:noProof/>
          <w:sz w:val="24"/>
        </w:rPr>
        <w:t>; in iv) dejavnosti, pri katerih lahko dolgoročno odstranjevanje odpadkov škoduje okolju. Poleg tega se zahteva, da se lahko izberejo samo dejavnosti, ki so skladne z ustrezno okoljsko zakonodajo EU in nacionalno okoljsko zakonodajo.</w:t>
      </w:r>
    </w:p>
    <w:p w14:paraId="68DD936F"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433D486B" w14:textId="2448C9F9" w:rsidR="00F24946" w:rsidRDefault="00613B06">
      <w:pPr>
        <w:pStyle w:val="P68B1DB1-Normal5"/>
        <w:keepNext/>
        <w:spacing w:before="240" w:after="0" w:line="259" w:lineRule="auto"/>
        <w:ind w:left="851"/>
        <w:jc w:val="both"/>
        <w:outlineLvl w:val="2"/>
        <w:rPr>
          <w:rFonts w:eastAsiaTheme="minorEastAsia" w:cs="Times New Roman"/>
          <w:noProof/>
        </w:rPr>
      </w:pPr>
      <w:bookmarkStart w:id="27" w:name="_Toc137472461"/>
      <w:r>
        <w:rPr>
          <w:noProof/>
        </w:rPr>
        <w:t>Reforma TC-C12-r39: Spodbujanje krožnega gospodarstva in učinkovitejšega ravnanja z odpadki</w:t>
      </w:r>
      <w:bookmarkEnd w:id="27"/>
    </w:p>
    <w:p w14:paraId="210FFEF3" w14:textId="794927BC" w:rsidR="00F24946" w:rsidRDefault="00613B06">
      <w:pPr>
        <w:pStyle w:val="P68B1DB1-Normal4"/>
        <w:spacing w:beforeLines="40" w:before="96" w:after="0" w:line="22" w:lineRule="atLeast"/>
        <w:jc w:val="both"/>
        <w:rPr>
          <w:rFonts w:cs="Times New Roman"/>
          <w:noProof/>
        </w:rPr>
      </w:pPr>
      <w:r>
        <w:rPr>
          <w:noProof/>
        </w:rPr>
        <w:t>Cilj reforme je izboljšati preprečevanje nastajanja odpadkov, pripravo za ponovno uporabo, recikliranje, predelavo in preusmerjanje odpadkov ter spodbujati krožno gospodarstvo.</w:t>
      </w:r>
    </w:p>
    <w:p w14:paraId="7DB46E17" w14:textId="77777777" w:rsidR="00F24946" w:rsidRDefault="00613B06">
      <w:pPr>
        <w:pStyle w:val="P68B1DB1-Normal4"/>
        <w:spacing w:beforeLines="40" w:before="96" w:after="0" w:line="22" w:lineRule="atLeast"/>
        <w:rPr>
          <w:rFonts w:cs="Times New Roman"/>
          <w:noProof/>
        </w:rPr>
      </w:pPr>
      <w:r>
        <w:rPr>
          <w:noProof/>
        </w:rPr>
        <w:t xml:space="preserve">Reforma: </w:t>
      </w:r>
    </w:p>
    <w:p w14:paraId="0DF062F1" w14:textId="109C99E2" w:rsidR="00F24946" w:rsidRDefault="00613B06">
      <w:pPr>
        <w:pStyle w:val="ListParagraph"/>
        <w:keepNext w:val="0"/>
        <w:numPr>
          <w:ilvl w:val="0"/>
          <w:numId w:val="81"/>
        </w:numPr>
        <w:spacing w:beforeLines="40" w:before="96" w:after="0" w:line="22" w:lineRule="atLeast"/>
        <w:rPr>
          <w:noProof/>
        </w:rPr>
      </w:pPr>
      <w:r>
        <w:rPr>
          <w:noProof/>
        </w:rPr>
        <w:t>Spodbujati nadaljnjo okoljsko primerno zasnovo izdelkov z uskladitvijo meril za ekološko modulacijo, ki jo bodo uporabljali proizvajalci. Ta merila so obvezna za upravljavce (združenja, ki zastopajo proizvajalce proizvodov, pakirnice in dobavitelje storitev pakiranja) za izvajanje integriranih sistemov, ki jih zajema razširjena odgovornost proizvajalca. Merila zagotavljajo, da finančni modeli iz člena 15(3) in (4) uredbe-zakona št. 152/D/2017 odražajo vpliv proizvoda na okolje in dejanske stroške ravnanja z odpadki ter ustvarjajo finančne spodbude za trajnejše proizvode, ki jih je mogoče popraviti in reciklirati, s prilagajanjem pristojbin, ki jih morajo plačati proizvajalci.</w:t>
      </w:r>
    </w:p>
    <w:p w14:paraId="5A107152" w14:textId="3322BFE2" w:rsidR="00F24946" w:rsidRDefault="00613B06">
      <w:pPr>
        <w:pStyle w:val="ListParagraph"/>
        <w:keepNext w:val="0"/>
        <w:numPr>
          <w:ilvl w:val="0"/>
          <w:numId w:val="81"/>
        </w:numPr>
        <w:spacing w:beforeLines="40" w:before="96" w:after="0" w:line="22" w:lineRule="atLeast"/>
        <w:rPr>
          <w:noProof/>
        </w:rPr>
      </w:pPr>
      <w:r>
        <w:rPr>
          <w:noProof/>
        </w:rPr>
        <w:t>Uvedba sistema spodbud za vračilo (sistem vlog in povračil) za plastenke iz plastike, železnih kovin in aluminija za enkratno uporabo.</w:t>
      </w:r>
    </w:p>
    <w:p w14:paraId="43D8325A" w14:textId="4B66E22A" w:rsidR="00F24946" w:rsidRDefault="00613B06">
      <w:pPr>
        <w:pStyle w:val="ListParagraph"/>
        <w:keepNext w:val="0"/>
        <w:numPr>
          <w:ilvl w:val="0"/>
          <w:numId w:val="81"/>
        </w:numPr>
        <w:spacing w:beforeLines="40" w:before="96" w:after="0" w:line="22" w:lineRule="atLeast"/>
        <w:rPr>
          <w:noProof/>
        </w:rPr>
      </w:pPr>
      <w:r>
        <w:rPr>
          <w:noProof/>
        </w:rPr>
        <w:t xml:space="preserve">Na podlagi študije izvedljivosti uvesti sistem spodbud za vračanje različnih kategorij odpadkov električne in elektronske opreme. </w:t>
      </w:r>
    </w:p>
    <w:p w14:paraId="58107F2F" w14:textId="6A75DFA4" w:rsidR="00F24946" w:rsidRDefault="00613B06">
      <w:pPr>
        <w:pStyle w:val="P68B1DB1-Normal4"/>
        <w:spacing w:beforeLines="40" w:before="96" w:after="0" w:line="22" w:lineRule="atLeast"/>
        <w:rPr>
          <w:rFonts w:cs="Times New Roman"/>
          <w:noProof/>
        </w:rPr>
      </w:pPr>
      <w:r>
        <w:rPr>
          <w:noProof/>
        </w:rPr>
        <w:t>Reforma se izvede do 31. decembra 2025.</w:t>
      </w:r>
    </w:p>
    <w:p w14:paraId="55469554"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19F8386"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20"/>
          <w:docGrid w:linePitch="360"/>
        </w:sectPr>
      </w:pPr>
    </w:p>
    <w:p w14:paraId="0F85B075"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L.2. </w:t>
      </w:r>
      <w:r>
        <w:rPr>
          <w:noProof/>
        </w:rPr>
        <w:tab/>
        <w:t>Mejniki, cilji, kazalniki in časovni razpored za spremljanje in izvajanje nepovratne finančne podpore Naslednje;</w:t>
      </w:r>
    </w:p>
    <w:p w14:paraId="16CF26E3"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100A85E9" w14:textId="77777777">
        <w:trPr>
          <w:trHeight w:val="910"/>
          <w:tblHeader/>
        </w:trPr>
        <w:tc>
          <w:tcPr>
            <w:tcW w:w="1135" w:type="dxa"/>
            <w:vMerge w:val="restart"/>
            <w:shd w:val="clear" w:color="auto" w:fill="BDD6EE"/>
            <w:vAlign w:val="center"/>
            <w:hideMark/>
          </w:tcPr>
          <w:p w14:paraId="241396A7" w14:textId="77777777" w:rsidR="00F24946" w:rsidRDefault="00613B06">
            <w:pPr>
              <w:pStyle w:val="P68B1DB1-Normal6"/>
              <w:keepNext/>
              <w:spacing w:before="40"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1E874363" w14:textId="77777777" w:rsidR="00F24946" w:rsidRDefault="00613B06">
            <w:pPr>
              <w:pStyle w:val="P68B1DB1-Normal6"/>
              <w:keepNext/>
              <w:spacing w:before="40"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4630E1B7" w14:textId="031A1B2C" w:rsidR="00F24946" w:rsidRDefault="00613B06">
            <w:pPr>
              <w:pStyle w:val="P68B1DB1-Normal6"/>
              <w:keepNext/>
              <w:spacing w:before="40" w:after="0" w:line="240" w:lineRule="auto"/>
              <w:jc w:val="center"/>
              <w:rPr>
                <w:rFonts w:eastAsia="Times New Roman" w:cs="Times New Roman"/>
                <w:noProof/>
              </w:rPr>
            </w:pPr>
            <w:r>
              <w:rPr>
                <w:noProof/>
              </w:rPr>
              <w:t>Mejnik – cilj</w:t>
            </w:r>
          </w:p>
        </w:tc>
        <w:tc>
          <w:tcPr>
            <w:tcW w:w="1701" w:type="dxa"/>
            <w:vMerge w:val="restart"/>
            <w:shd w:val="clear" w:color="auto" w:fill="BDD6EE"/>
            <w:vAlign w:val="center"/>
            <w:hideMark/>
          </w:tcPr>
          <w:p w14:paraId="5C4FFE86" w14:textId="77777777" w:rsidR="00F24946" w:rsidRDefault="00613B06">
            <w:pPr>
              <w:pStyle w:val="P68B1DB1-Normal6"/>
              <w:keepNext/>
              <w:spacing w:before="40"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03E43ABE" w14:textId="77777777" w:rsidR="00F24946" w:rsidRDefault="00613B06">
            <w:pPr>
              <w:pStyle w:val="P68B1DB1-Normal6"/>
              <w:keepNext/>
              <w:spacing w:before="40" w:after="0" w:line="240" w:lineRule="auto"/>
              <w:jc w:val="center"/>
              <w:rPr>
                <w:rFonts w:eastAsia="Times New Roman" w:cs="Times New Roman"/>
                <w:noProof/>
              </w:rPr>
            </w:pPr>
            <w:r>
              <w:rPr>
                <w:noProof/>
              </w:rPr>
              <w:t>Kvalitativni kazalniki za mejnike</w:t>
            </w:r>
          </w:p>
        </w:tc>
        <w:tc>
          <w:tcPr>
            <w:tcW w:w="2694" w:type="dxa"/>
            <w:gridSpan w:val="3"/>
            <w:shd w:val="clear" w:color="auto" w:fill="BDD6EE"/>
            <w:vAlign w:val="center"/>
            <w:hideMark/>
          </w:tcPr>
          <w:p w14:paraId="65AE3941" w14:textId="77777777" w:rsidR="00F24946" w:rsidRDefault="00613B06">
            <w:pPr>
              <w:pStyle w:val="P68B1DB1-Normal6"/>
              <w:keepNext/>
              <w:spacing w:before="40"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67D74F39" w14:textId="77777777" w:rsidR="00F24946" w:rsidRDefault="00613B06">
            <w:pPr>
              <w:pStyle w:val="P68B1DB1-Normal6"/>
              <w:keepNext/>
              <w:spacing w:before="40"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4A072B07" w14:textId="77777777" w:rsidR="00F24946" w:rsidRDefault="00613B06">
            <w:pPr>
              <w:pStyle w:val="P68B1DB1-Normal6"/>
              <w:keepNext/>
              <w:spacing w:before="40" w:after="0" w:line="240" w:lineRule="auto"/>
              <w:jc w:val="center"/>
              <w:rPr>
                <w:rFonts w:eastAsia="Times New Roman" w:cs="Times New Roman"/>
                <w:noProof/>
              </w:rPr>
            </w:pPr>
            <w:r>
              <w:rPr>
                <w:noProof/>
              </w:rPr>
              <w:t>Opis in jasna opredelitev vsakega mejnika in cilja</w:t>
            </w:r>
          </w:p>
        </w:tc>
      </w:tr>
      <w:tr w:rsidR="00F24946" w14:paraId="3776A702" w14:textId="77777777">
        <w:trPr>
          <w:trHeight w:val="470"/>
          <w:tblHeader/>
        </w:trPr>
        <w:tc>
          <w:tcPr>
            <w:tcW w:w="1135" w:type="dxa"/>
            <w:vMerge/>
            <w:vAlign w:val="center"/>
            <w:hideMark/>
          </w:tcPr>
          <w:p w14:paraId="7EBFF15D"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76" w:type="dxa"/>
            <w:vMerge/>
            <w:vAlign w:val="center"/>
            <w:hideMark/>
          </w:tcPr>
          <w:p w14:paraId="249B860E"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134" w:type="dxa"/>
            <w:vMerge/>
            <w:shd w:val="clear" w:color="auto" w:fill="BDD6EE"/>
            <w:vAlign w:val="center"/>
            <w:hideMark/>
          </w:tcPr>
          <w:p w14:paraId="7D7297EE" w14:textId="160E856C" w:rsidR="00F24946" w:rsidRDefault="00F24946">
            <w:pPr>
              <w:keepNext/>
              <w:spacing w:before="40" w:after="0" w:line="240" w:lineRule="auto"/>
              <w:jc w:val="center"/>
              <w:rPr>
                <w:rFonts w:ascii="Times New Roman" w:eastAsia="Times New Roman" w:hAnsi="Times New Roman" w:cs="Times New Roman"/>
                <w:b/>
                <w:noProof/>
                <w:sz w:val="14"/>
              </w:rPr>
            </w:pPr>
          </w:p>
        </w:tc>
        <w:tc>
          <w:tcPr>
            <w:tcW w:w="1701" w:type="dxa"/>
            <w:vMerge/>
            <w:vAlign w:val="center"/>
            <w:hideMark/>
          </w:tcPr>
          <w:p w14:paraId="303B854A"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1275" w:type="dxa"/>
            <w:vMerge/>
            <w:vAlign w:val="center"/>
            <w:hideMark/>
          </w:tcPr>
          <w:p w14:paraId="76753D39" w14:textId="77777777" w:rsidR="00F24946" w:rsidRDefault="00F24946">
            <w:pPr>
              <w:keepNext/>
              <w:spacing w:before="40" w:after="0" w:line="240" w:lineRule="auto"/>
              <w:jc w:val="both"/>
              <w:rPr>
                <w:rFonts w:ascii="Times New Roman" w:eastAsia="Times New Roman" w:hAnsi="Times New Roman" w:cs="Times New Roman"/>
                <w:b/>
                <w:noProof/>
                <w:sz w:val="18"/>
              </w:rPr>
            </w:pPr>
          </w:p>
        </w:tc>
        <w:tc>
          <w:tcPr>
            <w:tcW w:w="993" w:type="dxa"/>
            <w:shd w:val="clear" w:color="auto" w:fill="BDD6EE"/>
            <w:vAlign w:val="center"/>
            <w:hideMark/>
          </w:tcPr>
          <w:p w14:paraId="0ABAAFA4" w14:textId="77777777" w:rsidR="00F24946" w:rsidRDefault="00613B06">
            <w:pPr>
              <w:pStyle w:val="P68B1DB1-Normal6"/>
              <w:keepNext/>
              <w:spacing w:before="40"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36F0EAD7" w14:textId="77777777" w:rsidR="00F24946" w:rsidRDefault="00613B06">
            <w:pPr>
              <w:pStyle w:val="P68B1DB1-Normal6"/>
              <w:keepNext/>
              <w:spacing w:before="40" w:after="0" w:line="240" w:lineRule="auto"/>
              <w:jc w:val="center"/>
              <w:rPr>
                <w:rFonts w:eastAsia="Times New Roman" w:cs="Times New Roman"/>
                <w:noProof/>
              </w:rPr>
            </w:pPr>
            <w:r>
              <w:rPr>
                <w:noProof/>
              </w:rPr>
              <w:t>Izhodišče</w:t>
            </w:r>
          </w:p>
        </w:tc>
        <w:tc>
          <w:tcPr>
            <w:tcW w:w="709" w:type="dxa"/>
            <w:shd w:val="clear" w:color="auto" w:fill="BDD6EE"/>
            <w:vAlign w:val="center"/>
            <w:hideMark/>
          </w:tcPr>
          <w:p w14:paraId="536DFFCA" w14:textId="77777777" w:rsidR="00F24946" w:rsidRDefault="00613B06">
            <w:pPr>
              <w:pStyle w:val="P68B1DB1-Normal6"/>
              <w:keepNext/>
              <w:spacing w:before="40" w:after="0" w:line="240" w:lineRule="auto"/>
              <w:jc w:val="center"/>
              <w:rPr>
                <w:rFonts w:eastAsia="Times New Roman" w:cs="Times New Roman"/>
                <w:noProof/>
              </w:rPr>
            </w:pPr>
            <w:r>
              <w:rPr>
                <w:noProof/>
              </w:rPr>
              <w:t>Cilj</w:t>
            </w:r>
          </w:p>
        </w:tc>
        <w:tc>
          <w:tcPr>
            <w:tcW w:w="567" w:type="dxa"/>
            <w:shd w:val="clear" w:color="auto" w:fill="BDD6EE"/>
            <w:vAlign w:val="center"/>
            <w:hideMark/>
          </w:tcPr>
          <w:p w14:paraId="3DFABF60" w14:textId="77777777" w:rsidR="00F24946" w:rsidRDefault="00613B06">
            <w:pPr>
              <w:pStyle w:val="P68B1DB1-Normal6"/>
              <w:keepNext/>
              <w:spacing w:before="40" w:after="0" w:line="240" w:lineRule="auto"/>
              <w:jc w:val="center"/>
              <w:rPr>
                <w:rFonts w:eastAsia="Times New Roman" w:cs="Times New Roman"/>
                <w:noProof/>
              </w:rPr>
            </w:pPr>
            <w:r>
              <w:rPr>
                <w:noProof/>
              </w:rPr>
              <w:t>Q</w:t>
            </w:r>
          </w:p>
        </w:tc>
        <w:tc>
          <w:tcPr>
            <w:tcW w:w="708" w:type="dxa"/>
            <w:shd w:val="clear" w:color="auto" w:fill="BDD6EE"/>
            <w:vAlign w:val="center"/>
            <w:hideMark/>
          </w:tcPr>
          <w:p w14:paraId="578C9B4B" w14:textId="77777777" w:rsidR="00F24946" w:rsidRDefault="00613B06">
            <w:pPr>
              <w:pStyle w:val="P68B1DB1-Normal6"/>
              <w:keepNext/>
              <w:spacing w:before="40" w:after="0" w:line="240" w:lineRule="auto"/>
              <w:jc w:val="center"/>
              <w:rPr>
                <w:rFonts w:eastAsia="Times New Roman" w:cs="Times New Roman"/>
                <w:noProof/>
              </w:rPr>
            </w:pPr>
            <w:r>
              <w:rPr>
                <w:noProof/>
              </w:rPr>
              <w:t>Leto</w:t>
            </w:r>
          </w:p>
        </w:tc>
        <w:tc>
          <w:tcPr>
            <w:tcW w:w="3969" w:type="dxa"/>
            <w:vMerge/>
            <w:vAlign w:val="center"/>
            <w:hideMark/>
          </w:tcPr>
          <w:p w14:paraId="482E68C8" w14:textId="77777777" w:rsidR="00F24946" w:rsidRDefault="00F24946">
            <w:pPr>
              <w:keepNext/>
              <w:spacing w:before="40" w:after="0" w:line="240" w:lineRule="auto"/>
              <w:jc w:val="both"/>
              <w:rPr>
                <w:rFonts w:ascii="Times New Roman" w:eastAsia="Times New Roman" w:hAnsi="Times New Roman" w:cs="Times New Roman"/>
                <w:b/>
                <w:noProof/>
                <w:sz w:val="18"/>
              </w:rPr>
            </w:pPr>
          </w:p>
        </w:tc>
      </w:tr>
      <w:tr w:rsidR="00F24946" w14:paraId="635E01FA" w14:textId="77777777">
        <w:trPr>
          <w:trHeight w:val="509"/>
        </w:trPr>
        <w:tc>
          <w:tcPr>
            <w:tcW w:w="1135" w:type="dxa"/>
            <w:vMerge w:val="restart"/>
            <w:shd w:val="clear" w:color="auto" w:fill="C4EFCE"/>
            <w:vAlign w:val="center"/>
            <w:hideMark/>
          </w:tcPr>
          <w:p w14:paraId="5DF1D636" w14:textId="77777777" w:rsidR="00F24946" w:rsidRDefault="00613B06">
            <w:pPr>
              <w:pStyle w:val="P68B1DB1-Normal7"/>
              <w:keepNext/>
              <w:spacing w:before="40" w:after="0" w:line="240" w:lineRule="auto"/>
              <w:jc w:val="center"/>
              <w:rPr>
                <w:rFonts w:eastAsia="Times New Roman" w:cs="Calibri"/>
                <w:noProof/>
              </w:rPr>
            </w:pPr>
            <w:r>
              <w:rPr>
                <w:noProof/>
              </w:rPr>
              <w:t>12.1</w:t>
            </w:r>
          </w:p>
        </w:tc>
        <w:tc>
          <w:tcPr>
            <w:tcW w:w="1276" w:type="dxa"/>
            <w:vMerge w:val="restart"/>
            <w:shd w:val="clear" w:color="auto" w:fill="C4EFCE"/>
            <w:noWrap/>
            <w:vAlign w:val="center"/>
            <w:hideMark/>
          </w:tcPr>
          <w:p w14:paraId="21B3B155" w14:textId="77777777" w:rsidR="00F24946" w:rsidRDefault="00613B06">
            <w:pPr>
              <w:pStyle w:val="P68B1DB1-Normal8"/>
              <w:keepNext/>
              <w:spacing w:before="40" w:after="0" w:line="240" w:lineRule="auto"/>
              <w:jc w:val="center"/>
              <w:rPr>
                <w:rFonts w:eastAsia="Times New Roman" w:cs="Calibri"/>
                <w:noProof/>
              </w:rPr>
            </w:pPr>
            <w:r>
              <w:rPr>
                <w:noProof/>
              </w:rPr>
              <w:t>TC-C12-i01</w:t>
            </w:r>
          </w:p>
        </w:tc>
        <w:tc>
          <w:tcPr>
            <w:tcW w:w="1134" w:type="dxa"/>
            <w:vMerge w:val="restart"/>
            <w:shd w:val="clear" w:color="auto" w:fill="C4EFCE"/>
            <w:noWrap/>
            <w:vAlign w:val="center"/>
            <w:hideMark/>
          </w:tcPr>
          <w:p w14:paraId="05A6C9F2"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A9E0800" w14:textId="77777777" w:rsidR="00F24946" w:rsidRDefault="00613B06">
            <w:pPr>
              <w:pStyle w:val="P68B1DB1-Normal8"/>
              <w:keepNext/>
              <w:spacing w:before="40" w:after="0" w:line="240" w:lineRule="auto"/>
              <w:jc w:val="center"/>
              <w:rPr>
                <w:rFonts w:eastAsia="Times New Roman" w:cs="Calibri"/>
                <w:noProof/>
              </w:rPr>
            </w:pPr>
            <w:r>
              <w:rPr>
                <w:noProof/>
              </w:rPr>
              <w:t xml:space="preserve">Podpis protokola za leto 2021 programa „Resineiros Vigiserves“ </w:t>
            </w:r>
          </w:p>
        </w:tc>
        <w:tc>
          <w:tcPr>
            <w:tcW w:w="1275" w:type="dxa"/>
            <w:vMerge w:val="restart"/>
            <w:shd w:val="clear" w:color="auto" w:fill="C4EFCE"/>
            <w:noWrap/>
            <w:vAlign w:val="center"/>
            <w:hideMark/>
          </w:tcPr>
          <w:p w14:paraId="4BA5E5F4" w14:textId="77777777" w:rsidR="00F24946" w:rsidRDefault="00613B06">
            <w:pPr>
              <w:pStyle w:val="P68B1DB1-Normal8"/>
              <w:keepNext/>
              <w:spacing w:before="40" w:after="0" w:line="240" w:lineRule="auto"/>
              <w:jc w:val="center"/>
              <w:rPr>
                <w:rFonts w:eastAsia="Times New Roman" w:cs="Calibri"/>
                <w:noProof/>
              </w:rPr>
            </w:pPr>
            <w:r>
              <w:rPr>
                <w:noProof/>
              </w:rPr>
              <w:t xml:space="preserve"> Podpis protokola iz leta 2021 k programu „Resineiros Vigiserves“</w:t>
            </w:r>
          </w:p>
        </w:tc>
        <w:tc>
          <w:tcPr>
            <w:tcW w:w="993" w:type="dxa"/>
            <w:vMerge w:val="restart"/>
            <w:shd w:val="clear" w:color="auto" w:fill="C4EFCE"/>
            <w:noWrap/>
            <w:vAlign w:val="center"/>
            <w:hideMark/>
          </w:tcPr>
          <w:p w14:paraId="3673A871"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0E11D8FC"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5DBDFE88"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5CDA9014" w14:textId="77777777" w:rsidR="00F24946" w:rsidRDefault="00613B06">
            <w:pPr>
              <w:pStyle w:val="P68B1DB1-Normal8"/>
              <w:keepNext/>
              <w:spacing w:before="40" w:after="0" w:line="240" w:lineRule="auto"/>
              <w:jc w:val="center"/>
              <w:rPr>
                <w:rFonts w:eastAsia="Times New Roman" w:cs="Calibri"/>
                <w:noProof/>
              </w:rPr>
            </w:pPr>
            <w:r>
              <w:rPr>
                <w:noProof/>
              </w:rPr>
              <w:t>Q3</w:t>
            </w:r>
          </w:p>
        </w:tc>
        <w:tc>
          <w:tcPr>
            <w:tcW w:w="708" w:type="dxa"/>
            <w:vMerge w:val="restart"/>
            <w:shd w:val="clear" w:color="auto" w:fill="C4EFCE"/>
            <w:noWrap/>
            <w:vAlign w:val="center"/>
            <w:hideMark/>
          </w:tcPr>
          <w:p w14:paraId="47D645F4" w14:textId="77777777" w:rsidR="00F24946" w:rsidRDefault="00613B06">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024670B2" w14:textId="77777777" w:rsidR="00F24946" w:rsidRDefault="00613B06">
            <w:pPr>
              <w:pStyle w:val="P68B1DB1-Normal8"/>
              <w:keepNext/>
              <w:spacing w:before="40" w:after="0" w:line="240" w:lineRule="auto"/>
              <w:jc w:val="both"/>
              <w:rPr>
                <w:rFonts w:eastAsia="Times New Roman" w:cs="Calibri"/>
                <w:noProof/>
              </w:rPr>
            </w:pPr>
            <w:r>
              <w:rPr>
                <w:noProof/>
              </w:rPr>
              <w:t>Sklenitev protokola med Inštitutom za naravo in varstvo gozdov I. P. in nacionalnim strokovnim združenjem proizvajalcev smole (Resipinus) za nadzor in odkrivanje požarov na podeželju.</w:t>
            </w:r>
          </w:p>
        </w:tc>
      </w:tr>
      <w:tr w:rsidR="00F24946" w14:paraId="5DB127A4" w14:textId="77777777">
        <w:trPr>
          <w:trHeight w:val="509"/>
        </w:trPr>
        <w:tc>
          <w:tcPr>
            <w:tcW w:w="1135" w:type="dxa"/>
            <w:vMerge/>
            <w:vAlign w:val="center"/>
            <w:hideMark/>
          </w:tcPr>
          <w:p w14:paraId="287EBF32" w14:textId="77777777" w:rsidR="00F24946" w:rsidRDefault="00F24946">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2179B6CF" w14:textId="77777777" w:rsidR="00F24946" w:rsidRDefault="00F24946">
            <w:pPr>
              <w:keepNext/>
              <w:spacing w:before="40" w:after="0" w:line="240" w:lineRule="auto"/>
              <w:jc w:val="both"/>
              <w:rPr>
                <w:rFonts w:ascii="Calibri" w:eastAsia="Times New Roman" w:hAnsi="Calibri" w:cs="Calibri"/>
                <w:noProof/>
                <w:sz w:val="16"/>
              </w:rPr>
            </w:pPr>
          </w:p>
        </w:tc>
        <w:tc>
          <w:tcPr>
            <w:tcW w:w="1134" w:type="dxa"/>
            <w:vMerge/>
            <w:vAlign w:val="center"/>
            <w:hideMark/>
          </w:tcPr>
          <w:p w14:paraId="5566EE47" w14:textId="77777777" w:rsidR="00F24946" w:rsidRDefault="00F24946">
            <w:pPr>
              <w:keepNext/>
              <w:spacing w:before="40" w:after="0" w:line="240" w:lineRule="auto"/>
              <w:jc w:val="both"/>
              <w:rPr>
                <w:rFonts w:ascii="Calibri" w:eastAsia="Times New Roman" w:hAnsi="Calibri" w:cs="Calibri"/>
                <w:noProof/>
                <w:sz w:val="16"/>
              </w:rPr>
            </w:pPr>
          </w:p>
        </w:tc>
        <w:tc>
          <w:tcPr>
            <w:tcW w:w="1701" w:type="dxa"/>
            <w:vMerge/>
            <w:vAlign w:val="center"/>
            <w:hideMark/>
          </w:tcPr>
          <w:p w14:paraId="68CFF3C8" w14:textId="77777777" w:rsidR="00F24946" w:rsidRDefault="00F24946">
            <w:pPr>
              <w:keepNext/>
              <w:spacing w:before="40" w:after="0" w:line="240" w:lineRule="auto"/>
              <w:jc w:val="both"/>
              <w:rPr>
                <w:rFonts w:ascii="Calibri" w:eastAsia="Times New Roman" w:hAnsi="Calibri" w:cs="Calibri"/>
                <w:noProof/>
                <w:sz w:val="16"/>
              </w:rPr>
            </w:pPr>
          </w:p>
        </w:tc>
        <w:tc>
          <w:tcPr>
            <w:tcW w:w="1275" w:type="dxa"/>
            <w:vMerge/>
            <w:vAlign w:val="center"/>
            <w:hideMark/>
          </w:tcPr>
          <w:p w14:paraId="0CC81F45" w14:textId="77777777" w:rsidR="00F24946" w:rsidRDefault="00F24946">
            <w:pPr>
              <w:keepNext/>
              <w:spacing w:before="40" w:after="0" w:line="240" w:lineRule="auto"/>
              <w:jc w:val="both"/>
              <w:rPr>
                <w:rFonts w:ascii="Calibri" w:eastAsia="Times New Roman" w:hAnsi="Calibri" w:cs="Calibri"/>
                <w:noProof/>
                <w:sz w:val="16"/>
              </w:rPr>
            </w:pPr>
          </w:p>
        </w:tc>
        <w:tc>
          <w:tcPr>
            <w:tcW w:w="993" w:type="dxa"/>
            <w:vMerge/>
            <w:vAlign w:val="center"/>
            <w:hideMark/>
          </w:tcPr>
          <w:p w14:paraId="746444D9" w14:textId="77777777" w:rsidR="00F24946" w:rsidRDefault="00F24946">
            <w:pPr>
              <w:keepNext/>
              <w:spacing w:before="40" w:after="0" w:line="240" w:lineRule="auto"/>
              <w:jc w:val="both"/>
              <w:rPr>
                <w:rFonts w:ascii="Calibri" w:eastAsia="Times New Roman" w:hAnsi="Calibri" w:cs="Calibri"/>
                <w:noProof/>
                <w:sz w:val="16"/>
              </w:rPr>
            </w:pPr>
          </w:p>
        </w:tc>
        <w:tc>
          <w:tcPr>
            <w:tcW w:w="992" w:type="dxa"/>
            <w:vMerge/>
            <w:vAlign w:val="center"/>
            <w:hideMark/>
          </w:tcPr>
          <w:p w14:paraId="45B22E2B" w14:textId="77777777" w:rsidR="00F24946" w:rsidRDefault="00F24946">
            <w:pPr>
              <w:keepNext/>
              <w:spacing w:before="40" w:after="0" w:line="240" w:lineRule="auto"/>
              <w:jc w:val="both"/>
              <w:rPr>
                <w:rFonts w:ascii="Calibri" w:eastAsia="Times New Roman" w:hAnsi="Calibri" w:cs="Calibri"/>
                <w:noProof/>
                <w:sz w:val="16"/>
              </w:rPr>
            </w:pPr>
          </w:p>
        </w:tc>
        <w:tc>
          <w:tcPr>
            <w:tcW w:w="709" w:type="dxa"/>
            <w:vMerge/>
            <w:vAlign w:val="center"/>
            <w:hideMark/>
          </w:tcPr>
          <w:p w14:paraId="5FA212D8" w14:textId="77777777" w:rsidR="00F24946" w:rsidRDefault="00F24946">
            <w:pPr>
              <w:keepNext/>
              <w:spacing w:before="40" w:after="0" w:line="240" w:lineRule="auto"/>
              <w:jc w:val="both"/>
              <w:rPr>
                <w:rFonts w:ascii="Calibri" w:eastAsia="Times New Roman" w:hAnsi="Calibri" w:cs="Calibri"/>
                <w:noProof/>
                <w:sz w:val="16"/>
              </w:rPr>
            </w:pPr>
          </w:p>
        </w:tc>
        <w:tc>
          <w:tcPr>
            <w:tcW w:w="567" w:type="dxa"/>
            <w:vMerge/>
            <w:vAlign w:val="center"/>
            <w:hideMark/>
          </w:tcPr>
          <w:p w14:paraId="67B9BF89" w14:textId="77777777" w:rsidR="00F24946" w:rsidRDefault="00F24946">
            <w:pPr>
              <w:keepNext/>
              <w:spacing w:before="40" w:after="0" w:line="240" w:lineRule="auto"/>
              <w:jc w:val="both"/>
              <w:rPr>
                <w:rFonts w:ascii="Calibri" w:eastAsia="Times New Roman" w:hAnsi="Calibri" w:cs="Calibri"/>
                <w:noProof/>
                <w:sz w:val="16"/>
              </w:rPr>
            </w:pPr>
          </w:p>
        </w:tc>
        <w:tc>
          <w:tcPr>
            <w:tcW w:w="708" w:type="dxa"/>
            <w:vMerge/>
            <w:vAlign w:val="center"/>
            <w:hideMark/>
          </w:tcPr>
          <w:p w14:paraId="5BF5C728" w14:textId="77777777" w:rsidR="00F24946" w:rsidRDefault="00F24946">
            <w:pPr>
              <w:keepNext/>
              <w:spacing w:before="40" w:after="0" w:line="240" w:lineRule="auto"/>
              <w:jc w:val="both"/>
              <w:rPr>
                <w:rFonts w:ascii="Calibri" w:eastAsia="Times New Roman" w:hAnsi="Calibri" w:cs="Calibri"/>
                <w:noProof/>
                <w:sz w:val="16"/>
              </w:rPr>
            </w:pPr>
          </w:p>
        </w:tc>
        <w:tc>
          <w:tcPr>
            <w:tcW w:w="3969" w:type="dxa"/>
            <w:vMerge/>
            <w:vAlign w:val="center"/>
            <w:hideMark/>
          </w:tcPr>
          <w:p w14:paraId="7EE621F1" w14:textId="77777777" w:rsidR="00F24946" w:rsidRDefault="00F24946">
            <w:pPr>
              <w:keepNext/>
              <w:spacing w:before="40" w:after="0" w:line="240" w:lineRule="auto"/>
              <w:jc w:val="both"/>
              <w:rPr>
                <w:rFonts w:ascii="Calibri" w:eastAsia="Times New Roman" w:hAnsi="Calibri" w:cs="Calibri"/>
                <w:noProof/>
                <w:sz w:val="16"/>
              </w:rPr>
            </w:pPr>
          </w:p>
        </w:tc>
      </w:tr>
      <w:tr w:rsidR="00F24946" w14:paraId="67ABFFD7" w14:textId="77777777">
        <w:trPr>
          <w:trHeight w:val="630"/>
        </w:trPr>
        <w:tc>
          <w:tcPr>
            <w:tcW w:w="1135" w:type="dxa"/>
            <w:shd w:val="clear" w:color="auto" w:fill="C4EFCE"/>
            <w:vAlign w:val="center"/>
            <w:hideMark/>
          </w:tcPr>
          <w:p w14:paraId="704A999D" w14:textId="77777777" w:rsidR="00F24946" w:rsidRDefault="00613B06">
            <w:pPr>
              <w:pStyle w:val="P68B1DB1-Normal7"/>
              <w:keepNext/>
              <w:spacing w:before="40" w:after="0" w:line="240" w:lineRule="auto"/>
              <w:jc w:val="center"/>
              <w:rPr>
                <w:rFonts w:eastAsia="Times New Roman" w:cs="Calibri"/>
                <w:noProof/>
              </w:rPr>
            </w:pPr>
            <w:r>
              <w:rPr>
                <w:noProof/>
              </w:rPr>
              <w:t>12.2</w:t>
            </w:r>
          </w:p>
        </w:tc>
        <w:tc>
          <w:tcPr>
            <w:tcW w:w="1276" w:type="dxa"/>
            <w:shd w:val="clear" w:color="auto" w:fill="C4EFCE"/>
            <w:noWrap/>
            <w:vAlign w:val="center"/>
            <w:hideMark/>
          </w:tcPr>
          <w:p w14:paraId="78F41078" w14:textId="77777777" w:rsidR="00F24946" w:rsidRDefault="00613B06">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4628D649"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27B190C1" w14:textId="77777777" w:rsidR="00F24946" w:rsidRDefault="00613B06">
            <w:pPr>
              <w:pStyle w:val="P68B1DB1-Normal8"/>
              <w:keepNext/>
              <w:spacing w:before="40" w:after="0" w:line="240" w:lineRule="auto"/>
              <w:jc w:val="center"/>
              <w:rPr>
                <w:rFonts w:eastAsia="Times New Roman" w:cs="Calibri"/>
                <w:noProof/>
              </w:rPr>
            </w:pPr>
            <w:r>
              <w:rPr>
                <w:noProof/>
              </w:rPr>
              <w:t>Odobritev projektov, ki jih je predložila Konzorcija za razvoj novih biogospodarskih proizvodov, tehnologij in procesov v tekstilnem sektorju, sektorju oblačil, obutve in naravne smole</w:t>
            </w:r>
          </w:p>
        </w:tc>
        <w:tc>
          <w:tcPr>
            <w:tcW w:w="1275" w:type="dxa"/>
            <w:shd w:val="clear" w:color="auto" w:fill="C4EFCE"/>
            <w:noWrap/>
            <w:vAlign w:val="center"/>
            <w:hideMark/>
          </w:tcPr>
          <w:p w14:paraId="620AF49C" w14:textId="77777777" w:rsidR="00F24946" w:rsidRDefault="00613B06">
            <w:pPr>
              <w:pStyle w:val="P68B1DB1-Normal8"/>
              <w:keepNext/>
              <w:spacing w:before="40" w:after="0" w:line="240" w:lineRule="auto"/>
              <w:jc w:val="center"/>
              <w:rPr>
                <w:rFonts w:eastAsia="Times New Roman" w:cs="Calibri"/>
                <w:noProof/>
              </w:rPr>
            </w:pPr>
            <w:r>
              <w:rPr>
                <w:noProof/>
              </w:rPr>
              <w:t>Odobritev projektov za razvoj novih biogospodarskih proizvodov, tehnologij in procesov</w:t>
            </w:r>
          </w:p>
        </w:tc>
        <w:tc>
          <w:tcPr>
            <w:tcW w:w="993" w:type="dxa"/>
            <w:shd w:val="clear" w:color="auto" w:fill="C4EFCE"/>
            <w:noWrap/>
            <w:vAlign w:val="center"/>
            <w:hideMark/>
          </w:tcPr>
          <w:p w14:paraId="5956DCDC"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7463DC1B"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35FFDF23"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342007C6" w14:textId="77777777" w:rsidR="00F24946" w:rsidRDefault="00613B06">
            <w:pPr>
              <w:pStyle w:val="P68B1DB1-Normal8"/>
              <w:keepNext/>
              <w:spacing w:before="40" w:after="0" w:line="240" w:lineRule="auto"/>
              <w:jc w:val="center"/>
              <w:rPr>
                <w:rFonts w:eastAsia="Times New Roman" w:cs="Calibri"/>
                <w:noProof/>
              </w:rPr>
            </w:pPr>
            <w:r>
              <w:rPr>
                <w:noProof/>
              </w:rPr>
              <w:t>Q2</w:t>
            </w:r>
          </w:p>
        </w:tc>
        <w:tc>
          <w:tcPr>
            <w:tcW w:w="708" w:type="dxa"/>
            <w:shd w:val="clear" w:color="auto" w:fill="C4EFCE"/>
            <w:noWrap/>
            <w:vAlign w:val="center"/>
            <w:hideMark/>
          </w:tcPr>
          <w:p w14:paraId="4BD70A66" w14:textId="77777777" w:rsidR="00F24946" w:rsidRDefault="00613B06">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0EDAFC67" w14:textId="77777777" w:rsidR="00F24946" w:rsidRDefault="00613B06">
            <w:pPr>
              <w:pStyle w:val="P68B1DB1-Normal8"/>
              <w:keepNext/>
              <w:spacing w:before="40" w:after="0" w:line="240" w:lineRule="auto"/>
              <w:jc w:val="both"/>
              <w:rPr>
                <w:rFonts w:eastAsia="Times New Roman" w:cs="Calibri"/>
                <w:noProof/>
              </w:rPr>
            </w:pPr>
            <w:r>
              <w:rPr>
                <w:noProof/>
              </w:rPr>
              <w:t xml:space="preserve">Izbirna komisija odobri projekte, ki jih je predložila Konzorcija za razvoj novih biogospodarskih proizvodov, tehnologij in postopkov v tekstilnem sektorju, sektorju oblačil, obutve in naravne smole. </w:t>
            </w:r>
          </w:p>
          <w:p w14:paraId="7E2CA1C9" w14:textId="77777777" w:rsidR="00F24946" w:rsidRDefault="00613B06">
            <w:pPr>
              <w:pStyle w:val="P68B1DB1-Normal8"/>
              <w:keepNext/>
              <w:spacing w:before="40" w:after="0" w:line="240" w:lineRule="auto"/>
              <w:jc w:val="both"/>
              <w:rPr>
                <w:rFonts w:eastAsia="Times New Roman" w:cs="Calibri"/>
                <w:noProof/>
              </w:rPr>
            </w:pPr>
            <w:r>
              <w:rPr>
                <w:noProof/>
              </w:rPr>
              <w:t xml:space="preserve">Projekti, ki jih Konzorcije predložijo v podporo, spadajo v enega od naslednjih programov: „Spodbujanje trajnostnega in krožnega biogospodarstva na področju tekstila in oblačil“, „Spodbujanje trajnostnega in krožnega biogospodarstva v sektorju obutve“ ter „spodbujanje in vrednotenje naravnega bivališča“. </w:t>
            </w:r>
          </w:p>
          <w:p w14:paraId="373315BC" w14:textId="57EEC5F1" w:rsidR="00F24946" w:rsidRDefault="00613B06">
            <w:pPr>
              <w:pStyle w:val="P68B1DB1-Normal8"/>
              <w:keepNext/>
              <w:spacing w:before="40" w:after="0" w:line="240" w:lineRule="auto"/>
              <w:jc w:val="both"/>
              <w:rPr>
                <w:rFonts w:eastAsia="Times New Roman" w:cs="Calibri"/>
                <w:noProof/>
              </w:rPr>
            </w:pPr>
            <w:r>
              <w:rPr>
                <w:noProof/>
              </w:rPr>
              <w:t xml:space="preserve">Osredotočajo se na nizkoogljično gospodarstvo, odpornost in prilagajanje podnebnim spremembam z uporabo čistih tehnoloških rešitev, alternativ z majhnim vplivom in uporabo najboljših razpoložljivih tehnologij. Merila za izbor projektov zahtevajo, da vsi podprti projekti na področju raziskav in inovacij zagotovijo zmanjšanje neposrednih in posrednih emisij ogljika. </w:t>
            </w:r>
          </w:p>
          <w:p w14:paraId="13B6D23C" w14:textId="3DD59F32" w:rsidR="00F24946" w:rsidRDefault="00613B06">
            <w:pPr>
              <w:pStyle w:val="P68B1DB1-Normal8"/>
              <w:keepNext/>
              <w:spacing w:before="40" w:after="0" w:line="240" w:lineRule="auto"/>
              <w:jc w:val="both"/>
              <w:rPr>
                <w:rFonts w:eastAsia="Times New Roman" w:cs="Calibri"/>
                <w:noProof/>
              </w:rPr>
            </w:pPr>
            <w:r>
              <w:rPr>
                <w:noProof/>
              </w:rPr>
              <w:t>Izbrani projekti so skladni s tehničnimi smernicami, da se ne škoduje bistveno (2021/C58/01), in sicer z uporabo seznama za izključitev in zahtevo po skladnosti z ustrezno okoljsko zakonodajo EU in nacionalno okoljsko zakonodajo.</w:t>
            </w:r>
          </w:p>
        </w:tc>
      </w:tr>
      <w:tr w:rsidR="00F24946" w14:paraId="1F72AFA7" w14:textId="77777777">
        <w:trPr>
          <w:trHeight w:val="640"/>
        </w:trPr>
        <w:tc>
          <w:tcPr>
            <w:tcW w:w="1135" w:type="dxa"/>
            <w:shd w:val="clear" w:color="auto" w:fill="C4EFCE"/>
            <w:vAlign w:val="center"/>
            <w:hideMark/>
          </w:tcPr>
          <w:p w14:paraId="79604885" w14:textId="77777777" w:rsidR="00F24946" w:rsidRDefault="00613B06">
            <w:pPr>
              <w:pStyle w:val="P68B1DB1-Normal7"/>
              <w:keepNext/>
              <w:spacing w:before="40"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DCAFD0A" w14:textId="77777777" w:rsidR="00F24946" w:rsidRDefault="00613B06">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F5A6A08" w14:textId="77777777" w:rsidR="00F24946" w:rsidRDefault="00613B06">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7AA2A96B" w14:textId="77777777" w:rsidR="00F24946" w:rsidRDefault="00613B06">
            <w:pPr>
              <w:pStyle w:val="P68B1DB1-Normal8"/>
              <w:keepNext/>
              <w:spacing w:before="40" w:after="0" w:line="240" w:lineRule="auto"/>
              <w:jc w:val="center"/>
              <w:rPr>
                <w:rFonts w:eastAsia="Times New Roman" w:cs="Calibri"/>
                <w:noProof/>
              </w:rPr>
            </w:pPr>
            <w:r>
              <w:rPr>
                <w:noProof/>
              </w:rPr>
              <w:t xml:space="preserve">Novi proizvodi, tehnologije in pilotni postopki, ki vključujejo biološke vire </w:t>
            </w:r>
          </w:p>
        </w:tc>
        <w:tc>
          <w:tcPr>
            <w:tcW w:w="1275" w:type="dxa"/>
            <w:shd w:val="clear" w:color="auto" w:fill="C4EFCE"/>
            <w:noWrap/>
            <w:vAlign w:val="center"/>
            <w:hideMark/>
          </w:tcPr>
          <w:p w14:paraId="4D4A5918"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3848C4DC" w14:textId="77777777" w:rsidR="00F24946" w:rsidRDefault="00613B06">
            <w:pPr>
              <w:pStyle w:val="P68B1DB1-Normal8"/>
              <w:keepNext/>
              <w:spacing w:before="40" w:after="0" w:line="240" w:lineRule="auto"/>
              <w:jc w:val="center"/>
              <w:rPr>
                <w:rFonts w:eastAsia="Times New Roman" w:cs="Calibri"/>
                <w:noProof/>
              </w:rPr>
            </w:pPr>
            <w:r>
              <w:rPr>
                <w:noProof/>
              </w:rPr>
              <w:t> Število</w:t>
            </w:r>
          </w:p>
        </w:tc>
        <w:tc>
          <w:tcPr>
            <w:tcW w:w="992" w:type="dxa"/>
            <w:shd w:val="clear" w:color="auto" w:fill="C4EFCE"/>
            <w:noWrap/>
            <w:vAlign w:val="center"/>
            <w:hideMark/>
          </w:tcPr>
          <w:p w14:paraId="5AB50F47" w14:textId="77777777" w:rsidR="00F24946" w:rsidRDefault="00613B06">
            <w:pPr>
              <w:pStyle w:val="P68B1DB1-Normal8"/>
              <w:keepNext/>
              <w:spacing w:before="40" w:after="0" w:line="240" w:lineRule="auto"/>
              <w:jc w:val="center"/>
              <w:rPr>
                <w:rFonts w:eastAsia="Times New Roman" w:cs="Calibri"/>
                <w:noProof/>
              </w:rPr>
            </w:pPr>
            <w:r>
              <w:rPr>
                <w:noProof/>
              </w:rPr>
              <w:t> 0</w:t>
            </w:r>
          </w:p>
        </w:tc>
        <w:tc>
          <w:tcPr>
            <w:tcW w:w="709" w:type="dxa"/>
            <w:shd w:val="clear" w:color="auto" w:fill="C4EFCE"/>
            <w:noWrap/>
            <w:vAlign w:val="center"/>
            <w:hideMark/>
          </w:tcPr>
          <w:p w14:paraId="6F17EB16" w14:textId="77777777" w:rsidR="00F24946" w:rsidRDefault="00613B06">
            <w:pPr>
              <w:pStyle w:val="P68B1DB1-Normal8"/>
              <w:keepNext/>
              <w:spacing w:before="40" w:after="0" w:line="240" w:lineRule="auto"/>
              <w:jc w:val="center"/>
              <w:rPr>
                <w:rFonts w:eastAsia="Times New Roman" w:cs="Calibri"/>
                <w:noProof/>
              </w:rPr>
            </w:pPr>
            <w:r>
              <w:rPr>
                <w:noProof/>
              </w:rPr>
              <w:t> 15</w:t>
            </w:r>
          </w:p>
        </w:tc>
        <w:tc>
          <w:tcPr>
            <w:tcW w:w="567" w:type="dxa"/>
            <w:shd w:val="clear" w:color="auto" w:fill="C4EFCE"/>
            <w:noWrap/>
            <w:vAlign w:val="center"/>
            <w:hideMark/>
          </w:tcPr>
          <w:p w14:paraId="03A29219"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708" w:type="dxa"/>
            <w:shd w:val="clear" w:color="auto" w:fill="C4EFCE"/>
            <w:noWrap/>
            <w:vAlign w:val="center"/>
            <w:hideMark/>
          </w:tcPr>
          <w:p w14:paraId="0ECB7A2A" w14:textId="77777777" w:rsidR="00F24946" w:rsidRDefault="00613B06">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2F1A4FC3" w14:textId="77777777" w:rsidR="00F24946" w:rsidRDefault="00613B06">
            <w:pPr>
              <w:pStyle w:val="P68B1DB1-Normal8"/>
              <w:keepNext/>
              <w:spacing w:before="40" w:after="0" w:line="240" w:lineRule="auto"/>
              <w:jc w:val="both"/>
              <w:rPr>
                <w:rFonts w:eastAsia="Times New Roman" w:cs="Calibri"/>
                <w:noProof/>
              </w:rPr>
            </w:pPr>
            <w:r>
              <w:rPr>
                <w:noProof/>
              </w:rPr>
              <w:t>Novi proizvodi, tehnologije in pilotni postopki, ki vključujejo biološke vire. To vključuje vsaj 10 novih proizvodov ali tehnologij (raven 6–7) in vsaj pet industrijskih pilotnih postopkov (raven 7–9 tehnološke pripravljenosti) v naslednjih sektorjih: proizvodnja tekstila, obutve, smole.</w:t>
            </w:r>
          </w:p>
        </w:tc>
      </w:tr>
      <w:tr w:rsidR="00F24946" w14:paraId="029AA38F" w14:textId="77777777">
        <w:trPr>
          <w:trHeight w:val="430"/>
        </w:trPr>
        <w:tc>
          <w:tcPr>
            <w:tcW w:w="1135" w:type="dxa"/>
            <w:shd w:val="clear" w:color="auto" w:fill="C4EFCE"/>
            <w:vAlign w:val="center"/>
            <w:hideMark/>
          </w:tcPr>
          <w:p w14:paraId="0DC95BE8" w14:textId="77777777" w:rsidR="00F24946" w:rsidRDefault="00613B06">
            <w:pPr>
              <w:pStyle w:val="P68B1DB1-Normal7"/>
              <w:keepNext/>
              <w:spacing w:before="40" w:after="0" w:line="240" w:lineRule="auto"/>
              <w:jc w:val="center"/>
              <w:rPr>
                <w:rFonts w:eastAsia="Times New Roman" w:cs="Calibri"/>
                <w:noProof/>
              </w:rPr>
            </w:pPr>
            <w:r>
              <w:rPr>
                <w:noProof/>
              </w:rPr>
              <w:t>12.4</w:t>
            </w:r>
          </w:p>
        </w:tc>
        <w:tc>
          <w:tcPr>
            <w:tcW w:w="1276" w:type="dxa"/>
            <w:shd w:val="clear" w:color="auto" w:fill="C4EFCE"/>
            <w:noWrap/>
            <w:vAlign w:val="center"/>
            <w:hideMark/>
          </w:tcPr>
          <w:p w14:paraId="00D79CA4" w14:textId="77777777" w:rsidR="00F24946" w:rsidRDefault="00613B06">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AA0EC62" w14:textId="77777777" w:rsidR="00F24946" w:rsidRDefault="00613B06">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3A995D45" w14:textId="77777777" w:rsidR="00F24946" w:rsidRDefault="00613B06">
            <w:pPr>
              <w:pStyle w:val="P68B1DB1-Normal8"/>
              <w:keepNext/>
              <w:spacing w:before="40" w:after="0" w:line="240" w:lineRule="auto"/>
              <w:jc w:val="center"/>
              <w:rPr>
                <w:rFonts w:eastAsia="Times New Roman" w:cs="Calibri"/>
                <w:noProof/>
              </w:rPr>
            </w:pPr>
            <w:r>
              <w:rPr>
                <w:noProof/>
              </w:rPr>
              <w:t>Razvoj morskih borovih gozdov s potencialom za proizvodnjo smole</w:t>
            </w:r>
          </w:p>
        </w:tc>
        <w:tc>
          <w:tcPr>
            <w:tcW w:w="1275" w:type="dxa"/>
            <w:shd w:val="clear" w:color="auto" w:fill="C4EFCE"/>
            <w:noWrap/>
            <w:vAlign w:val="center"/>
            <w:hideMark/>
          </w:tcPr>
          <w:p w14:paraId="289BF410"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01EED50B" w14:textId="77777777" w:rsidR="00F24946" w:rsidRDefault="00613B06">
            <w:pPr>
              <w:pStyle w:val="P68B1DB1-Normal8"/>
              <w:keepNext/>
              <w:spacing w:before="40" w:after="0" w:line="240" w:lineRule="auto"/>
              <w:jc w:val="center"/>
              <w:rPr>
                <w:rFonts w:eastAsia="Times New Roman" w:cs="Calibri"/>
                <w:noProof/>
              </w:rPr>
            </w:pPr>
            <w:r>
              <w:rPr>
                <w:noProof/>
              </w:rPr>
              <w:t>ha</w:t>
            </w:r>
          </w:p>
        </w:tc>
        <w:tc>
          <w:tcPr>
            <w:tcW w:w="992" w:type="dxa"/>
            <w:shd w:val="clear" w:color="auto" w:fill="C4EFCE"/>
            <w:noWrap/>
            <w:vAlign w:val="center"/>
            <w:hideMark/>
          </w:tcPr>
          <w:p w14:paraId="426FC88F" w14:textId="77777777" w:rsidR="00F24946" w:rsidRDefault="00613B06">
            <w:pPr>
              <w:pStyle w:val="P68B1DB1-Normal8"/>
              <w:keepNext/>
              <w:spacing w:before="40" w:after="0" w:line="240" w:lineRule="auto"/>
              <w:jc w:val="center"/>
              <w:rPr>
                <w:rFonts w:eastAsia="Times New Roman" w:cs="Calibri"/>
                <w:noProof/>
              </w:rPr>
            </w:pPr>
            <w:r>
              <w:rPr>
                <w:noProof/>
              </w:rPr>
              <w:t>0</w:t>
            </w:r>
          </w:p>
        </w:tc>
        <w:tc>
          <w:tcPr>
            <w:tcW w:w="709" w:type="dxa"/>
            <w:shd w:val="clear" w:color="auto" w:fill="C4EFCE"/>
            <w:noWrap/>
            <w:vAlign w:val="center"/>
            <w:hideMark/>
          </w:tcPr>
          <w:p w14:paraId="556DED51" w14:textId="77777777" w:rsidR="00F24946" w:rsidRDefault="00613B06">
            <w:pPr>
              <w:pStyle w:val="P68B1DB1-Normal8"/>
              <w:keepNext/>
              <w:spacing w:before="40" w:after="0" w:line="240" w:lineRule="auto"/>
              <w:jc w:val="center"/>
              <w:rPr>
                <w:rFonts w:eastAsia="Times New Roman" w:cs="Calibri"/>
                <w:noProof/>
              </w:rPr>
            </w:pPr>
            <w:r>
              <w:rPr>
                <w:noProof/>
              </w:rPr>
              <w:t>8500</w:t>
            </w:r>
          </w:p>
        </w:tc>
        <w:tc>
          <w:tcPr>
            <w:tcW w:w="567" w:type="dxa"/>
            <w:shd w:val="clear" w:color="auto" w:fill="C4EFCE"/>
            <w:noWrap/>
            <w:vAlign w:val="center"/>
            <w:hideMark/>
          </w:tcPr>
          <w:p w14:paraId="75362553" w14:textId="77777777" w:rsidR="00F24946" w:rsidRDefault="00613B06">
            <w:pPr>
              <w:pStyle w:val="P68B1DB1-Normal8"/>
              <w:keepNext/>
              <w:spacing w:before="40" w:after="0" w:line="240" w:lineRule="auto"/>
              <w:jc w:val="center"/>
              <w:rPr>
                <w:rFonts w:eastAsia="Times New Roman" w:cs="Calibri"/>
                <w:noProof/>
              </w:rPr>
            </w:pPr>
            <w:r>
              <w:rPr>
                <w:noProof/>
              </w:rPr>
              <w:t>Q4</w:t>
            </w:r>
          </w:p>
        </w:tc>
        <w:tc>
          <w:tcPr>
            <w:tcW w:w="708" w:type="dxa"/>
            <w:shd w:val="clear" w:color="auto" w:fill="C4EFCE"/>
            <w:noWrap/>
            <w:vAlign w:val="center"/>
            <w:hideMark/>
          </w:tcPr>
          <w:p w14:paraId="3942C662" w14:textId="77777777" w:rsidR="00F24946" w:rsidRDefault="00613B06">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51C1605D" w14:textId="77777777" w:rsidR="00F24946" w:rsidRDefault="00613B06">
            <w:pPr>
              <w:pStyle w:val="P68B1DB1-Normal8"/>
              <w:keepNext/>
              <w:spacing w:before="40" w:after="0" w:line="240" w:lineRule="auto"/>
              <w:jc w:val="both"/>
              <w:rPr>
                <w:rFonts w:eastAsia="Times New Roman" w:cs="Calibri"/>
                <w:noProof/>
              </w:rPr>
            </w:pPr>
            <w:r>
              <w:rPr>
                <w:noProof/>
              </w:rPr>
              <w:t>Območje morskih borovih gozdov, razvitih z uporabo tehnik naravnega obnavljanja in rezi s smolnimi vejami.</w:t>
            </w:r>
          </w:p>
        </w:tc>
      </w:tr>
      <w:tr w:rsidR="00F24946" w14:paraId="06448507" w14:textId="77777777">
        <w:trPr>
          <w:trHeight w:val="509"/>
        </w:trPr>
        <w:tc>
          <w:tcPr>
            <w:tcW w:w="1135" w:type="dxa"/>
            <w:vMerge w:val="restart"/>
            <w:shd w:val="clear" w:color="auto" w:fill="C4EFCE"/>
            <w:vAlign w:val="center"/>
            <w:hideMark/>
          </w:tcPr>
          <w:p w14:paraId="01815B47" w14:textId="77777777" w:rsidR="00F24946" w:rsidRDefault="00613B06">
            <w:pPr>
              <w:pStyle w:val="P68B1DB1-Normal7"/>
              <w:keepNext/>
              <w:spacing w:before="40" w:after="0" w:line="240" w:lineRule="auto"/>
              <w:jc w:val="center"/>
              <w:rPr>
                <w:rFonts w:eastAsia="Times New Roman" w:cs="Calibri"/>
                <w:noProof/>
              </w:rPr>
            </w:pPr>
            <w:r>
              <w:rPr>
                <w:noProof/>
              </w:rPr>
              <w:t>12.5</w:t>
            </w:r>
          </w:p>
        </w:tc>
        <w:tc>
          <w:tcPr>
            <w:tcW w:w="1276" w:type="dxa"/>
            <w:vMerge w:val="restart"/>
            <w:shd w:val="clear" w:color="auto" w:fill="C4EFCE"/>
            <w:noWrap/>
            <w:vAlign w:val="center"/>
            <w:hideMark/>
          </w:tcPr>
          <w:p w14:paraId="5A975A5B" w14:textId="77777777" w:rsidR="00F24946" w:rsidRDefault="00613B06">
            <w:pPr>
              <w:pStyle w:val="P68B1DB1-Normal8"/>
              <w:keepNext/>
              <w:spacing w:before="40" w:after="0" w:line="240" w:lineRule="auto"/>
              <w:jc w:val="center"/>
              <w:rPr>
                <w:rFonts w:eastAsia="Times New Roman" w:cs="Calibri"/>
                <w:noProof/>
              </w:rPr>
            </w:pPr>
            <w:r>
              <w:rPr>
                <w:noProof/>
              </w:rPr>
              <w:t>TC-C12-r25</w:t>
            </w:r>
          </w:p>
        </w:tc>
        <w:tc>
          <w:tcPr>
            <w:tcW w:w="1134" w:type="dxa"/>
            <w:vMerge w:val="restart"/>
            <w:shd w:val="clear" w:color="auto" w:fill="C4EFCE"/>
            <w:noWrap/>
            <w:vAlign w:val="center"/>
            <w:hideMark/>
          </w:tcPr>
          <w:p w14:paraId="7B72424B"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9664442" w14:textId="77777777" w:rsidR="00F24946" w:rsidRDefault="00613B06">
            <w:pPr>
              <w:pStyle w:val="P68B1DB1-Normal8"/>
              <w:keepNext/>
              <w:spacing w:before="40" w:after="0" w:line="240" w:lineRule="auto"/>
              <w:jc w:val="center"/>
              <w:rPr>
                <w:rFonts w:eastAsia="Times New Roman" w:cs="Calibri"/>
                <w:noProof/>
              </w:rPr>
            </w:pPr>
            <w:r>
              <w:rPr>
                <w:noProof/>
              </w:rPr>
              <w:t>Začetek veljavnosti novega splošnega režima ravnanja z odpadki</w:t>
            </w:r>
          </w:p>
        </w:tc>
        <w:tc>
          <w:tcPr>
            <w:tcW w:w="1275" w:type="dxa"/>
            <w:vMerge w:val="restart"/>
            <w:shd w:val="clear" w:color="auto" w:fill="C4EFCE"/>
            <w:noWrap/>
            <w:vAlign w:val="center"/>
            <w:hideMark/>
          </w:tcPr>
          <w:p w14:paraId="1355927D" w14:textId="77777777" w:rsidR="00F24946" w:rsidRDefault="00613B06">
            <w:pPr>
              <w:pStyle w:val="P68B1DB1-Normal8"/>
              <w:keepNext/>
              <w:spacing w:before="40" w:after="0" w:line="240" w:lineRule="auto"/>
              <w:jc w:val="center"/>
              <w:rPr>
                <w:rFonts w:eastAsia="Times New Roman" w:cs="Calibri"/>
                <w:noProof/>
              </w:rPr>
            </w:pPr>
            <w:r>
              <w:rPr>
                <w:noProof/>
              </w:rPr>
              <w:t>Začetek veljavnosti novega splošnega režima ravnanja z odpadki</w:t>
            </w:r>
          </w:p>
        </w:tc>
        <w:tc>
          <w:tcPr>
            <w:tcW w:w="993" w:type="dxa"/>
            <w:vMerge w:val="restart"/>
            <w:shd w:val="clear" w:color="auto" w:fill="C4EFCE"/>
            <w:noWrap/>
            <w:vAlign w:val="center"/>
            <w:hideMark/>
          </w:tcPr>
          <w:p w14:paraId="54E17836"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68CD8F4C"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30FF5517"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4E701E35" w14:textId="77777777" w:rsidR="00F24946" w:rsidRDefault="00613B06">
            <w:pPr>
              <w:pStyle w:val="P68B1DB1-Normal8"/>
              <w:keepNext/>
              <w:spacing w:before="40" w:after="0" w:line="240" w:lineRule="auto"/>
              <w:jc w:val="center"/>
              <w:rPr>
                <w:rFonts w:eastAsia="Times New Roman" w:cs="Calibri"/>
                <w:noProof/>
              </w:rPr>
            </w:pPr>
            <w:r>
              <w:rPr>
                <w:noProof/>
              </w:rPr>
              <w:t>Q3</w:t>
            </w:r>
          </w:p>
        </w:tc>
        <w:tc>
          <w:tcPr>
            <w:tcW w:w="708" w:type="dxa"/>
            <w:vMerge w:val="restart"/>
            <w:shd w:val="clear" w:color="auto" w:fill="C4EFCE"/>
            <w:noWrap/>
            <w:vAlign w:val="center"/>
            <w:hideMark/>
          </w:tcPr>
          <w:p w14:paraId="3E43C2B4" w14:textId="77777777" w:rsidR="00F24946" w:rsidRDefault="00613B06">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48913900" w14:textId="77777777" w:rsidR="00F24946" w:rsidRDefault="00613B06">
            <w:pPr>
              <w:pStyle w:val="P68B1DB1-Normal8"/>
              <w:keepNext/>
              <w:spacing w:before="40" w:after="0" w:line="240" w:lineRule="auto"/>
              <w:jc w:val="both"/>
              <w:rPr>
                <w:rFonts w:eastAsia="Times New Roman" w:cs="Calibri"/>
                <w:noProof/>
              </w:rPr>
            </w:pPr>
            <w:r>
              <w:rPr>
                <w:noProof/>
              </w:rPr>
              <w:t>Začetek veljavnosti novega splošnega sistema ravnanja z odpadki (RGGR), ki poenostavlja upravni postopek in zmanjšuje stroške, povezane z uporabo stranskih proizvodov.</w:t>
            </w:r>
          </w:p>
        </w:tc>
      </w:tr>
      <w:tr w:rsidR="00F24946" w14:paraId="586A7CD8" w14:textId="77777777">
        <w:trPr>
          <w:trHeight w:val="509"/>
        </w:trPr>
        <w:tc>
          <w:tcPr>
            <w:tcW w:w="1135" w:type="dxa"/>
            <w:vMerge/>
            <w:vAlign w:val="center"/>
            <w:hideMark/>
          </w:tcPr>
          <w:p w14:paraId="0DB010B9" w14:textId="77777777" w:rsidR="00F24946" w:rsidRDefault="00F24946">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367E3F02" w14:textId="77777777" w:rsidR="00F24946" w:rsidRDefault="00F24946">
            <w:pPr>
              <w:keepNext/>
              <w:spacing w:before="40" w:after="0" w:line="240" w:lineRule="auto"/>
              <w:jc w:val="both"/>
              <w:rPr>
                <w:rFonts w:ascii="Calibri" w:eastAsia="Times New Roman" w:hAnsi="Calibri" w:cs="Calibri"/>
                <w:noProof/>
                <w:sz w:val="16"/>
              </w:rPr>
            </w:pPr>
          </w:p>
        </w:tc>
        <w:tc>
          <w:tcPr>
            <w:tcW w:w="1134" w:type="dxa"/>
            <w:vMerge/>
            <w:vAlign w:val="center"/>
            <w:hideMark/>
          </w:tcPr>
          <w:p w14:paraId="2443F33D" w14:textId="77777777" w:rsidR="00F24946" w:rsidRDefault="00F24946">
            <w:pPr>
              <w:keepNext/>
              <w:spacing w:before="40" w:after="0" w:line="240" w:lineRule="auto"/>
              <w:jc w:val="both"/>
              <w:rPr>
                <w:rFonts w:ascii="Calibri" w:eastAsia="Times New Roman" w:hAnsi="Calibri" w:cs="Calibri"/>
                <w:noProof/>
                <w:sz w:val="16"/>
              </w:rPr>
            </w:pPr>
          </w:p>
        </w:tc>
        <w:tc>
          <w:tcPr>
            <w:tcW w:w="1701" w:type="dxa"/>
            <w:vMerge/>
            <w:vAlign w:val="center"/>
            <w:hideMark/>
          </w:tcPr>
          <w:p w14:paraId="5DD737E3" w14:textId="77777777" w:rsidR="00F24946" w:rsidRDefault="00F24946">
            <w:pPr>
              <w:keepNext/>
              <w:spacing w:before="40" w:after="0" w:line="240" w:lineRule="auto"/>
              <w:jc w:val="both"/>
              <w:rPr>
                <w:rFonts w:ascii="Calibri" w:eastAsia="Times New Roman" w:hAnsi="Calibri" w:cs="Calibri"/>
                <w:noProof/>
                <w:sz w:val="16"/>
              </w:rPr>
            </w:pPr>
          </w:p>
        </w:tc>
        <w:tc>
          <w:tcPr>
            <w:tcW w:w="1275" w:type="dxa"/>
            <w:vMerge/>
            <w:vAlign w:val="center"/>
            <w:hideMark/>
          </w:tcPr>
          <w:p w14:paraId="2487D94E" w14:textId="77777777" w:rsidR="00F24946" w:rsidRDefault="00F24946">
            <w:pPr>
              <w:keepNext/>
              <w:spacing w:before="40" w:after="0" w:line="240" w:lineRule="auto"/>
              <w:jc w:val="both"/>
              <w:rPr>
                <w:rFonts w:ascii="Calibri" w:eastAsia="Times New Roman" w:hAnsi="Calibri" w:cs="Calibri"/>
                <w:noProof/>
                <w:sz w:val="16"/>
              </w:rPr>
            </w:pPr>
          </w:p>
        </w:tc>
        <w:tc>
          <w:tcPr>
            <w:tcW w:w="993" w:type="dxa"/>
            <w:vMerge/>
            <w:vAlign w:val="center"/>
            <w:hideMark/>
          </w:tcPr>
          <w:p w14:paraId="0AA85703" w14:textId="77777777" w:rsidR="00F24946" w:rsidRDefault="00F24946">
            <w:pPr>
              <w:keepNext/>
              <w:spacing w:before="40" w:after="0" w:line="240" w:lineRule="auto"/>
              <w:jc w:val="both"/>
              <w:rPr>
                <w:rFonts w:ascii="Calibri" w:eastAsia="Times New Roman" w:hAnsi="Calibri" w:cs="Calibri"/>
                <w:noProof/>
                <w:sz w:val="16"/>
              </w:rPr>
            </w:pPr>
          </w:p>
        </w:tc>
        <w:tc>
          <w:tcPr>
            <w:tcW w:w="992" w:type="dxa"/>
            <w:vMerge/>
            <w:vAlign w:val="center"/>
            <w:hideMark/>
          </w:tcPr>
          <w:p w14:paraId="771EC11D" w14:textId="77777777" w:rsidR="00F24946" w:rsidRDefault="00F24946">
            <w:pPr>
              <w:keepNext/>
              <w:spacing w:before="40" w:after="0" w:line="240" w:lineRule="auto"/>
              <w:jc w:val="both"/>
              <w:rPr>
                <w:rFonts w:ascii="Calibri" w:eastAsia="Times New Roman" w:hAnsi="Calibri" w:cs="Calibri"/>
                <w:noProof/>
                <w:sz w:val="16"/>
              </w:rPr>
            </w:pPr>
          </w:p>
        </w:tc>
        <w:tc>
          <w:tcPr>
            <w:tcW w:w="709" w:type="dxa"/>
            <w:vMerge/>
            <w:vAlign w:val="center"/>
            <w:hideMark/>
          </w:tcPr>
          <w:p w14:paraId="71E36A1F" w14:textId="77777777" w:rsidR="00F24946" w:rsidRDefault="00F24946">
            <w:pPr>
              <w:keepNext/>
              <w:spacing w:before="40" w:after="0" w:line="240" w:lineRule="auto"/>
              <w:jc w:val="both"/>
              <w:rPr>
                <w:rFonts w:ascii="Calibri" w:eastAsia="Times New Roman" w:hAnsi="Calibri" w:cs="Calibri"/>
                <w:noProof/>
                <w:sz w:val="16"/>
              </w:rPr>
            </w:pPr>
          </w:p>
        </w:tc>
        <w:tc>
          <w:tcPr>
            <w:tcW w:w="567" w:type="dxa"/>
            <w:vMerge/>
            <w:vAlign w:val="center"/>
            <w:hideMark/>
          </w:tcPr>
          <w:p w14:paraId="3C6B1961" w14:textId="77777777" w:rsidR="00F24946" w:rsidRDefault="00F24946">
            <w:pPr>
              <w:keepNext/>
              <w:spacing w:before="40" w:after="0" w:line="240" w:lineRule="auto"/>
              <w:jc w:val="both"/>
              <w:rPr>
                <w:rFonts w:ascii="Calibri" w:eastAsia="Times New Roman" w:hAnsi="Calibri" w:cs="Calibri"/>
                <w:noProof/>
                <w:sz w:val="16"/>
              </w:rPr>
            </w:pPr>
          </w:p>
        </w:tc>
        <w:tc>
          <w:tcPr>
            <w:tcW w:w="708" w:type="dxa"/>
            <w:vMerge/>
            <w:vAlign w:val="center"/>
            <w:hideMark/>
          </w:tcPr>
          <w:p w14:paraId="73B96A4A" w14:textId="77777777" w:rsidR="00F24946" w:rsidRDefault="00F24946">
            <w:pPr>
              <w:keepNext/>
              <w:spacing w:before="40" w:after="0" w:line="240" w:lineRule="auto"/>
              <w:jc w:val="both"/>
              <w:rPr>
                <w:rFonts w:ascii="Calibri" w:eastAsia="Times New Roman" w:hAnsi="Calibri" w:cs="Calibri"/>
                <w:noProof/>
                <w:sz w:val="16"/>
              </w:rPr>
            </w:pPr>
          </w:p>
        </w:tc>
        <w:tc>
          <w:tcPr>
            <w:tcW w:w="3969" w:type="dxa"/>
            <w:vMerge/>
            <w:vAlign w:val="center"/>
            <w:hideMark/>
          </w:tcPr>
          <w:p w14:paraId="2B2F80BC" w14:textId="77777777" w:rsidR="00F24946" w:rsidRDefault="00F24946">
            <w:pPr>
              <w:keepNext/>
              <w:spacing w:before="40" w:after="0" w:line="240" w:lineRule="auto"/>
              <w:jc w:val="both"/>
              <w:rPr>
                <w:rFonts w:ascii="Calibri" w:eastAsia="Times New Roman" w:hAnsi="Calibri" w:cs="Calibri"/>
                <w:noProof/>
                <w:sz w:val="16"/>
              </w:rPr>
            </w:pPr>
          </w:p>
        </w:tc>
      </w:tr>
      <w:tr w:rsidR="00F24946" w14:paraId="2697EE8C" w14:textId="77777777">
        <w:trPr>
          <w:trHeight w:val="640"/>
        </w:trPr>
        <w:tc>
          <w:tcPr>
            <w:tcW w:w="1135" w:type="dxa"/>
            <w:shd w:val="clear" w:color="auto" w:fill="C4EFCE"/>
            <w:vAlign w:val="center"/>
            <w:hideMark/>
          </w:tcPr>
          <w:p w14:paraId="08444E6D" w14:textId="77777777" w:rsidR="00F24946" w:rsidRDefault="00613B06">
            <w:pPr>
              <w:pStyle w:val="P68B1DB1-Normal7"/>
              <w:keepNext/>
              <w:spacing w:before="40" w:after="0" w:line="240" w:lineRule="auto"/>
              <w:jc w:val="center"/>
              <w:rPr>
                <w:rFonts w:eastAsia="Times New Roman" w:cs="Calibri"/>
                <w:noProof/>
              </w:rPr>
            </w:pPr>
            <w:r>
              <w:rPr>
                <w:noProof/>
              </w:rPr>
              <w:t>12.6</w:t>
            </w:r>
          </w:p>
        </w:tc>
        <w:tc>
          <w:tcPr>
            <w:tcW w:w="1276" w:type="dxa"/>
            <w:shd w:val="clear" w:color="auto" w:fill="C4EFCE"/>
            <w:noWrap/>
            <w:vAlign w:val="center"/>
            <w:hideMark/>
          </w:tcPr>
          <w:p w14:paraId="3F816AEA" w14:textId="77777777" w:rsidR="00F24946" w:rsidRDefault="00613B06">
            <w:pPr>
              <w:pStyle w:val="P68B1DB1-Normal8"/>
              <w:keepNext/>
              <w:spacing w:before="40" w:after="0" w:line="240" w:lineRule="auto"/>
              <w:jc w:val="center"/>
              <w:rPr>
                <w:rFonts w:eastAsia="Times New Roman" w:cs="Calibri"/>
                <w:noProof/>
              </w:rPr>
            </w:pPr>
            <w:r>
              <w:rPr>
                <w:noProof/>
              </w:rPr>
              <w:t>TC-C12-r25</w:t>
            </w:r>
          </w:p>
        </w:tc>
        <w:tc>
          <w:tcPr>
            <w:tcW w:w="1134" w:type="dxa"/>
            <w:shd w:val="clear" w:color="auto" w:fill="C4EFCE"/>
            <w:noWrap/>
            <w:vAlign w:val="center"/>
            <w:hideMark/>
          </w:tcPr>
          <w:p w14:paraId="62EF5924" w14:textId="77777777" w:rsidR="00F24946" w:rsidRDefault="00613B06">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133B9485" w14:textId="77777777" w:rsidR="00F24946" w:rsidRDefault="00613B06">
            <w:pPr>
              <w:pStyle w:val="P68B1DB1-Normal8"/>
              <w:keepNext/>
              <w:spacing w:before="40" w:after="0" w:line="240" w:lineRule="auto"/>
              <w:jc w:val="center"/>
              <w:rPr>
                <w:rFonts w:eastAsia="Times New Roman" w:cs="Calibri"/>
                <w:noProof/>
              </w:rPr>
            </w:pPr>
            <w:r>
              <w:rPr>
                <w:noProof/>
              </w:rPr>
              <w:t xml:space="preserve">Začetek veljavnosti revidirane nacionalne strategije za zelena javna naročila  </w:t>
            </w:r>
          </w:p>
        </w:tc>
        <w:tc>
          <w:tcPr>
            <w:tcW w:w="1275" w:type="dxa"/>
            <w:shd w:val="clear" w:color="auto" w:fill="C4EFCE"/>
            <w:noWrap/>
            <w:vAlign w:val="center"/>
            <w:hideMark/>
          </w:tcPr>
          <w:p w14:paraId="6FBD6F01" w14:textId="77777777" w:rsidR="00F24946" w:rsidRDefault="00613B06">
            <w:pPr>
              <w:pStyle w:val="P68B1DB1-Normal8"/>
              <w:keepNext/>
              <w:spacing w:before="40" w:after="0" w:line="240" w:lineRule="auto"/>
              <w:jc w:val="center"/>
              <w:rPr>
                <w:rFonts w:eastAsia="Times New Roman" w:cs="Calibri"/>
                <w:noProof/>
              </w:rPr>
            </w:pPr>
            <w:r>
              <w:rPr>
                <w:noProof/>
              </w:rPr>
              <w:t xml:space="preserve"> Začetek veljavnosti revidirane nacionalne strategije za zelena javna naročila</w:t>
            </w:r>
          </w:p>
        </w:tc>
        <w:tc>
          <w:tcPr>
            <w:tcW w:w="993" w:type="dxa"/>
            <w:shd w:val="clear" w:color="auto" w:fill="C4EFCE"/>
            <w:noWrap/>
            <w:vAlign w:val="center"/>
            <w:hideMark/>
          </w:tcPr>
          <w:p w14:paraId="51587E83"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4AFA38E3"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7C65395F" w14:textId="77777777" w:rsidR="00F24946" w:rsidRDefault="00613B06">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5256FAB4" w14:textId="77777777" w:rsidR="00F24946" w:rsidRDefault="00613B06">
            <w:pPr>
              <w:pStyle w:val="P68B1DB1-Normal8"/>
              <w:keepNext/>
              <w:spacing w:before="40" w:after="0" w:line="240" w:lineRule="auto"/>
              <w:jc w:val="center"/>
              <w:rPr>
                <w:rFonts w:eastAsia="Times New Roman" w:cs="Calibri"/>
                <w:noProof/>
              </w:rPr>
            </w:pPr>
            <w:r>
              <w:rPr>
                <w:noProof/>
              </w:rPr>
              <w:t>Q3</w:t>
            </w:r>
          </w:p>
        </w:tc>
        <w:tc>
          <w:tcPr>
            <w:tcW w:w="708" w:type="dxa"/>
            <w:shd w:val="clear" w:color="auto" w:fill="C4EFCE"/>
            <w:noWrap/>
            <w:vAlign w:val="center"/>
            <w:hideMark/>
          </w:tcPr>
          <w:p w14:paraId="6DDCBBB5" w14:textId="77777777" w:rsidR="00F24946" w:rsidRDefault="00613B06">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4819F34F" w14:textId="77777777" w:rsidR="00F24946" w:rsidRDefault="00613B06">
            <w:pPr>
              <w:pStyle w:val="P68B1DB1-Normal8"/>
              <w:keepNext/>
              <w:spacing w:before="40" w:after="0" w:line="240" w:lineRule="auto"/>
              <w:jc w:val="both"/>
              <w:rPr>
                <w:rFonts w:eastAsia="Times New Roman" w:cs="Calibri"/>
                <w:noProof/>
              </w:rPr>
            </w:pPr>
            <w:r>
              <w:rPr>
                <w:noProof/>
              </w:rPr>
              <w:t>Začetek veljavnosti revidirane nacionalne strategije za zelena javna naročila, ki določa okoljska merila v zvezi z javnim naročanjem storitev in proizvodov, ki vključujejo trajnostne materiale na biološki osnovi, vključno z uvedbo obveznih okoljskih meril.</w:t>
            </w:r>
          </w:p>
        </w:tc>
      </w:tr>
      <w:tr w:rsidR="00F24946" w14:paraId="16B20D57" w14:textId="77777777">
        <w:trPr>
          <w:trHeight w:val="640"/>
        </w:trPr>
        <w:tc>
          <w:tcPr>
            <w:tcW w:w="1135" w:type="dxa"/>
            <w:shd w:val="clear" w:color="auto" w:fill="C4EFCE"/>
            <w:vAlign w:val="center"/>
          </w:tcPr>
          <w:p w14:paraId="39C49F59" w14:textId="55C321DD" w:rsidR="00F24946" w:rsidRDefault="00613B06">
            <w:pPr>
              <w:pStyle w:val="P68B1DB1-Normal11"/>
              <w:keepNext/>
              <w:spacing w:before="40" w:after="0" w:line="240" w:lineRule="auto"/>
              <w:jc w:val="center"/>
              <w:rPr>
                <w:rFonts w:eastAsia="Times New Roman" w:cstheme="minorHAnsi"/>
                <w:noProof/>
              </w:rPr>
            </w:pPr>
            <w:r>
              <w:rPr>
                <w:noProof/>
              </w:rPr>
              <w:t>12.7</w:t>
            </w:r>
          </w:p>
        </w:tc>
        <w:tc>
          <w:tcPr>
            <w:tcW w:w="1276" w:type="dxa"/>
            <w:shd w:val="clear" w:color="auto" w:fill="C4EFCE"/>
            <w:noWrap/>
            <w:vAlign w:val="center"/>
          </w:tcPr>
          <w:p w14:paraId="4721E143" w14:textId="51E9943A" w:rsidR="00F24946" w:rsidRDefault="00613B06">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9CBAF90" w14:textId="55797804" w:rsidR="00F24946" w:rsidRDefault="00613B06">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61B1A8E" w14:textId="2FFE12A3" w:rsidR="00F24946" w:rsidRDefault="00613B06">
            <w:pPr>
              <w:pStyle w:val="P68B1DB1-Normal12"/>
              <w:keepNext/>
              <w:spacing w:before="40" w:after="0" w:line="240" w:lineRule="auto"/>
              <w:jc w:val="center"/>
              <w:rPr>
                <w:rFonts w:eastAsia="Times New Roman" w:cstheme="minorHAnsi"/>
                <w:noProof/>
              </w:rPr>
            </w:pPr>
            <w:r>
              <w:rPr>
                <w:noProof/>
              </w:rPr>
              <w:t>Začetek veljavnosti usklajene opredelitve meril za ekološko modulacijo</w:t>
            </w:r>
          </w:p>
        </w:tc>
        <w:tc>
          <w:tcPr>
            <w:tcW w:w="1275" w:type="dxa"/>
            <w:shd w:val="clear" w:color="auto" w:fill="C4EFCE"/>
            <w:noWrap/>
            <w:vAlign w:val="center"/>
          </w:tcPr>
          <w:p w14:paraId="28D67B26" w14:textId="01B175F2" w:rsidR="00F24946" w:rsidRDefault="00613B06">
            <w:pPr>
              <w:pStyle w:val="P68B1DB1-Normal12"/>
              <w:keepNext/>
              <w:spacing w:before="40" w:after="0" w:line="240" w:lineRule="auto"/>
              <w:jc w:val="center"/>
              <w:rPr>
                <w:rFonts w:eastAsia="Times New Roman" w:cstheme="minorHAnsi"/>
                <w:noProof/>
              </w:rPr>
            </w:pPr>
            <w:r>
              <w:rPr>
                <w:noProof/>
              </w:rPr>
              <w:t>Določba v pravnem aktu o začetku veljavnosti usklajene opredelitve meril za ekološko modulacijo</w:t>
            </w:r>
          </w:p>
        </w:tc>
        <w:tc>
          <w:tcPr>
            <w:tcW w:w="993" w:type="dxa"/>
            <w:shd w:val="clear" w:color="auto" w:fill="C4EFCE"/>
            <w:noWrap/>
            <w:vAlign w:val="center"/>
          </w:tcPr>
          <w:p w14:paraId="473F382C" w14:textId="77777777" w:rsidR="00F24946" w:rsidRDefault="00F24946">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5F5AC1E1" w14:textId="77777777" w:rsidR="00F24946" w:rsidRDefault="00F24946">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7CCC309" w14:textId="77777777" w:rsidR="00F24946" w:rsidRDefault="00F24946">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4562F222" w14:textId="2D8B530C" w:rsidR="00F24946" w:rsidRDefault="00613B06">
            <w:pPr>
              <w:pStyle w:val="P68B1DB1-Normal12"/>
              <w:keepNext/>
              <w:spacing w:before="40" w:after="0" w:line="240" w:lineRule="auto"/>
              <w:jc w:val="center"/>
              <w:rPr>
                <w:rFonts w:eastAsia="Times New Roman" w:cstheme="minorHAnsi"/>
                <w:noProof/>
              </w:rPr>
            </w:pPr>
            <w:r>
              <w:rPr>
                <w:noProof/>
              </w:rPr>
              <w:t>Q4</w:t>
            </w:r>
          </w:p>
        </w:tc>
        <w:tc>
          <w:tcPr>
            <w:tcW w:w="708" w:type="dxa"/>
            <w:shd w:val="clear" w:color="auto" w:fill="C4EFCE"/>
            <w:noWrap/>
            <w:vAlign w:val="center"/>
          </w:tcPr>
          <w:p w14:paraId="7FEFCF39" w14:textId="54FDBFEF" w:rsidR="00F24946" w:rsidRDefault="00613B06">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DEDCBD9" w14:textId="1740201F" w:rsidR="00F24946" w:rsidRDefault="00613B06">
            <w:pPr>
              <w:pStyle w:val="P68B1DB1-Normal12"/>
              <w:keepNext/>
              <w:spacing w:before="40" w:after="0" w:line="240" w:lineRule="auto"/>
              <w:jc w:val="both"/>
              <w:rPr>
                <w:rFonts w:eastAsia="Times New Roman" w:cstheme="minorHAnsi"/>
                <w:noProof/>
              </w:rPr>
            </w:pPr>
            <w:r>
              <w:rPr>
                <w:noProof/>
              </w:rPr>
              <w:t>Začetek veljavnosti pravnega akta, ki določa usklajeno in obvezno opredelitev meril za ekološko modulacijo finančnih koristi v integriranih sistemih v okviru razširjene odgovornosti proizvajalca.</w:t>
            </w:r>
          </w:p>
        </w:tc>
      </w:tr>
      <w:tr w:rsidR="00F24946" w14:paraId="62815762" w14:textId="77777777">
        <w:trPr>
          <w:trHeight w:val="640"/>
        </w:trPr>
        <w:tc>
          <w:tcPr>
            <w:tcW w:w="1135" w:type="dxa"/>
            <w:shd w:val="clear" w:color="auto" w:fill="C4EFCE"/>
            <w:vAlign w:val="center"/>
          </w:tcPr>
          <w:p w14:paraId="07AC7261" w14:textId="275A6E6F" w:rsidR="00F24946" w:rsidRDefault="00613B06">
            <w:pPr>
              <w:pStyle w:val="P68B1DB1-Normal11"/>
              <w:keepNext/>
              <w:spacing w:before="40" w:after="0" w:line="240" w:lineRule="auto"/>
              <w:jc w:val="center"/>
              <w:rPr>
                <w:rFonts w:eastAsia="Times New Roman" w:cstheme="minorHAnsi"/>
                <w:noProof/>
              </w:rPr>
            </w:pPr>
            <w:r>
              <w:rPr>
                <w:noProof/>
              </w:rPr>
              <w:t>12.8</w:t>
            </w:r>
          </w:p>
        </w:tc>
        <w:tc>
          <w:tcPr>
            <w:tcW w:w="1276" w:type="dxa"/>
            <w:shd w:val="clear" w:color="auto" w:fill="C4EFCE"/>
            <w:noWrap/>
            <w:vAlign w:val="center"/>
          </w:tcPr>
          <w:p w14:paraId="7DACBA0B" w14:textId="5F170093" w:rsidR="00F24946" w:rsidRDefault="00613B06">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666A2AC9" w14:textId="0BD59B92" w:rsidR="00F24946" w:rsidRDefault="00613B06">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1F8455A" w14:textId="4FE660FF" w:rsidR="00F24946" w:rsidRDefault="00613B06">
            <w:pPr>
              <w:pStyle w:val="P68B1DB1-Normal12"/>
              <w:keepNext/>
              <w:spacing w:before="40" w:after="0" w:line="240" w:lineRule="auto"/>
              <w:jc w:val="center"/>
              <w:rPr>
                <w:rFonts w:eastAsia="Times New Roman" w:cstheme="minorHAnsi"/>
                <w:noProof/>
              </w:rPr>
            </w:pPr>
            <w:r>
              <w:rPr>
                <w:noProof/>
              </w:rPr>
              <w:t>Sistem spodbud za vračilo (sistem vlog in povračil) za plastenke za enkratno uporabo, železne kovine in aluminij</w:t>
            </w:r>
          </w:p>
        </w:tc>
        <w:tc>
          <w:tcPr>
            <w:tcW w:w="1275" w:type="dxa"/>
            <w:shd w:val="clear" w:color="auto" w:fill="C4EFCE"/>
            <w:noWrap/>
            <w:vAlign w:val="center"/>
          </w:tcPr>
          <w:p w14:paraId="7C89497C" w14:textId="1EB460B7" w:rsidR="00F24946" w:rsidRDefault="00613B06">
            <w:pPr>
              <w:pStyle w:val="P68B1DB1-Normal12"/>
              <w:keepNext/>
              <w:spacing w:before="40" w:after="0" w:line="240" w:lineRule="auto"/>
              <w:jc w:val="center"/>
              <w:rPr>
                <w:rFonts w:eastAsia="Times New Roman" w:cstheme="minorHAnsi"/>
                <w:noProof/>
              </w:rPr>
            </w:pPr>
            <w:r>
              <w:rPr>
                <w:noProof/>
              </w:rPr>
              <w:t xml:space="preserve">Začetek delovanja sistema kavcij in povračil </w:t>
            </w:r>
          </w:p>
        </w:tc>
        <w:tc>
          <w:tcPr>
            <w:tcW w:w="993" w:type="dxa"/>
            <w:shd w:val="clear" w:color="auto" w:fill="C4EFCE"/>
            <w:noWrap/>
            <w:vAlign w:val="center"/>
          </w:tcPr>
          <w:p w14:paraId="39D5184D" w14:textId="77777777" w:rsidR="00F24946" w:rsidRDefault="00F24946">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3F121E5C" w14:textId="77777777" w:rsidR="00F24946" w:rsidRDefault="00F24946">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2387D7" w14:textId="77777777" w:rsidR="00F24946" w:rsidRDefault="00F24946">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2F1F0378" w14:textId="3C6501CE" w:rsidR="00F24946" w:rsidRDefault="00613B06">
            <w:pPr>
              <w:pStyle w:val="P68B1DB1-Normal12"/>
              <w:keepNext/>
              <w:spacing w:before="40" w:after="0" w:line="240" w:lineRule="auto"/>
              <w:jc w:val="center"/>
              <w:rPr>
                <w:rFonts w:eastAsia="Times New Roman" w:cstheme="minorHAnsi"/>
                <w:noProof/>
              </w:rPr>
            </w:pPr>
            <w:r>
              <w:rPr>
                <w:noProof/>
              </w:rPr>
              <w:t>Q4</w:t>
            </w:r>
          </w:p>
        </w:tc>
        <w:tc>
          <w:tcPr>
            <w:tcW w:w="708" w:type="dxa"/>
            <w:shd w:val="clear" w:color="auto" w:fill="C4EFCE"/>
            <w:noWrap/>
            <w:vAlign w:val="center"/>
          </w:tcPr>
          <w:p w14:paraId="53D4ED8E" w14:textId="0A031EF8" w:rsidR="00F24946" w:rsidRDefault="00613B06">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AAA4E0F" w14:textId="1222BCF4" w:rsidR="00F24946" w:rsidRDefault="00613B06">
            <w:pPr>
              <w:pStyle w:val="P68B1DB1-Normal12"/>
              <w:keepNext/>
              <w:spacing w:before="40" w:after="0" w:line="240" w:lineRule="auto"/>
              <w:jc w:val="both"/>
              <w:rPr>
                <w:rFonts w:eastAsia="Times New Roman" w:cstheme="minorHAnsi"/>
                <w:noProof/>
              </w:rPr>
            </w:pPr>
            <w:r>
              <w:rPr>
                <w:noProof/>
              </w:rPr>
              <w:t>Sistem kavcij in povračil začne delovati in se uporablja za plastenke za enkratno uporabo, železne kovine in aluminij.</w:t>
            </w:r>
          </w:p>
        </w:tc>
      </w:tr>
      <w:tr w:rsidR="00F24946" w14:paraId="32FCFF9B" w14:textId="77777777">
        <w:trPr>
          <w:trHeight w:val="640"/>
        </w:trPr>
        <w:tc>
          <w:tcPr>
            <w:tcW w:w="1135" w:type="dxa"/>
            <w:shd w:val="clear" w:color="auto" w:fill="C4EFCE"/>
            <w:vAlign w:val="center"/>
          </w:tcPr>
          <w:p w14:paraId="616AFCCE" w14:textId="0499EDB2" w:rsidR="00F24946" w:rsidRDefault="00613B06">
            <w:pPr>
              <w:pStyle w:val="P68B1DB1-Normal11"/>
              <w:keepNext/>
              <w:spacing w:before="40" w:after="0" w:line="240" w:lineRule="auto"/>
              <w:jc w:val="center"/>
              <w:rPr>
                <w:rFonts w:eastAsia="Times New Roman" w:cstheme="minorHAnsi"/>
                <w:noProof/>
              </w:rPr>
            </w:pPr>
            <w:r>
              <w:rPr>
                <w:noProof/>
              </w:rPr>
              <w:t>12.9</w:t>
            </w:r>
          </w:p>
        </w:tc>
        <w:tc>
          <w:tcPr>
            <w:tcW w:w="1276" w:type="dxa"/>
            <w:shd w:val="clear" w:color="auto" w:fill="C4EFCE"/>
            <w:noWrap/>
            <w:vAlign w:val="center"/>
          </w:tcPr>
          <w:p w14:paraId="6071425A" w14:textId="403D2E54" w:rsidR="00F24946" w:rsidRDefault="00613B06">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40B5687" w14:textId="64AAC94A" w:rsidR="00F24946" w:rsidRDefault="00613B06">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72035F18" w14:textId="06F91A11" w:rsidR="00F24946" w:rsidRDefault="00613B06">
            <w:pPr>
              <w:pStyle w:val="P68B1DB1-Normal12"/>
              <w:keepNext/>
              <w:spacing w:before="40" w:after="0" w:line="240" w:lineRule="auto"/>
              <w:jc w:val="center"/>
              <w:rPr>
                <w:rFonts w:eastAsia="Times New Roman" w:cstheme="minorHAnsi"/>
                <w:noProof/>
              </w:rPr>
            </w:pPr>
            <w:r>
              <w:rPr>
                <w:noProof/>
              </w:rPr>
              <w:t>Sistem vračanja odpadne električne energije in elektronske opreme</w:t>
            </w:r>
          </w:p>
        </w:tc>
        <w:tc>
          <w:tcPr>
            <w:tcW w:w="1275" w:type="dxa"/>
            <w:shd w:val="clear" w:color="auto" w:fill="C4EFCE"/>
            <w:noWrap/>
            <w:vAlign w:val="center"/>
          </w:tcPr>
          <w:p w14:paraId="066404D9" w14:textId="7C6AF3C2" w:rsidR="00F24946" w:rsidRDefault="00613B06">
            <w:pPr>
              <w:pStyle w:val="P68B1DB1-Normal12"/>
              <w:keepNext/>
              <w:spacing w:before="40" w:after="0" w:line="240" w:lineRule="auto"/>
              <w:jc w:val="center"/>
              <w:rPr>
                <w:rFonts w:eastAsia="Times New Roman" w:cstheme="minorHAnsi"/>
                <w:noProof/>
              </w:rPr>
            </w:pPr>
            <w:r>
              <w:rPr>
                <w:noProof/>
              </w:rPr>
              <w:t>Določba v zakonodaji, ki označuje začetek veljavnosti zakonodaje</w:t>
            </w:r>
          </w:p>
        </w:tc>
        <w:tc>
          <w:tcPr>
            <w:tcW w:w="993" w:type="dxa"/>
            <w:shd w:val="clear" w:color="auto" w:fill="C4EFCE"/>
            <w:noWrap/>
            <w:vAlign w:val="center"/>
          </w:tcPr>
          <w:p w14:paraId="461AA650" w14:textId="77777777" w:rsidR="00F24946" w:rsidRDefault="00F24946">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076B2EB9" w14:textId="77777777" w:rsidR="00F24946" w:rsidRDefault="00F24946">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EC12A6" w14:textId="77777777" w:rsidR="00F24946" w:rsidRDefault="00F24946">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3C9440EC" w14:textId="7A24AD19" w:rsidR="00F24946" w:rsidRDefault="00613B06">
            <w:pPr>
              <w:pStyle w:val="P68B1DB1-Normal12"/>
              <w:keepNext/>
              <w:spacing w:before="40" w:after="0" w:line="240" w:lineRule="auto"/>
              <w:jc w:val="center"/>
              <w:rPr>
                <w:rFonts w:eastAsia="Times New Roman" w:cstheme="minorHAnsi"/>
                <w:noProof/>
              </w:rPr>
            </w:pPr>
            <w:r>
              <w:rPr>
                <w:noProof/>
              </w:rPr>
              <w:t>Q4</w:t>
            </w:r>
          </w:p>
        </w:tc>
        <w:tc>
          <w:tcPr>
            <w:tcW w:w="708" w:type="dxa"/>
            <w:shd w:val="clear" w:color="auto" w:fill="C4EFCE"/>
            <w:noWrap/>
            <w:vAlign w:val="center"/>
          </w:tcPr>
          <w:p w14:paraId="1E8B76AD" w14:textId="6C11828E" w:rsidR="00F24946" w:rsidRDefault="00613B06">
            <w:pPr>
              <w:pStyle w:val="P68B1DB1-Normal12"/>
              <w:keepNext/>
              <w:spacing w:before="40" w:after="0" w:line="240" w:lineRule="auto"/>
              <w:jc w:val="center"/>
              <w:rPr>
                <w:rFonts w:eastAsia="Times New Roman" w:cstheme="minorHAnsi"/>
                <w:noProof/>
              </w:rPr>
            </w:pPr>
            <w:r>
              <w:rPr>
                <w:noProof/>
              </w:rPr>
              <w:t>2025</w:t>
            </w:r>
          </w:p>
        </w:tc>
        <w:tc>
          <w:tcPr>
            <w:tcW w:w="3969" w:type="dxa"/>
            <w:shd w:val="clear" w:color="auto" w:fill="C4EFCE"/>
            <w:vAlign w:val="center"/>
          </w:tcPr>
          <w:p w14:paraId="675495A0" w14:textId="1CFE3794" w:rsidR="00F24946" w:rsidRDefault="00613B06">
            <w:pPr>
              <w:pStyle w:val="P68B1DB1-Normal12"/>
              <w:keepNext/>
              <w:spacing w:before="40" w:after="0" w:line="240" w:lineRule="auto"/>
              <w:jc w:val="both"/>
              <w:rPr>
                <w:rFonts w:eastAsia="Times New Roman"/>
                <w:noProof/>
              </w:rPr>
            </w:pPr>
            <w:r>
              <w:rPr>
                <w:noProof/>
              </w:rPr>
              <w:t>Na podlagi neodvisne študije izvedljivosti in če je študija pozitivna, začne veljati zakonodaja, ki določa pravni okvir za uvedbo sistema vračanja električnih in elektronskih odpadkov.</w:t>
            </w:r>
          </w:p>
        </w:tc>
      </w:tr>
    </w:tbl>
    <w:p w14:paraId="2DA74A5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 </w:t>
      </w:r>
    </w:p>
    <w:p w14:paraId="05DB275A"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11FB5CD6"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134" w:right="1134" w:bottom="1134" w:left="1134" w:header="567" w:footer="567" w:gutter="0"/>
          <w:cols w:space="720"/>
          <w:docGrid w:linePitch="360"/>
        </w:sectPr>
      </w:pPr>
    </w:p>
    <w:p w14:paraId="73252C7F" w14:textId="77777777" w:rsidR="00F24946" w:rsidRDefault="00613B06">
      <w:pPr>
        <w:pStyle w:val="P68B1DB1-Normal3"/>
        <w:keepNext/>
        <w:spacing w:before="40" w:after="0" w:line="259" w:lineRule="auto"/>
        <w:ind w:left="130" w:firstLine="720"/>
        <w:jc w:val="both"/>
        <w:outlineLvl w:val="1"/>
        <w:rPr>
          <w:rFonts w:eastAsiaTheme="minorEastAsia" w:cs="Times New Roman"/>
          <w:smallCaps/>
          <w:noProof/>
        </w:rPr>
      </w:pPr>
      <w:r>
        <w:rPr>
          <w:noProof/>
        </w:rPr>
        <w:t>M.</w:t>
      </w:r>
      <w:r>
        <w:rPr>
          <w:smallCaps/>
          <w:noProof/>
        </w:rPr>
        <w:t xml:space="preserve"> KOMPONENTA 1</w:t>
      </w:r>
      <w:r>
        <w:rPr>
          <w:noProof/>
        </w:rPr>
        <w:t>3</w:t>
      </w:r>
      <w:r>
        <w:rPr>
          <w:smallCaps/>
          <w:noProof/>
        </w:rPr>
        <w:t xml:space="preserve">: </w:t>
      </w:r>
      <w:r>
        <w:rPr>
          <w:noProof/>
        </w:rPr>
        <w:t>Energetska učinkovitost stavb</w:t>
      </w:r>
    </w:p>
    <w:p w14:paraId="7428EB29" w14:textId="77777777" w:rsidR="00F24946" w:rsidRDefault="00613B06">
      <w:pPr>
        <w:pStyle w:val="P68B1DB1-Normal4"/>
        <w:keepNext/>
        <w:spacing w:beforeLines="40" w:before="96" w:after="0" w:line="22" w:lineRule="atLeast"/>
        <w:jc w:val="both"/>
        <w:rPr>
          <w:rFonts w:eastAsia="Times New Roman" w:cs="Times New Roman"/>
          <w:noProof/>
        </w:rPr>
      </w:pPr>
      <w:r>
        <w:rPr>
          <w:noProof/>
        </w:rPr>
        <w:t xml:space="preserve">Komponenta obravnava naslednje izzive: Stanovanjski sektor predstavlja 18 % porabe energije, storitveni sektor pa dodatnih 14 %. Stavbe imajo zato za Portugalsko pomembno vlogo pri doseganju ciljev ogljične nevtralnosti. Ukrepi na tem področju, zlasti v stanovanjskem segmentu, lahko prav tako pomagajo ublažiti energijsko revščino, ki je na Portugalskem še vedno zelo zaskrbljujoča, saj je delež gospodinjstev, ki v letu 2019 ne morejo ustrezno ogrevati domov, še vedno 19 %. Portugalska se je zavezala, da bo do leta 2050 dosegla ogljično nevtralnost, zato mora spodbujati </w:t>
      </w:r>
      <w:r>
        <w:rPr>
          <w:noProof/>
          <w:shd w:val="clear" w:color="auto" w:fill="FFFFFF"/>
        </w:rPr>
        <w:t xml:space="preserve">razogljičenje svojega stavbnega fonda, </w:t>
      </w:r>
      <w:r>
        <w:rPr>
          <w:noProof/>
        </w:rPr>
        <w:t>hkrati pa izboljšati stanovanjske pogoje (notranje udobje in kakovost) in cenovno dostopnost. To se doseže s povečanjem energijske učinkovitosti stavb, združevanjem energijske učinkovitosti in energije iz obnovljivih virov z elektrifikacijo ter usmerjanjem zlasti gospodinjstev z nizkimi dohodki v boj proti energijski revščini.</w:t>
      </w:r>
    </w:p>
    <w:p w14:paraId="60D27ACE" w14:textId="77777777" w:rsidR="00F24946" w:rsidRDefault="00613B06">
      <w:pPr>
        <w:pStyle w:val="P68B1DB1-Normal4"/>
        <w:widowControl w:val="0"/>
        <w:spacing w:beforeLines="40" w:before="96" w:after="161" w:line="22" w:lineRule="atLeast"/>
        <w:jc w:val="both"/>
        <w:rPr>
          <w:rFonts w:eastAsia="Calibri" w:cs="Times New Roman"/>
          <w:noProof/>
        </w:rPr>
      </w:pPr>
      <w:r>
        <w:rPr>
          <w:noProof/>
        </w:rPr>
        <w:t>Ugotovljenih je bilo več „nedelovanja trga“ in ustrezajo številnim težavam, ki običajno povzročajo zamude pri preoblikovanju stavbnega fonda in izkoriščanju morebitnih prihrankov energije, kot so:</w:t>
      </w:r>
    </w:p>
    <w:p w14:paraId="05BE14DE" w14:textId="77777777" w:rsidR="00F24946" w:rsidRDefault="00613B06">
      <w:pPr>
        <w:pStyle w:val="P68B1DB1-Normal4"/>
        <w:keepNext/>
        <w:widowControl w:val="0"/>
        <w:numPr>
          <w:ilvl w:val="0"/>
          <w:numId w:val="50"/>
        </w:numPr>
        <w:spacing w:beforeLines="40" w:before="96" w:after="161" w:line="22" w:lineRule="atLeast"/>
        <w:jc w:val="both"/>
        <w:rPr>
          <w:rFonts w:eastAsia="Calibri" w:cs="Times New Roman"/>
          <w:noProof/>
        </w:rPr>
      </w:pPr>
      <w:r>
        <w:rPr>
          <w:noProof/>
        </w:rPr>
        <w:t>pomanjkanje razumevanja porabe energije in morebitnih prihrankov;</w:t>
      </w:r>
    </w:p>
    <w:p w14:paraId="68334EEE" w14:textId="77777777" w:rsidR="00F24946" w:rsidRDefault="00613B06">
      <w:pPr>
        <w:pStyle w:val="P68B1DB1-Normal4"/>
        <w:keepNext/>
        <w:widowControl w:val="0"/>
        <w:numPr>
          <w:ilvl w:val="0"/>
          <w:numId w:val="50"/>
        </w:numPr>
        <w:spacing w:beforeLines="40" w:before="96" w:after="161" w:line="22" w:lineRule="atLeast"/>
        <w:jc w:val="both"/>
        <w:rPr>
          <w:rFonts w:eastAsia="Calibri" w:cs="Times New Roman"/>
          <w:noProof/>
        </w:rPr>
      </w:pPr>
      <w:r>
        <w:rPr>
          <w:noProof/>
        </w:rPr>
        <w:t>omejene dejavnosti prenove in gradnje v razmerah po finančni krizi;</w:t>
      </w:r>
    </w:p>
    <w:p w14:paraId="1367E8D7" w14:textId="77777777" w:rsidR="00F24946" w:rsidRDefault="00613B06">
      <w:pPr>
        <w:pStyle w:val="P68B1DB1-Normal4"/>
        <w:keepNext/>
        <w:widowControl w:val="0"/>
        <w:numPr>
          <w:ilvl w:val="0"/>
          <w:numId w:val="50"/>
        </w:numPr>
        <w:spacing w:beforeLines="40" w:before="96" w:after="161" w:line="22" w:lineRule="atLeast"/>
        <w:jc w:val="both"/>
        <w:rPr>
          <w:rFonts w:eastAsia="Calibri" w:cs="Times New Roman"/>
          <w:noProof/>
        </w:rPr>
      </w:pPr>
      <w:r>
        <w:rPr>
          <w:noProof/>
        </w:rPr>
        <w:t>pomanjkanje privlačnih finančnih produktov;</w:t>
      </w:r>
    </w:p>
    <w:p w14:paraId="145C348F" w14:textId="77777777" w:rsidR="00F24946" w:rsidRDefault="00613B06">
      <w:pPr>
        <w:pStyle w:val="P68B1DB1-Normal4"/>
        <w:keepNext/>
        <w:widowControl w:val="0"/>
        <w:numPr>
          <w:ilvl w:val="0"/>
          <w:numId w:val="50"/>
        </w:numPr>
        <w:spacing w:beforeLines="40" w:before="96" w:after="161" w:line="22" w:lineRule="atLeast"/>
        <w:jc w:val="both"/>
        <w:rPr>
          <w:rFonts w:eastAsia="Calibri" w:cs="Times New Roman"/>
          <w:noProof/>
        </w:rPr>
      </w:pPr>
      <w:r>
        <w:rPr>
          <w:noProof/>
        </w:rPr>
        <w:t>omejene informacije o stavbnem fondu; in</w:t>
      </w:r>
    </w:p>
    <w:p w14:paraId="30590B1F" w14:textId="77777777" w:rsidR="00F24946" w:rsidRDefault="00613B06">
      <w:pPr>
        <w:pStyle w:val="P68B1DB1-Normal4"/>
        <w:keepNext/>
        <w:widowControl w:val="0"/>
        <w:numPr>
          <w:ilvl w:val="0"/>
          <w:numId w:val="50"/>
        </w:numPr>
        <w:spacing w:beforeLines="40" w:before="96" w:after="161" w:line="22" w:lineRule="atLeast"/>
        <w:jc w:val="both"/>
        <w:rPr>
          <w:rFonts w:eastAsia="Calibri" w:cs="Times New Roman"/>
          <w:noProof/>
        </w:rPr>
      </w:pPr>
      <w:r>
        <w:rPr>
          <w:noProof/>
        </w:rPr>
        <w:t>omejeno uporabo učinkovitih in pametnih tehnologij.</w:t>
      </w:r>
    </w:p>
    <w:p w14:paraId="630C6E70" w14:textId="77777777" w:rsidR="00F24946" w:rsidRDefault="00613B06">
      <w:pPr>
        <w:pStyle w:val="P68B1DB1-Normal4"/>
        <w:spacing w:beforeLines="40" w:before="96" w:after="0" w:line="22" w:lineRule="atLeast"/>
        <w:jc w:val="both"/>
        <w:rPr>
          <w:rFonts w:eastAsiaTheme="minorEastAsia" w:cs="Times New Roman"/>
          <w:noProof/>
        </w:rPr>
      </w:pPr>
      <w:r>
        <w:rPr>
          <w:noProof/>
        </w:rPr>
        <w:t xml:space="preserve">Cilji komponente so prenoviti javne in zasebne stavbe, da bi izboljšali njihovo energetsko učinkovitost in udobje, hkrati pa zmanjšali račune za energijo in odvisnost države, emisije toplogrednih plinov in energetsko odvisnost, ublažili energijsko revščino in vključili obnovljive vire energije v grajeno okolje. To bi moralo zagotoviti številne družbene, okoljske in gospodarske koristi za ljudi in podjetja, kot sta ustvarjanje lokalnih delovnih mest in zmanjšanje onesnaženosti zraka. </w:t>
      </w:r>
    </w:p>
    <w:p w14:paraId="6EF5B825" w14:textId="77777777" w:rsidR="00F24946" w:rsidRDefault="00613B06">
      <w:pPr>
        <w:pStyle w:val="P68B1DB1-Normal4"/>
        <w:spacing w:beforeLines="40" w:before="96" w:after="0" w:line="22" w:lineRule="atLeast"/>
        <w:jc w:val="both"/>
        <w:rPr>
          <w:rFonts w:eastAsiaTheme="minorEastAsia" w:cs="Times New Roman"/>
          <w:noProof/>
        </w:rPr>
      </w:pPr>
      <w:r>
        <w:rPr>
          <w:noProof/>
        </w:rPr>
        <w:t xml:space="preserve">Komponenta podpira obravnavanje priporočila za posamezne države o naložbah v podnebni prehod, zlasti v zvezi s čisto in učinkovito proizvodnjo in uporabo energije (priporočilo za posamezno državo št. 3 2020). Povezan je z vodilno pobudo „Renovate“ in je tudi del zelenega prehoda. </w:t>
      </w:r>
    </w:p>
    <w:p w14:paraId="63A64E23" w14:textId="77777777" w:rsidR="00F24946" w:rsidRDefault="00613B06">
      <w:pPr>
        <w:pStyle w:val="P68B1DB1-Normal4"/>
        <w:spacing w:beforeLines="40" w:before="96" w:after="0" w:line="22" w:lineRule="atLeast"/>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3504A60C" w14:textId="77777777" w:rsidR="00F24946" w:rsidRDefault="00F24946">
      <w:pPr>
        <w:spacing w:beforeLines="40" w:before="96" w:after="0" w:line="22" w:lineRule="atLeast"/>
        <w:jc w:val="both"/>
        <w:rPr>
          <w:rFonts w:ascii="Times New Roman" w:eastAsiaTheme="minorEastAsia" w:hAnsi="Times New Roman" w:cs="Times New Roman"/>
          <w:noProof/>
        </w:rPr>
      </w:pPr>
    </w:p>
    <w:p w14:paraId="7E1087BA"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M.1. Opis reform in naložb za nepovratno finančno podporo</w:t>
      </w:r>
    </w:p>
    <w:p w14:paraId="5B33E3CE" w14:textId="77777777" w:rsidR="00F24946" w:rsidRDefault="00613B06">
      <w:pPr>
        <w:pStyle w:val="P68B1DB1-Normal5"/>
        <w:spacing w:before="240" w:after="0" w:line="240" w:lineRule="auto"/>
        <w:ind w:left="851"/>
        <w:jc w:val="both"/>
        <w:outlineLvl w:val="2"/>
        <w:rPr>
          <w:rFonts w:eastAsiaTheme="minorEastAsia" w:cs="Times New Roman"/>
          <w:noProof/>
        </w:rPr>
      </w:pPr>
      <w:r>
        <w:rPr>
          <w:noProof/>
        </w:rPr>
        <w:t>Naložba TC-C13-i01: Energijska učinkovitost stanovanjskih stavb</w:t>
      </w:r>
    </w:p>
    <w:p w14:paraId="70B72BC7" w14:textId="77777777" w:rsidR="00F24946" w:rsidRDefault="00613B06">
      <w:pPr>
        <w:pStyle w:val="P68B1DB1-Normal4"/>
        <w:keepNext/>
        <w:spacing w:before="40" w:after="0" w:line="259" w:lineRule="auto"/>
        <w:jc w:val="both"/>
        <w:rPr>
          <w:rFonts w:eastAsiaTheme="minorEastAsia" w:cs="Times New Roman"/>
          <w:noProof/>
        </w:rPr>
      </w:pPr>
      <w:r>
        <w:rPr>
          <w:noProof/>
        </w:rPr>
        <w:t>Cilji te naložbe so spodbujanje</w:t>
      </w:r>
      <w:r>
        <w:rPr>
          <w:noProof/>
          <w:shd w:val="clear" w:color="auto" w:fill="FFFFFF"/>
        </w:rPr>
        <w:t xml:space="preserve"> energetske prenove zasebnih stanovanjskih stavb</w:t>
      </w:r>
      <w:r>
        <w:rPr>
          <w:noProof/>
        </w:rPr>
        <w:t xml:space="preserve">, sprejetje energijsko učinkovitih rešitev, nadomestitev neučinkovite opreme in povečanje inštalirane zmogljivosti za spodbujanje energetske učinkovitosti in učinkovite rabe virov, povečanje lastne porabe energije iz obnovljivih virov in boj proti energijski revščini. </w:t>
      </w:r>
    </w:p>
    <w:p w14:paraId="3E17583F" w14:textId="77777777" w:rsidR="00F24946" w:rsidRDefault="00613B06">
      <w:pPr>
        <w:pStyle w:val="P68B1DB1-Normal4"/>
        <w:keepNext/>
        <w:spacing w:before="40" w:after="0" w:line="259" w:lineRule="auto"/>
        <w:jc w:val="both"/>
        <w:rPr>
          <w:rFonts w:eastAsiaTheme="minorEastAsia" w:cs="Times New Roman"/>
          <w:noProof/>
        </w:rPr>
      </w:pPr>
      <w:r>
        <w:rPr>
          <w:noProof/>
        </w:rPr>
        <w:t>Naložba je sestavljena iz naslednjih ukrepov:</w:t>
      </w:r>
    </w:p>
    <w:p w14:paraId="20A1328B" w14:textId="77777777" w:rsidR="00F24946" w:rsidRDefault="00613B06">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Podpreti stroške projektov (običajno med 50 % in 70 % skupnih stroškov), ki spodbujajo prenovo, energijsko učinkovitost, razogljičenje, učinkovito rabo vode in krožno gospodarstvo v stavbah. To se izvede z letnimi obvestili.</w:t>
      </w:r>
    </w:p>
    <w:p w14:paraId="631CC72D" w14:textId="77777777" w:rsidR="00F24946" w:rsidRDefault="00613B06">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 xml:space="preserve">Za energijsko revna gospodinjstva z nizkimi dohodki (kjer se lahko subvencionira do 100 % stroškov) je za take ukrepe potrebno tesnejše sodelovanje med centralnimi in lokalnimi organi ter drugimi akterji, kot so lokalna združenja. </w:t>
      </w:r>
      <w:r>
        <w:rPr>
          <w:i/>
          <w:noProof/>
        </w:rPr>
        <w:t>Vales eficiência</w:t>
      </w:r>
      <w:r>
        <w:rPr>
          <w:noProof/>
        </w:rPr>
        <w:t>, ali kuponi za energetsko učinkovitost, katerih vrednost je v povprečju 1 300 EUR, se izdajo in dostavijo gospodinjstvom, ki se soočajo z energijsko revščino, kar prejemniku daje pravico do nekaterih del, energetsko učinkovitih rešitev, opreme in elektrifikacije porabe energije.</w:t>
      </w:r>
    </w:p>
    <w:p w14:paraId="6211EA87" w14:textId="77777777" w:rsidR="00F24946" w:rsidRDefault="00613B06">
      <w:pPr>
        <w:pStyle w:val="P68B1DB1-Normal4"/>
        <w:keepNext/>
        <w:numPr>
          <w:ilvl w:val="0"/>
          <w:numId w:val="60"/>
        </w:numPr>
        <w:spacing w:before="40" w:after="160" w:line="259" w:lineRule="auto"/>
        <w:contextualSpacing/>
        <w:jc w:val="both"/>
        <w:rPr>
          <w:rFonts w:eastAsiaTheme="minorEastAsia" w:cs="Times New Roman"/>
          <w:noProof/>
        </w:rPr>
      </w:pPr>
      <w:r>
        <w:rPr>
          <w:noProof/>
        </w:rPr>
        <w:t xml:space="preserve">Podporni material se razširja kot pomoč pri odločanju o najboljših ukrepih za energetsko učinkovitost, ki jih je treba sprejeti. </w:t>
      </w:r>
    </w:p>
    <w:p w14:paraId="645F2D6F" w14:textId="77777777" w:rsidR="00F24946" w:rsidRDefault="00613B06">
      <w:pPr>
        <w:pStyle w:val="P68B1DB1-Normal4"/>
        <w:keepNext/>
        <w:numPr>
          <w:ilvl w:val="0"/>
          <w:numId w:val="60"/>
        </w:numPr>
        <w:spacing w:before="40" w:after="160" w:line="259" w:lineRule="auto"/>
        <w:contextualSpacing/>
        <w:jc w:val="both"/>
        <w:rPr>
          <w:rFonts w:eastAsiaTheme="minorEastAsia" w:cs="Times New Roman"/>
          <w:noProof/>
        </w:rPr>
      </w:pPr>
      <w:r>
        <w:rPr>
          <w:noProof/>
        </w:rPr>
        <w:t>Na voljo so tudi komunikacijski kanali in točke „vse na enem mestu“, da se pojasnijo dvomi o tem, kako pridobiti to podporo, usklajeno z različnimi nacionalnimi in lokalnimi subjekti, da bi potrošniki lahko sprejeli najboljše naložbene odločitve.</w:t>
      </w:r>
    </w:p>
    <w:p w14:paraId="325EE6D9" w14:textId="77777777" w:rsidR="00F24946" w:rsidRDefault="00613B06">
      <w:pPr>
        <w:pStyle w:val="P68B1DB1-Normal4"/>
        <w:keepNext/>
        <w:spacing w:before="40" w:after="0" w:line="259" w:lineRule="auto"/>
        <w:jc w:val="both"/>
        <w:rPr>
          <w:rFonts w:eastAsiaTheme="minorEastAsia" w:cs="Times New Roman"/>
          <w:noProof/>
        </w:rPr>
      </w:pPr>
      <w:r>
        <w:rPr>
          <w:noProof/>
        </w:rPr>
        <w:t>Cilj načrtovane naložbe je doseči povprečni prihranek v višini približno 200 ktoe primarne energije in zmanjšanje emisij CO2 za približno 150 kt.</w:t>
      </w:r>
    </w:p>
    <w:p w14:paraId="7DCADF68"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6AE98B0B" w14:textId="77777777" w:rsidR="00F24946" w:rsidRDefault="00613B06">
      <w:pPr>
        <w:pStyle w:val="P68B1DB1-Normal5"/>
        <w:spacing w:before="240" w:after="0" w:line="240" w:lineRule="auto"/>
        <w:ind w:left="851"/>
        <w:jc w:val="both"/>
        <w:outlineLvl w:val="2"/>
        <w:rPr>
          <w:rFonts w:eastAsiaTheme="minorEastAsia" w:cs="Times New Roman"/>
          <w:noProof/>
        </w:rPr>
      </w:pPr>
      <w:r>
        <w:rPr>
          <w:noProof/>
        </w:rPr>
        <w:t>Naložba TC-C13-i02: Energijska učinkovitost stavb osrednje vlade</w:t>
      </w:r>
    </w:p>
    <w:p w14:paraId="1C88255A" w14:textId="77777777" w:rsidR="00F24946" w:rsidRDefault="00613B06">
      <w:pPr>
        <w:pStyle w:val="P68B1DB1-Normal19"/>
        <w:keepNext/>
        <w:spacing w:before="40" w:after="0" w:line="259" w:lineRule="auto"/>
        <w:jc w:val="both"/>
        <w:rPr>
          <w:rFonts w:eastAsiaTheme="minorEastAsia" w:cs="Times New Roman"/>
          <w:noProof/>
          <w:sz w:val="16"/>
        </w:rPr>
      </w:pPr>
      <w:r>
        <w:rPr>
          <w:noProof/>
          <w:sz w:val="24"/>
        </w:rPr>
        <w:t>Cilj te naložbe je spodbujati</w:t>
      </w:r>
      <w:r>
        <w:rPr>
          <w:noProof/>
          <w:sz w:val="24"/>
          <w:shd w:val="clear" w:color="auto" w:fill="FFFFFF"/>
        </w:rPr>
        <w:t xml:space="preserve"> energetsko prenovo stavb osrednje vlade, spodbujati</w:t>
      </w:r>
      <w:r>
        <w:rPr>
          <w:noProof/>
          <w:sz w:val="24"/>
        </w:rPr>
        <w:t xml:space="preserve"> energetsko učinkovitost in učinkovito rabo virov ter povečati lastno porabo energije iz obnovljivih virov</w:t>
      </w:r>
      <w:r>
        <w:rPr>
          <w:noProof/>
          <w:sz w:val="16"/>
        </w:rPr>
        <w:t xml:space="preserve">. </w:t>
      </w:r>
    </w:p>
    <w:p w14:paraId="2E0DA704"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Te naložbe zajemajo ukrepe za spodbujanje prenove, energijske učinkovitosti, razogljičenja, učinkovite rabe vode in krožnega gospodarstva v stavbah. </w:t>
      </w:r>
    </w:p>
    <w:p w14:paraId="5CCD1C91" w14:textId="77777777" w:rsidR="00F24946" w:rsidRDefault="00613B06">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Vsako leto se objavijo obvestila za različne vrste posegov v stavbe, ki jih je treba opredeliti v načrtih učinkovitosti, ki jih je treba pripraviti v okviru evropskega akcijskega načrta za ekološke inovacije ECO.AP 2030. ECO.AP 2030 je na voljo tudi za zagotavljanje tehnične podpore osrednjim javnim organom pri opredeljevanju projektov in spodbujanju njihovega izvajanja. </w:t>
      </w:r>
    </w:p>
    <w:p w14:paraId="43CDD7E4" w14:textId="77777777" w:rsidR="00F24946" w:rsidRDefault="00613B06">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Podporno gradivo se posreduje uradnikom javne uprave, da se jim pomaga pri odločanju o najboljših ukrepih za energetsko učinkovitost, ki jih je treba sprejeti. </w:t>
      </w:r>
    </w:p>
    <w:p w14:paraId="4AE03146" w14:textId="77777777" w:rsidR="00F24946" w:rsidRDefault="00613B06">
      <w:pPr>
        <w:pStyle w:val="P68B1DB1-Normal4"/>
        <w:keepNext/>
        <w:spacing w:before="40" w:after="0" w:line="259" w:lineRule="auto"/>
        <w:jc w:val="both"/>
        <w:rPr>
          <w:rFonts w:eastAsiaTheme="minorEastAsia" w:cs="Times New Roman"/>
          <w:noProof/>
        </w:rPr>
      </w:pPr>
      <w:r>
        <w:rPr>
          <w:noProof/>
        </w:rPr>
        <w:t>Cilj načrtovane naložbe je doseči povprečni prihranek v višini približno 185 ktoe primarne energije in zmanjšanje emisij CO2 za približno</w:t>
      </w:r>
      <w:r>
        <w:rPr>
          <w:noProof/>
          <w:vertAlign w:val="subscript"/>
        </w:rPr>
        <w:t>140</w:t>
      </w:r>
      <w:r>
        <w:rPr>
          <w:noProof/>
        </w:rPr>
        <w:t xml:space="preserve"> kt.</w:t>
      </w:r>
    </w:p>
    <w:p w14:paraId="15CF3667"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4966DD71" w14:textId="77777777" w:rsidR="00F24946" w:rsidRDefault="00613B06">
      <w:pPr>
        <w:pStyle w:val="P68B1DB1-Normal5"/>
        <w:spacing w:before="240" w:after="0" w:line="240" w:lineRule="auto"/>
        <w:ind w:left="851"/>
        <w:jc w:val="both"/>
        <w:outlineLvl w:val="2"/>
        <w:rPr>
          <w:rFonts w:eastAsiaTheme="minorEastAsia" w:cs="Times New Roman"/>
          <w:noProof/>
        </w:rPr>
      </w:pPr>
      <w:r>
        <w:rPr>
          <w:noProof/>
        </w:rPr>
        <w:t>Naložba TC-C13-i03: Energijska učinkovitost stavb, ki se uporabljajo v storitvenem sektorju</w:t>
      </w:r>
    </w:p>
    <w:p w14:paraId="0A4A1198" w14:textId="77777777" w:rsidR="00F24946" w:rsidRDefault="00613B06">
      <w:pPr>
        <w:pStyle w:val="P68B1DB1-Normal4"/>
        <w:spacing w:before="40" w:after="0" w:line="240" w:lineRule="auto"/>
        <w:jc w:val="both"/>
        <w:rPr>
          <w:rFonts w:eastAsiaTheme="minorEastAsia" w:cs="Times New Roman"/>
          <w:noProof/>
        </w:rPr>
      </w:pPr>
      <w:r>
        <w:rPr>
          <w:noProof/>
        </w:rPr>
        <w:t xml:space="preserve">Cilj te naložbe je spodbujati </w:t>
      </w:r>
      <w:r>
        <w:rPr>
          <w:noProof/>
          <w:shd w:val="clear" w:color="auto" w:fill="FFFFFF"/>
        </w:rPr>
        <w:t>energetsko prenovo stavb, ki se uporabljajo v storitvenem sektorju</w:t>
      </w:r>
      <w:r>
        <w:rPr>
          <w:noProof/>
        </w:rPr>
        <w:t xml:space="preserve">, spodbujati energetsko učinkovitost in učinkovito rabo virov ter povečati lastno porabo energije iz obnovljivih virov. </w:t>
      </w:r>
    </w:p>
    <w:p w14:paraId="5691AA04" w14:textId="77777777" w:rsidR="00F24946" w:rsidRDefault="00613B06">
      <w:pPr>
        <w:pStyle w:val="P68B1DB1-Normal4"/>
        <w:spacing w:before="40" w:after="0" w:line="240" w:lineRule="auto"/>
        <w:jc w:val="both"/>
        <w:rPr>
          <w:rFonts w:eastAsiaTheme="minorEastAsia" w:cs="Times New Roman"/>
          <w:noProof/>
        </w:rPr>
      </w:pPr>
      <w:r>
        <w:rPr>
          <w:noProof/>
        </w:rPr>
        <w:t>Ta naložba je sestavljena iz naslednjih ukrepov:</w:t>
      </w:r>
    </w:p>
    <w:p w14:paraId="2D344554" w14:textId="77777777" w:rsidR="00F24946" w:rsidRDefault="00613B06">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Vsako leto se objavijo obvestila, s katerimi se zaprosi za podporo (običajno med 50 % in 70 % skupnih stroškov) za delitev teh stroškov pri različnih vrstah posegov v stavbe za izboljšanje njihove energetske in okoljske učinkovitosti. </w:t>
      </w:r>
    </w:p>
    <w:p w14:paraId="4954743E" w14:textId="77777777" w:rsidR="00F24946" w:rsidRDefault="00613B06">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Podporni material se razširja kot pomoč pri odločanju o najboljših ukrepih za energetsko učinkovitost, ki jih je treba sprejeti. </w:t>
      </w:r>
    </w:p>
    <w:p w14:paraId="47FC485D" w14:textId="77777777" w:rsidR="00F24946" w:rsidRDefault="00613B06">
      <w:pPr>
        <w:pStyle w:val="P68B1DB1-Normal4"/>
        <w:keepNext/>
        <w:numPr>
          <w:ilvl w:val="0"/>
          <w:numId w:val="30"/>
        </w:numPr>
        <w:spacing w:before="40" w:after="160" w:line="240" w:lineRule="auto"/>
        <w:contextualSpacing/>
        <w:jc w:val="both"/>
        <w:rPr>
          <w:rFonts w:eastAsiaTheme="minorEastAsia" w:cs="Times New Roman"/>
          <w:noProof/>
        </w:rPr>
      </w:pPr>
      <w:r>
        <w:rPr>
          <w:noProof/>
        </w:rPr>
        <w:t>Na voljo so tudi komunikacijski kanali za pomoč pri razjasnitvi dvomov o tem, kako pridobiti to podporo, usklajeno z različnimi nacionalnimi in lokalnimi subjekti, da bi lahko potrošniki sprejeli najboljše naložbene odločitve.</w:t>
      </w:r>
    </w:p>
    <w:p w14:paraId="3470E975" w14:textId="77777777" w:rsidR="00F24946" w:rsidRDefault="00613B06">
      <w:pPr>
        <w:pStyle w:val="P68B1DB1-Normal4"/>
        <w:spacing w:before="40" w:after="0" w:line="240" w:lineRule="auto"/>
        <w:jc w:val="both"/>
        <w:rPr>
          <w:rFonts w:eastAsiaTheme="minorEastAsia" w:cs="Times New Roman"/>
          <w:noProof/>
        </w:rPr>
      </w:pPr>
      <w:r>
        <w:rPr>
          <w:noProof/>
        </w:rPr>
        <w:t>Cilj načrtovane naložbe je doseči povprečni prihranek v višini približno 50 ktoe primarne energije in zmanjšanje emisij CO2 za približno</w:t>
      </w:r>
      <w:r>
        <w:rPr>
          <w:noProof/>
          <w:vertAlign w:val="subscript"/>
        </w:rPr>
        <w:t>30</w:t>
      </w:r>
      <w:r>
        <w:rPr>
          <w:noProof/>
        </w:rPr>
        <w:t xml:space="preserve"> kt.</w:t>
      </w:r>
    </w:p>
    <w:p w14:paraId="55C9613B" w14:textId="77777777" w:rsidR="00F24946" w:rsidRDefault="00613B06">
      <w:pPr>
        <w:pStyle w:val="P68B1DB1-Normal4"/>
        <w:spacing w:before="40" w:after="0" w:line="240" w:lineRule="auto"/>
        <w:jc w:val="both"/>
        <w:rPr>
          <w:rFonts w:eastAsiaTheme="minorEastAsia" w:cs="Times New Roman"/>
          <w:noProof/>
        </w:rPr>
        <w:sectPr w:rsidR="00F24946" w:rsidSect="00E00EDD">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20"/>
          <w:docGrid w:linePitch="360"/>
        </w:sectPr>
      </w:pPr>
      <w:r>
        <w:rPr>
          <w:noProof/>
        </w:rPr>
        <w:t>Naložba se izvede do 31. decembra 2025.</w:t>
      </w:r>
    </w:p>
    <w:p w14:paraId="29A3F2EB"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M.2. Mejniki, cilji, kazalniki in časovni razpored za spremljanje in izvajanje nepovratne finančne podpore Naslednje;</w:t>
      </w:r>
    </w:p>
    <w:p w14:paraId="11AAFD16"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850"/>
        <w:gridCol w:w="992"/>
        <w:gridCol w:w="426"/>
        <w:gridCol w:w="708"/>
        <w:gridCol w:w="3969"/>
      </w:tblGrid>
      <w:tr w:rsidR="00F24946" w14:paraId="0E0C05EE" w14:textId="77777777">
        <w:trPr>
          <w:trHeight w:val="910"/>
          <w:tblHeader/>
        </w:trPr>
        <w:tc>
          <w:tcPr>
            <w:tcW w:w="1135" w:type="dxa"/>
            <w:vMerge w:val="restart"/>
            <w:shd w:val="clear" w:color="auto" w:fill="BDD6EE"/>
            <w:vAlign w:val="center"/>
            <w:hideMark/>
          </w:tcPr>
          <w:p w14:paraId="67BBF50E"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30B4FF8A"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2ABC28BA" w14:textId="6B49251B" w:rsidR="00F24946" w:rsidRDefault="00613B06">
            <w:pPr>
              <w:pStyle w:val="P68B1DB1-Normal6"/>
              <w:spacing w:after="0" w:line="240" w:lineRule="auto"/>
              <w:jc w:val="center"/>
              <w:rPr>
                <w:rFonts w:eastAsia="Times New Roman" w:cs="Times New Roman"/>
                <w:noProof/>
                <w:sz w:val="14"/>
              </w:rPr>
            </w:pPr>
            <w:r>
              <w:rPr>
                <w:noProof/>
              </w:rPr>
              <w:t>Mejnik/cilj</w:t>
            </w:r>
          </w:p>
        </w:tc>
        <w:tc>
          <w:tcPr>
            <w:tcW w:w="1701" w:type="dxa"/>
            <w:vMerge w:val="restart"/>
            <w:shd w:val="clear" w:color="auto" w:fill="BDD6EE"/>
            <w:vAlign w:val="center"/>
            <w:hideMark/>
          </w:tcPr>
          <w:p w14:paraId="0F732803"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4FD2B6A8"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835" w:type="dxa"/>
            <w:gridSpan w:val="3"/>
            <w:shd w:val="clear" w:color="auto" w:fill="BDD6EE"/>
            <w:vAlign w:val="center"/>
            <w:hideMark/>
          </w:tcPr>
          <w:p w14:paraId="61B63461"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134" w:type="dxa"/>
            <w:gridSpan w:val="2"/>
            <w:shd w:val="clear" w:color="auto" w:fill="BDD6EE"/>
            <w:vAlign w:val="center"/>
            <w:hideMark/>
          </w:tcPr>
          <w:p w14:paraId="260455EA"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0F60C256"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3FAB00E2" w14:textId="77777777">
        <w:trPr>
          <w:trHeight w:val="470"/>
          <w:tblHeader/>
        </w:trPr>
        <w:tc>
          <w:tcPr>
            <w:tcW w:w="1135" w:type="dxa"/>
            <w:vMerge/>
            <w:vAlign w:val="center"/>
            <w:hideMark/>
          </w:tcPr>
          <w:p w14:paraId="7E4C4723"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4F51F516"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16343213" w14:textId="293593C9" w:rsidR="00F24946" w:rsidRDefault="00F24946">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6B71B7A6"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049F56B7"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FCE643F"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850" w:type="dxa"/>
            <w:shd w:val="clear" w:color="auto" w:fill="BDD6EE"/>
            <w:vAlign w:val="center"/>
            <w:hideMark/>
          </w:tcPr>
          <w:p w14:paraId="5BE8C6D0" w14:textId="77777777" w:rsidR="00F24946" w:rsidRDefault="00613B06">
            <w:pPr>
              <w:pStyle w:val="P68B1DB1-Normal6"/>
              <w:spacing w:after="0" w:line="240" w:lineRule="auto"/>
              <w:jc w:val="center"/>
              <w:rPr>
                <w:rFonts w:eastAsia="Times New Roman" w:cs="Times New Roman"/>
                <w:noProof/>
              </w:rPr>
            </w:pPr>
            <w:r>
              <w:rPr>
                <w:noProof/>
              </w:rPr>
              <w:t>Osnovna črta</w:t>
            </w:r>
          </w:p>
        </w:tc>
        <w:tc>
          <w:tcPr>
            <w:tcW w:w="992" w:type="dxa"/>
            <w:shd w:val="clear" w:color="auto" w:fill="BDD6EE"/>
            <w:vAlign w:val="center"/>
            <w:hideMark/>
          </w:tcPr>
          <w:p w14:paraId="0C1FF235" w14:textId="77777777" w:rsidR="00F24946" w:rsidRDefault="00613B06">
            <w:pPr>
              <w:pStyle w:val="P68B1DB1-Normal6"/>
              <w:spacing w:after="0" w:line="240" w:lineRule="auto"/>
              <w:jc w:val="center"/>
              <w:rPr>
                <w:rFonts w:eastAsia="Times New Roman" w:cs="Times New Roman"/>
                <w:noProof/>
              </w:rPr>
            </w:pPr>
            <w:r>
              <w:rPr>
                <w:noProof/>
              </w:rPr>
              <w:t>Cilj</w:t>
            </w:r>
          </w:p>
        </w:tc>
        <w:tc>
          <w:tcPr>
            <w:tcW w:w="426" w:type="dxa"/>
            <w:shd w:val="clear" w:color="auto" w:fill="BDD6EE"/>
            <w:vAlign w:val="center"/>
            <w:hideMark/>
          </w:tcPr>
          <w:p w14:paraId="409B8A29"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A10157F"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4615715E" w14:textId="77777777" w:rsidR="00F24946" w:rsidRDefault="00F24946">
            <w:pPr>
              <w:spacing w:after="0" w:line="240" w:lineRule="auto"/>
              <w:rPr>
                <w:rFonts w:ascii="Times New Roman" w:eastAsia="Times New Roman" w:hAnsi="Times New Roman" w:cs="Times New Roman"/>
                <w:b/>
                <w:noProof/>
                <w:sz w:val="18"/>
              </w:rPr>
            </w:pPr>
          </w:p>
        </w:tc>
      </w:tr>
      <w:tr w:rsidR="00F24946" w14:paraId="606EC8F0" w14:textId="77777777">
        <w:trPr>
          <w:trHeight w:val="420"/>
        </w:trPr>
        <w:tc>
          <w:tcPr>
            <w:tcW w:w="1135" w:type="dxa"/>
            <w:shd w:val="clear" w:color="auto" w:fill="C4EFCE"/>
            <w:vAlign w:val="center"/>
            <w:hideMark/>
          </w:tcPr>
          <w:p w14:paraId="1E4DC0DC" w14:textId="77777777" w:rsidR="00F24946" w:rsidRDefault="00613B06">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27EC7AD6" w14:textId="77777777" w:rsidR="00F24946" w:rsidRDefault="00613B06">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36311F16"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5826370" w14:textId="77777777" w:rsidR="00F24946" w:rsidRDefault="00613B06">
            <w:pPr>
              <w:pStyle w:val="P68B1DB1-Normal8"/>
              <w:spacing w:after="0" w:line="240" w:lineRule="auto"/>
              <w:rPr>
                <w:rFonts w:eastAsia="Times New Roman" w:cs="Calibri"/>
                <w:noProof/>
              </w:rPr>
            </w:pPr>
            <w:r>
              <w:rPr>
                <w:noProof/>
              </w:rPr>
              <w:t>Energijska prenova zasebnih stanovanjskih stavb</w:t>
            </w:r>
          </w:p>
        </w:tc>
        <w:tc>
          <w:tcPr>
            <w:tcW w:w="1275" w:type="dxa"/>
            <w:shd w:val="clear" w:color="auto" w:fill="C4EFCE"/>
            <w:noWrap/>
            <w:vAlign w:val="center"/>
            <w:hideMark/>
          </w:tcPr>
          <w:p w14:paraId="462D8E5D"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CBB54FC"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9B8212A"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7DD0506" w14:textId="77777777" w:rsidR="00F24946" w:rsidRDefault="00613B06">
            <w:pPr>
              <w:pStyle w:val="P68B1DB1-Normal8"/>
              <w:spacing w:after="0" w:line="240" w:lineRule="auto"/>
              <w:jc w:val="both"/>
              <w:rPr>
                <w:rFonts w:eastAsia="Times New Roman" w:cs="Calibri"/>
                <w:noProof/>
              </w:rPr>
            </w:pPr>
            <w:r>
              <w:rPr>
                <w:noProof/>
              </w:rPr>
              <w:t>830 000</w:t>
            </w:r>
          </w:p>
        </w:tc>
        <w:tc>
          <w:tcPr>
            <w:tcW w:w="426" w:type="dxa"/>
            <w:shd w:val="clear" w:color="auto" w:fill="C4EFCE"/>
            <w:noWrap/>
            <w:vAlign w:val="center"/>
            <w:hideMark/>
          </w:tcPr>
          <w:p w14:paraId="05169CF0" w14:textId="77777777" w:rsidR="00F24946" w:rsidRDefault="00613B06">
            <w:pPr>
              <w:pStyle w:val="P68B1DB1-Normal8"/>
              <w:spacing w:after="0" w:line="240" w:lineRule="auto"/>
              <w:jc w:val="both"/>
              <w:rPr>
                <w:rFonts w:eastAsia="Times New Roman" w:cs="Calibri"/>
                <w:noProof/>
              </w:rPr>
            </w:pPr>
            <w:r>
              <w:rPr>
                <w:noProof/>
              </w:rPr>
              <w:t>Q2</w:t>
            </w:r>
          </w:p>
        </w:tc>
        <w:tc>
          <w:tcPr>
            <w:tcW w:w="708" w:type="dxa"/>
            <w:shd w:val="clear" w:color="auto" w:fill="C4EFCE"/>
            <w:noWrap/>
            <w:vAlign w:val="center"/>
            <w:hideMark/>
          </w:tcPr>
          <w:p w14:paraId="4F8F49ED" w14:textId="77777777" w:rsidR="00F24946" w:rsidRDefault="00613B06">
            <w:pPr>
              <w:pStyle w:val="P68B1DB1-Normal8"/>
              <w:spacing w:after="0" w:line="240" w:lineRule="auto"/>
              <w:jc w:val="both"/>
              <w:rPr>
                <w:rFonts w:eastAsia="Times New Roman" w:cs="Calibri"/>
                <w:noProof/>
              </w:rPr>
            </w:pPr>
            <w:r>
              <w:rPr>
                <w:noProof/>
              </w:rPr>
              <w:t>2024</w:t>
            </w:r>
          </w:p>
        </w:tc>
        <w:tc>
          <w:tcPr>
            <w:tcW w:w="3969" w:type="dxa"/>
            <w:shd w:val="clear" w:color="auto" w:fill="C4EFCE"/>
            <w:vAlign w:val="center"/>
            <w:hideMark/>
          </w:tcPr>
          <w:p w14:paraId="4713DF6A" w14:textId="77777777" w:rsidR="00F24946" w:rsidRDefault="00613B06">
            <w:pPr>
              <w:pStyle w:val="P68B1DB1-Normal8"/>
              <w:spacing w:after="0" w:line="240" w:lineRule="auto"/>
              <w:jc w:val="both"/>
              <w:rPr>
                <w:rFonts w:eastAsia="Times New Roman" w:cs="Calibri"/>
                <w:noProof/>
              </w:rPr>
            </w:pPr>
            <w:r>
              <w:rPr>
                <w:noProof/>
              </w:rPr>
              <w:t>Območje obnovljenih zasebnih stanovanjskih stavb. Prenove za energijsko učinkovitost v povprečju dosežejo vsaj srednje temeljito prenovo, kot je opredeljena v Priporočilu Komisije o prenovi stavb (EU) 2019/786.</w:t>
            </w:r>
          </w:p>
        </w:tc>
      </w:tr>
      <w:tr w:rsidR="00F24946" w14:paraId="1017303B" w14:textId="77777777">
        <w:trPr>
          <w:trHeight w:val="420"/>
        </w:trPr>
        <w:tc>
          <w:tcPr>
            <w:tcW w:w="1135" w:type="dxa"/>
            <w:shd w:val="clear" w:color="auto" w:fill="C4EFCE"/>
            <w:vAlign w:val="center"/>
            <w:hideMark/>
          </w:tcPr>
          <w:p w14:paraId="10D598D6" w14:textId="77777777" w:rsidR="00F24946" w:rsidRDefault="00613B06">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6D5511F8" w14:textId="77777777" w:rsidR="00F24946" w:rsidRDefault="00613B06">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739F5B31"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37A49A2" w14:textId="77777777" w:rsidR="00F24946" w:rsidRDefault="00613B06">
            <w:pPr>
              <w:pStyle w:val="P68B1DB1-Normal8"/>
              <w:spacing w:after="0" w:line="240" w:lineRule="auto"/>
              <w:rPr>
                <w:rFonts w:eastAsia="Times New Roman" w:cs="Calibri"/>
                <w:noProof/>
              </w:rPr>
            </w:pPr>
            <w:r>
              <w:rPr>
                <w:noProof/>
              </w:rPr>
              <w:t xml:space="preserve">Energijska prenova zasebnih stanovanjskih stavb </w:t>
            </w:r>
          </w:p>
        </w:tc>
        <w:tc>
          <w:tcPr>
            <w:tcW w:w="1275" w:type="dxa"/>
            <w:shd w:val="clear" w:color="auto" w:fill="C4EFCE"/>
            <w:noWrap/>
            <w:vAlign w:val="center"/>
            <w:hideMark/>
          </w:tcPr>
          <w:p w14:paraId="456795CE"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1EAE464"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B48A107" w14:textId="77777777" w:rsidR="00F24946" w:rsidRDefault="00613B06">
            <w:pPr>
              <w:pStyle w:val="P68B1DB1-Normal8"/>
              <w:spacing w:after="0" w:line="240" w:lineRule="auto"/>
              <w:jc w:val="center"/>
              <w:rPr>
                <w:rFonts w:eastAsia="Times New Roman" w:cs="Calibri"/>
                <w:noProof/>
              </w:rPr>
            </w:pPr>
            <w:r>
              <w:rPr>
                <w:noProof/>
              </w:rPr>
              <w:t>830 000</w:t>
            </w:r>
          </w:p>
        </w:tc>
        <w:tc>
          <w:tcPr>
            <w:tcW w:w="992" w:type="dxa"/>
            <w:shd w:val="clear" w:color="auto" w:fill="C4EFCE"/>
            <w:noWrap/>
            <w:vAlign w:val="center"/>
            <w:hideMark/>
          </w:tcPr>
          <w:p w14:paraId="4C565512" w14:textId="77777777" w:rsidR="00F24946" w:rsidRDefault="00613B06">
            <w:pPr>
              <w:pStyle w:val="P68B1DB1-Normal8"/>
              <w:spacing w:after="0" w:line="240" w:lineRule="auto"/>
              <w:jc w:val="both"/>
              <w:rPr>
                <w:rFonts w:eastAsia="Times New Roman" w:cs="Calibri"/>
                <w:noProof/>
              </w:rPr>
            </w:pPr>
            <w:r>
              <w:rPr>
                <w:noProof/>
              </w:rPr>
              <w:t>1 020 000</w:t>
            </w:r>
          </w:p>
        </w:tc>
        <w:tc>
          <w:tcPr>
            <w:tcW w:w="426" w:type="dxa"/>
            <w:shd w:val="clear" w:color="auto" w:fill="C4EFCE"/>
            <w:noWrap/>
            <w:vAlign w:val="center"/>
            <w:hideMark/>
          </w:tcPr>
          <w:p w14:paraId="270A70FA" w14:textId="77777777" w:rsidR="00F24946" w:rsidRDefault="00613B06">
            <w:pPr>
              <w:pStyle w:val="P68B1DB1-Normal8"/>
              <w:spacing w:after="0" w:line="240" w:lineRule="auto"/>
              <w:jc w:val="both"/>
              <w:rPr>
                <w:rFonts w:eastAsia="Times New Roman" w:cs="Calibri"/>
                <w:noProof/>
              </w:rPr>
            </w:pPr>
            <w:r>
              <w:rPr>
                <w:noProof/>
              </w:rPr>
              <w:t>Q2</w:t>
            </w:r>
          </w:p>
        </w:tc>
        <w:tc>
          <w:tcPr>
            <w:tcW w:w="708" w:type="dxa"/>
            <w:shd w:val="clear" w:color="auto" w:fill="C4EFCE"/>
            <w:noWrap/>
            <w:vAlign w:val="center"/>
            <w:hideMark/>
          </w:tcPr>
          <w:p w14:paraId="569CEDB4"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D57E5C9" w14:textId="77777777" w:rsidR="00F24946" w:rsidRDefault="00613B06">
            <w:pPr>
              <w:pStyle w:val="P68B1DB1-Normal8"/>
              <w:spacing w:after="0" w:line="240" w:lineRule="auto"/>
              <w:jc w:val="both"/>
              <w:rPr>
                <w:rFonts w:eastAsia="Times New Roman" w:cs="Calibri"/>
                <w:noProof/>
              </w:rPr>
            </w:pPr>
            <w:r>
              <w:rPr>
                <w:noProof/>
              </w:rPr>
              <w:t>Območje obnovljenih zasebnih stanovanjskih stavb. Prenove za energijsko učinkovitost v povprečju dosežejo vsaj srednje temeljito prenovo, kot je opredeljena v Priporočilu Komisije o prenovi stavb (EU) 2019/786.</w:t>
            </w:r>
          </w:p>
        </w:tc>
      </w:tr>
      <w:tr w:rsidR="00F24946" w14:paraId="2393B3AE" w14:textId="77777777">
        <w:trPr>
          <w:trHeight w:val="1060"/>
        </w:trPr>
        <w:tc>
          <w:tcPr>
            <w:tcW w:w="1135" w:type="dxa"/>
            <w:shd w:val="clear" w:color="auto" w:fill="C4EFCE"/>
            <w:vAlign w:val="center"/>
            <w:hideMark/>
          </w:tcPr>
          <w:p w14:paraId="67D8B225" w14:textId="77777777" w:rsidR="00F24946" w:rsidRDefault="00613B06">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F372A8D" w14:textId="77777777" w:rsidR="00F24946" w:rsidRDefault="00613B06">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02685FC2"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92E44C1" w14:textId="77777777" w:rsidR="00F24946" w:rsidRDefault="00613B06">
            <w:pPr>
              <w:pStyle w:val="P68B1DB1-Normal8"/>
              <w:spacing w:after="0" w:line="240" w:lineRule="auto"/>
              <w:rPr>
                <w:rFonts w:eastAsia="Times New Roman" w:cs="Calibri"/>
                <w:noProof/>
              </w:rPr>
            </w:pPr>
            <w:r>
              <w:rPr>
                <w:noProof/>
              </w:rPr>
              <w:t>„Boni za učinkovitost“, razdeljeni gospodinjstvom, ki se soočajo z energijsko revščino, za nadomestitev stare opreme in sprejetje energijsko učinkovitih rešitev</w:t>
            </w:r>
          </w:p>
        </w:tc>
        <w:tc>
          <w:tcPr>
            <w:tcW w:w="1275" w:type="dxa"/>
            <w:shd w:val="clear" w:color="auto" w:fill="C4EFCE"/>
            <w:noWrap/>
            <w:vAlign w:val="center"/>
            <w:hideMark/>
          </w:tcPr>
          <w:p w14:paraId="7F10918E"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9ACE5A7" w14:textId="77777777" w:rsidR="00F24946" w:rsidRDefault="00613B06">
            <w:pPr>
              <w:pStyle w:val="P68B1DB1-Normal8"/>
              <w:spacing w:after="0" w:line="240" w:lineRule="auto"/>
              <w:jc w:val="center"/>
              <w:rPr>
                <w:rFonts w:eastAsia="Times New Roman" w:cs="Calibri"/>
                <w:noProof/>
              </w:rPr>
            </w:pPr>
            <w:r>
              <w:rPr>
                <w:noProof/>
              </w:rPr>
              <w:t>Število</w:t>
            </w:r>
          </w:p>
        </w:tc>
        <w:tc>
          <w:tcPr>
            <w:tcW w:w="850" w:type="dxa"/>
            <w:shd w:val="clear" w:color="auto" w:fill="C4EFCE"/>
            <w:noWrap/>
            <w:vAlign w:val="center"/>
            <w:hideMark/>
          </w:tcPr>
          <w:p w14:paraId="38F31541"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083336E" w14:textId="77777777" w:rsidR="00F24946" w:rsidRDefault="00613B06">
            <w:pPr>
              <w:pStyle w:val="P68B1DB1-Normal8"/>
              <w:spacing w:after="0" w:line="240" w:lineRule="auto"/>
              <w:jc w:val="both"/>
              <w:rPr>
                <w:rFonts w:eastAsia="Times New Roman" w:cs="Calibri"/>
                <w:noProof/>
              </w:rPr>
            </w:pPr>
            <w:r>
              <w:rPr>
                <w:noProof/>
              </w:rPr>
              <w:t>100 000</w:t>
            </w:r>
          </w:p>
        </w:tc>
        <w:tc>
          <w:tcPr>
            <w:tcW w:w="426" w:type="dxa"/>
            <w:shd w:val="clear" w:color="auto" w:fill="C4EFCE"/>
            <w:noWrap/>
            <w:vAlign w:val="center"/>
            <w:hideMark/>
          </w:tcPr>
          <w:p w14:paraId="2458F47B" w14:textId="77777777" w:rsidR="00F24946" w:rsidRDefault="00613B06">
            <w:pPr>
              <w:pStyle w:val="P68B1DB1-Normal8"/>
              <w:spacing w:after="0" w:line="240" w:lineRule="auto"/>
              <w:jc w:val="both"/>
              <w:rPr>
                <w:rFonts w:eastAsia="Times New Roman" w:cs="Calibri"/>
                <w:noProof/>
              </w:rPr>
            </w:pPr>
            <w:r>
              <w:rPr>
                <w:noProof/>
              </w:rPr>
              <w:t>Q3</w:t>
            </w:r>
          </w:p>
        </w:tc>
        <w:tc>
          <w:tcPr>
            <w:tcW w:w="708" w:type="dxa"/>
            <w:shd w:val="clear" w:color="auto" w:fill="C4EFCE"/>
            <w:noWrap/>
            <w:vAlign w:val="center"/>
            <w:hideMark/>
          </w:tcPr>
          <w:p w14:paraId="03A7CD48"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77AF848" w14:textId="77777777" w:rsidR="00F24946" w:rsidRDefault="00613B06">
            <w:pPr>
              <w:pStyle w:val="P68B1DB1-Normal8"/>
              <w:spacing w:after="0" w:line="240" w:lineRule="auto"/>
              <w:jc w:val="both"/>
              <w:rPr>
                <w:rFonts w:eastAsia="Times New Roman" w:cs="Calibri"/>
                <w:noProof/>
              </w:rPr>
            </w:pPr>
            <w:r>
              <w:rPr>
                <w:noProof/>
              </w:rPr>
              <w:t>Število kuponov za učinkovitost, vrednih povprečno 130 EUR/kuponov, razdeljenih gospodinjstvom, ki se soočajo z energijsko revščino (v vseh gospodinjstvih, ki prejemajo socialno tarifo za energijo), za nakup energijsko učinkovite opreme, kot so toplotne črpalke, ter za izvedbo del za izboljšanje energetske učinkovitosti samega gospodinjstva. Vključuje storitve inštalacije in zbiranje prejšnje opreme (posredovanje do okoljsko odgovornega končnega namembnega kraja).</w:t>
            </w:r>
          </w:p>
        </w:tc>
      </w:tr>
      <w:tr w:rsidR="00F24946" w14:paraId="0B0E361D" w14:textId="77777777">
        <w:trPr>
          <w:trHeight w:val="640"/>
        </w:trPr>
        <w:tc>
          <w:tcPr>
            <w:tcW w:w="1135" w:type="dxa"/>
            <w:shd w:val="clear" w:color="auto" w:fill="C4EFCE"/>
            <w:vAlign w:val="center"/>
            <w:hideMark/>
          </w:tcPr>
          <w:p w14:paraId="7460E5A9" w14:textId="77777777" w:rsidR="00F24946" w:rsidRDefault="00613B06">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4457813A" w14:textId="77777777" w:rsidR="00F24946" w:rsidRDefault="00613B06">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6C055939"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243CC0AB" w14:textId="77777777" w:rsidR="00F24946" w:rsidRDefault="00613B06">
            <w:pPr>
              <w:pStyle w:val="P68B1DB1-Normal8"/>
              <w:spacing w:after="0" w:line="240" w:lineRule="auto"/>
              <w:rPr>
                <w:rFonts w:eastAsia="Times New Roman" w:cs="Calibri"/>
                <w:noProof/>
              </w:rPr>
            </w:pPr>
            <w:r>
              <w:rPr>
                <w:noProof/>
              </w:rPr>
              <w:t>Dodatne zmogljivosti za proizvodnjo energije iz obnovljivih virov za lastno porabo in za uporabo v skupnostih na področju energije iz obnovljivih virov v zasebnem stanovanjskem sektorju</w:t>
            </w:r>
          </w:p>
        </w:tc>
        <w:tc>
          <w:tcPr>
            <w:tcW w:w="1275" w:type="dxa"/>
            <w:shd w:val="clear" w:color="auto" w:fill="C4EFCE"/>
            <w:noWrap/>
            <w:vAlign w:val="center"/>
            <w:hideMark/>
          </w:tcPr>
          <w:p w14:paraId="49B81565"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619A327" w14:textId="77777777" w:rsidR="00F24946" w:rsidRDefault="00613B06">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1094D262"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857AA75" w14:textId="77777777" w:rsidR="00F24946" w:rsidRDefault="00613B06">
            <w:pPr>
              <w:pStyle w:val="P68B1DB1-Normal8"/>
              <w:spacing w:after="0" w:line="240" w:lineRule="auto"/>
              <w:jc w:val="both"/>
              <w:rPr>
                <w:rFonts w:eastAsia="Times New Roman" w:cs="Calibri"/>
                <w:noProof/>
              </w:rPr>
            </w:pPr>
            <w:r>
              <w:rPr>
                <w:noProof/>
              </w:rPr>
              <w:t>35</w:t>
            </w:r>
          </w:p>
        </w:tc>
        <w:tc>
          <w:tcPr>
            <w:tcW w:w="426" w:type="dxa"/>
            <w:shd w:val="clear" w:color="auto" w:fill="C4EFCE"/>
            <w:noWrap/>
            <w:vAlign w:val="center"/>
            <w:hideMark/>
          </w:tcPr>
          <w:p w14:paraId="16330E77" w14:textId="77777777" w:rsidR="00F24946" w:rsidRDefault="00613B06">
            <w:pPr>
              <w:pStyle w:val="P68B1DB1-Normal8"/>
              <w:spacing w:after="0" w:line="240" w:lineRule="auto"/>
              <w:jc w:val="both"/>
              <w:rPr>
                <w:rFonts w:eastAsia="Times New Roman" w:cs="Calibri"/>
                <w:noProof/>
              </w:rPr>
            </w:pPr>
            <w:r>
              <w:rPr>
                <w:noProof/>
              </w:rPr>
              <w:t>Q4</w:t>
            </w:r>
          </w:p>
        </w:tc>
        <w:tc>
          <w:tcPr>
            <w:tcW w:w="708" w:type="dxa"/>
            <w:shd w:val="clear" w:color="auto" w:fill="C4EFCE"/>
            <w:noWrap/>
            <w:vAlign w:val="center"/>
            <w:hideMark/>
          </w:tcPr>
          <w:p w14:paraId="3FBEBB67"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132845E6" w14:textId="77777777" w:rsidR="00F24946" w:rsidRDefault="00613B06">
            <w:pPr>
              <w:pStyle w:val="P68B1DB1-Normal8"/>
              <w:spacing w:after="0" w:line="240" w:lineRule="auto"/>
              <w:jc w:val="both"/>
              <w:rPr>
                <w:rFonts w:eastAsia="Times New Roman" w:cs="Calibri"/>
                <w:noProof/>
              </w:rPr>
            </w:pPr>
            <w:r>
              <w:rPr>
                <w:noProof/>
              </w:rPr>
              <w:t>Dodatna zmogljivost za proizvodnjo energije iz obnovljivih virov (kot so fotonapetostni paneli in baterije, ko ta tehnologija dozori) za lastno porabo in uporabo v skupnostih na področju energije iz obnovljivih virov v zasebnem stanovanjskem sektorju.</w:t>
            </w:r>
          </w:p>
        </w:tc>
      </w:tr>
      <w:tr w:rsidR="00F24946" w14:paraId="72822A32" w14:textId="77777777">
        <w:trPr>
          <w:trHeight w:val="420"/>
        </w:trPr>
        <w:tc>
          <w:tcPr>
            <w:tcW w:w="1135" w:type="dxa"/>
            <w:shd w:val="clear" w:color="auto" w:fill="C4EFCE"/>
            <w:vAlign w:val="center"/>
            <w:hideMark/>
          </w:tcPr>
          <w:p w14:paraId="3B3EBACC" w14:textId="77777777" w:rsidR="00F24946" w:rsidRDefault="00613B06">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7090E9CA" w14:textId="77777777" w:rsidR="00F24946" w:rsidRDefault="00613B06">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0265E7BE"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A781328" w14:textId="77777777" w:rsidR="00F24946" w:rsidRDefault="00613B06">
            <w:pPr>
              <w:pStyle w:val="P68B1DB1-Normal8"/>
              <w:spacing w:after="0" w:line="240" w:lineRule="auto"/>
              <w:jc w:val="both"/>
              <w:rPr>
                <w:rFonts w:eastAsia="Times New Roman" w:cs="Calibri"/>
                <w:noProof/>
              </w:rPr>
            </w:pPr>
            <w:r>
              <w:rPr>
                <w:noProof/>
              </w:rPr>
              <w:t>Energetska prenova stavb osrednje vlade</w:t>
            </w:r>
          </w:p>
        </w:tc>
        <w:tc>
          <w:tcPr>
            <w:tcW w:w="1275" w:type="dxa"/>
            <w:shd w:val="clear" w:color="auto" w:fill="C4EFCE"/>
            <w:noWrap/>
            <w:vAlign w:val="center"/>
            <w:hideMark/>
          </w:tcPr>
          <w:p w14:paraId="0B83A2AE"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40499B8"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4F89FDA3"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BD42F3A" w14:textId="77777777" w:rsidR="00F24946" w:rsidRDefault="00613B06">
            <w:pPr>
              <w:pStyle w:val="P68B1DB1-Normal8"/>
              <w:spacing w:after="0" w:line="240" w:lineRule="auto"/>
              <w:jc w:val="both"/>
              <w:rPr>
                <w:rFonts w:eastAsia="Times New Roman" w:cs="Calibri"/>
                <w:noProof/>
              </w:rPr>
            </w:pPr>
            <w:r>
              <w:rPr>
                <w:noProof/>
              </w:rPr>
              <w:t>1 065 000</w:t>
            </w:r>
          </w:p>
        </w:tc>
        <w:tc>
          <w:tcPr>
            <w:tcW w:w="426" w:type="dxa"/>
            <w:shd w:val="clear" w:color="auto" w:fill="C4EFCE"/>
            <w:noWrap/>
            <w:vAlign w:val="center"/>
            <w:hideMark/>
          </w:tcPr>
          <w:p w14:paraId="1624BC2F" w14:textId="77777777" w:rsidR="00F24946" w:rsidRDefault="00613B06">
            <w:pPr>
              <w:pStyle w:val="P68B1DB1-Normal8"/>
              <w:spacing w:after="0" w:line="240" w:lineRule="auto"/>
              <w:jc w:val="both"/>
              <w:rPr>
                <w:rFonts w:eastAsia="Times New Roman" w:cs="Calibri"/>
                <w:noProof/>
              </w:rPr>
            </w:pPr>
            <w:r>
              <w:rPr>
                <w:noProof/>
              </w:rPr>
              <w:t>ČETRTLETJE 1</w:t>
            </w:r>
          </w:p>
        </w:tc>
        <w:tc>
          <w:tcPr>
            <w:tcW w:w="708" w:type="dxa"/>
            <w:shd w:val="clear" w:color="auto" w:fill="C4EFCE"/>
            <w:noWrap/>
            <w:vAlign w:val="center"/>
            <w:hideMark/>
          </w:tcPr>
          <w:p w14:paraId="1A541125"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26228984" w14:textId="77777777" w:rsidR="00F24946" w:rsidRDefault="00F24946">
            <w:pPr>
              <w:spacing w:after="0" w:line="240" w:lineRule="auto"/>
              <w:jc w:val="both"/>
              <w:rPr>
                <w:rFonts w:ascii="Calibri" w:eastAsia="Times New Roman" w:hAnsi="Calibri" w:cs="Calibri"/>
                <w:noProof/>
                <w:sz w:val="16"/>
              </w:rPr>
            </w:pPr>
          </w:p>
          <w:p w14:paraId="160254F6" w14:textId="77777777" w:rsidR="00F24946" w:rsidRDefault="00613B06">
            <w:pPr>
              <w:pStyle w:val="P68B1DB1-Normal8"/>
              <w:spacing w:after="0" w:line="240" w:lineRule="auto"/>
              <w:jc w:val="both"/>
              <w:rPr>
                <w:rFonts w:eastAsia="Times New Roman" w:cs="Calibri"/>
                <w:noProof/>
              </w:rPr>
            </w:pPr>
            <w:r>
              <w:rPr>
                <w:noProof/>
              </w:rPr>
              <w:t>Območje prenovljenih stavb osrednje vlade. Prenove za energijsko učinkovitost v povprečju dosežejo vsaj srednje temeljito prenovo, kot je opredeljena v Priporočilu Komisije o prenovi stavb (EU) 2019/786.</w:t>
            </w:r>
          </w:p>
        </w:tc>
      </w:tr>
      <w:tr w:rsidR="00F24946" w14:paraId="3AB1A080" w14:textId="77777777">
        <w:trPr>
          <w:trHeight w:val="420"/>
        </w:trPr>
        <w:tc>
          <w:tcPr>
            <w:tcW w:w="1135" w:type="dxa"/>
            <w:shd w:val="clear" w:color="auto" w:fill="C4EFCE"/>
            <w:vAlign w:val="center"/>
            <w:hideMark/>
          </w:tcPr>
          <w:p w14:paraId="60E0C01F" w14:textId="77777777" w:rsidR="00F24946" w:rsidRDefault="00613B06">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293744CC" w14:textId="77777777" w:rsidR="00F24946" w:rsidRDefault="00613B06">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4857104A"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F18B9FA" w14:textId="77777777" w:rsidR="00F24946" w:rsidRDefault="00613B06">
            <w:pPr>
              <w:pStyle w:val="P68B1DB1-Normal8"/>
              <w:spacing w:after="0" w:line="240" w:lineRule="auto"/>
              <w:jc w:val="both"/>
              <w:rPr>
                <w:rFonts w:eastAsia="Times New Roman" w:cs="Calibri"/>
                <w:noProof/>
              </w:rPr>
            </w:pPr>
            <w:r>
              <w:rPr>
                <w:noProof/>
              </w:rPr>
              <w:t xml:space="preserve">Energetska prenova stavb osrednje vlade </w:t>
            </w:r>
          </w:p>
        </w:tc>
        <w:tc>
          <w:tcPr>
            <w:tcW w:w="1275" w:type="dxa"/>
            <w:shd w:val="clear" w:color="auto" w:fill="C4EFCE"/>
            <w:noWrap/>
            <w:vAlign w:val="center"/>
            <w:hideMark/>
          </w:tcPr>
          <w:p w14:paraId="02A39686"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8D238F8"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3E054F8" w14:textId="62C82D65" w:rsidR="00F24946" w:rsidRDefault="00613B06">
            <w:pPr>
              <w:pStyle w:val="P68B1DB1-Normal8"/>
              <w:spacing w:after="0" w:line="240" w:lineRule="auto"/>
              <w:jc w:val="center"/>
              <w:rPr>
                <w:rFonts w:eastAsia="Times New Roman" w:cs="Calibri"/>
                <w:noProof/>
              </w:rPr>
            </w:pPr>
            <w:r>
              <w:rPr>
                <w:noProof/>
              </w:rPr>
              <w:t>1 065 000</w:t>
            </w:r>
          </w:p>
        </w:tc>
        <w:tc>
          <w:tcPr>
            <w:tcW w:w="992" w:type="dxa"/>
            <w:shd w:val="clear" w:color="auto" w:fill="C4EFCE"/>
            <w:noWrap/>
            <w:vAlign w:val="center"/>
            <w:hideMark/>
          </w:tcPr>
          <w:p w14:paraId="20287487" w14:textId="77777777" w:rsidR="00F24946" w:rsidRDefault="00613B06">
            <w:pPr>
              <w:pStyle w:val="P68B1DB1-Normal8"/>
              <w:spacing w:after="0" w:line="240" w:lineRule="auto"/>
              <w:jc w:val="both"/>
              <w:rPr>
                <w:rFonts w:eastAsia="Times New Roman" w:cs="Calibri"/>
                <w:noProof/>
              </w:rPr>
            </w:pPr>
            <w:r>
              <w:rPr>
                <w:noProof/>
              </w:rPr>
              <w:t>1 255 000</w:t>
            </w:r>
          </w:p>
        </w:tc>
        <w:tc>
          <w:tcPr>
            <w:tcW w:w="426" w:type="dxa"/>
            <w:shd w:val="clear" w:color="auto" w:fill="C4EFCE"/>
            <w:noWrap/>
            <w:vAlign w:val="center"/>
            <w:hideMark/>
          </w:tcPr>
          <w:p w14:paraId="4B0B2EFE" w14:textId="77777777" w:rsidR="00F24946" w:rsidRDefault="00613B06">
            <w:pPr>
              <w:pStyle w:val="P68B1DB1-Normal8"/>
              <w:spacing w:after="0" w:line="240" w:lineRule="auto"/>
              <w:jc w:val="both"/>
              <w:rPr>
                <w:rFonts w:eastAsia="Times New Roman" w:cs="Calibri"/>
                <w:noProof/>
              </w:rPr>
            </w:pPr>
            <w:r>
              <w:rPr>
                <w:noProof/>
              </w:rPr>
              <w:t>Q4</w:t>
            </w:r>
          </w:p>
        </w:tc>
        <w:tc>
          <w:tcPr>
            <w:tcW w:w="708" w:type="dxa"/>
            <w:shd w:val="clear" w:color="auto" w:fill="C4EFCE"/>
            <w:noWrap/>
            <w:vAlign w:val="center"/>
            <w:hideMark/>
          </w:tcPr>
          <w:p w14:paraId="071698D9"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8F276C1" w14:textId="77777777" w:rsidR="00F24946" w:rsidRDefault="00F24946">
            <w:pPr>
              <w:spacing w:after="0" w:line="240" w:lineRule="auto"/>
              <w:jc w:val="both"/>
              <w:rPr>
                <w:rFonts w:ascii="Calibri" w:eastAsia="Times New Roman" w:hAnsi="Calibri" w:cs="Calibri"/>
                <w:noProof/>
                <w:sz w:val="16"/>
              </w:rPr>
            </w:pPr>
          </w:p>
          <w:p w14:paraId="58C28D3F" w14:textId="77777777" w:rsidR="00F24946" w:rsidRDefault="00613B06">
            <w:pPr>
              <w:pStyle w:val="P68B1DB1-Normal8"/>
              <w:spacing w:after="0" w:line="240" w:lineRule="auto"/>
              <w:jc w:val="both"/>
              <w:rPr>
                <w:rFonts w:eastAsia="Times New Roman" w:cs="Calibri"/>
                <w:noProof/>
              </w:rPr>
            </w:pPr>
            <w:r>
              <w:rPr>
                <w:noProof/>
              </w:rPr>
              <w:t>Območje prenovljenih stavb osrednje vlade. Prenove za energijsko učinkovitost v povprečju dosežejo vsaj srednje temeljito prenovo, kot je opredeljena v Priporočilu Komisije o prenovi stavb (EU) 2019/786.</w:t>
            </w:r>
          </w:p>
        </w:tc>
      </w:tr>
      <w:tr w:rsidR="00F24946" w14:paraId="6107EFB2" w14:textId="77777777">
        <w:trPr>
          <w:trHeight w:val="1791"/>
        </w:trPr>
        <w:tc>
          <w:tcPr>
            <w:tcW w:w="1135" w:type="dxa"/>
            <w:shd w:val="clear" w:color="auto" w:fill="C4EFCE"/>
            <w:vAlign w:val="center"/>
            <w:hideMark/>
          </w:tcPr>
          <w:p w14:paraId="6E63D5C7" w14:textId="77777777" w:rsidR="00F24946" w:rsidRDefault="00613B06">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070D1DC5" w14:textId="77777777" w:rsidR="00F24946" w:rsidRDefault="00613B06">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1D3BC664"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936AA2B" w14:textId="77777777" w:rsidR="00F24946" w:rsidRDefault="00613B06">
            <w:pPr>
              <w:pStyle w:val="P68B1DB1-Normal8"/>
              <w:spacing w:after="0" w:line="240" w:lineRule="auto"/>
              <w:jc w:val="both"/>
              <w:rPr>
                <w:rFonts w:eastAsia="Times New Roman" w:cs="Calibri"/>
                <w:noProof/>
              </w:rPr>
            </w:pPr>
            <w:r>
              <w:rPr>
                <w:noProof/>
              </w:rPr>
              <w:t xml:space="preserve">Dodatne zmogljivosti za proizvodnjo energije iz obnovljivih virov za lastno porabo in za uporabo v skupnostih na področju energije iz obnovljivih virov v stavbah osrednje vlade </w:t>
            </w:r>
          </w:p>
        </w:tc>
        <w:tc>
          <w:tcPr>
            <w:tcW w:w="1275" w:type="dxa"/>
            <w:shd w:val="clear" w:color="auto" w:fill="C4EFCE"/>
            <w:noWrap/>
            <w:vAlign w:val="center"/>
            <w:hideMark/>
          </w:tcPr>
          <w:p w14:paraId="612B042B"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4A4BC993" w14:textId="77777777" w:rsidR="00F24946" w:rsidRDefault="00613B06">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5880F214"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5D3D5C3" w14:textId="77777777" w:rsidR="00F24946" w:rsidRDefault="00613B06">
            <w:pPr>
              <w:pStyle w:val="P68B1DB1-Normal8"/>
              <w:spacing w:after="0" w:line="240" w:lineRule="auto"/>
              <w:jc w:val="both"/>
              <w:rPr>
                <w:rFonts w:eastAsia="Times New Roman" w:cs="Calibri"/>
                <w:noProof/>
              </w:rPr>
            </w:pPr>
            <w:r>
              <w:rPr>
                <w:noProof/>
              </w:rPr>
              <w:t>28</w:t>
            </w:r>
          </w:p>
        </w:tc>
        <w:tc>
          <w:tcPr>
            <w:tcW w:w="426" w:type="dxa"/>
            <w:shd w:val="clear" w:color="auto" w:fill="C4EFCE"/>
            <w:noWrap/>
            <w:vAlign w:val="center"/>
            <w:hideMark/>
          </w:tcPr>
          <w:p w14:paraId="0ABC7448" w14:textId="77777777" w:rsidR="00F24946" w:rsidRDefault="00613B06">
            <w:pPr>
              <w:pStyle w:val="P68B1DB1-Normal8"/>
              <w:spacing w:after="0" w:line="240" w:lineRule="auto"/>
              <w:jc w:val="both"/>
              <w:rPr>
                <w:rFonts w:eastAsia="Times New Roman" w:cs="Calibri"/>
                <w:noProof/>
              </w:rPr>
            </w:pPr>
            <w:r>
              <w:rPr>
                <w:noProof/>
              </w:rPr>
              <w:t>Q4</w:t>
            </w:r>
          </w:p>
        </w:tc>
        <w:tc>
          <w:tcPr>
            <w:tcW w:w="708" w:type="dxa"/>
            <w:shd w:val="clear" w:color="auto" w:fill="C4EFCE"/>
            <w:noWrap/>
            <w:vAlign w:val="center"/>
            <w:hideMark/>
          </w:tcPr>
          <w:p w14:paraId="7AC5AAD8"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C38259F" w14:textId="77777777" w:rsidR="00F24946" w:rsidRDefault="00613B06">
            <w:pPr>
              <w:pStyle w:val="P68B1DB1-Normal8"/>
              <w:spacing w:after="0" w:line="240" w:lineRule="auto"/>
              <w:jc w:val="both"/>
              <w:rPr>
                <w:rFonts w:eastAsia="Times New Roman" w:cs="Calibri"/>
                <w:noProof/>
              </w:rPr>
            </w:pPr>
            <w:r>
              <w:rPr>
                <w:noProof/>
              </w:rPr>
              <w:t xml:space="preserve">Dodatna zmogljivost za proizvodnjo energije iz obnovljivih virov (kot so fotonapetostni paneli in baterije, ko ta tehnologija dozori) za lastno porabo in za uporabo v skupnostih na področju energije iz obnovljivih virov v stavbah osrednje vlade. </w:t>
            </w:r>
          </w:p>
        </w:tc>
      </w:tr>
      <w:tr w:rsidR="00F24946" w14:paraId="315A0896" w14:textId="77777777">
        <w:trPr>
          <w:trHeight w:val="630"/>
        </w:trPr>
        <w:tc>
          <w:tcPr>
            <w:tcW w:w="1135" w:type="dxa"/>
            <w:shd w:val="clear" w:color="auto" w:fill="C4EFCE"/>
            <w:vAlign w:val="center"/>
            <w:hideMark/>
          </w:tcPr>
          <w:p w14:paraId="08835C94" w14:textId="77777777" w:rsidR="00F24946" w:rsidRDefault="00613B06">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hideMark/>
          </w:tcPr>
          <w:p w14:paraId="3283563C" w14:textId="77777777" w:rsidR="00F24946" w:rsidRDefault="00613B06">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39005AC"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7369B6E" w14:textId="77777777" w:rsidR="00F24946" w:rsidRDefault="00613B06">
            <w:pPr>
              <w:pStyle w:val="P68B1DB1-Normal8"/>
              <w:spacing w:after="0" w:line="240" w:lineRule="auto"/>
              <w:jc w:val="both"/>
              <w:rPr>
                <w:rFonts w:eastAsia="Times New Roman" w:cs="Calibri"/>
                <w:noProof/>
              </w:rPr>
            </w:pPr>
            <w:r>
              <w:rPr>
                <w:noProof/>
              </w:rPr>
              <w:t>Energijska prenova stavb za zasebne storitve</w:t>
            </w:r>
          </w:p>
        </w:tc>
        <w:tc>
          <w:tcPr>
            <w:tcW w:w="1275" w:type="dxa"/>
            <w:shd w:val="clear" w:color="auto" w:fill="C4EFCE"/>
            <w:noWrap/>
            <w:vAlign w:val="center"/>
            <w:hideMark/>
          </w:tcPr>
          <w:p w14:paraId="04F5C639"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63C2248A"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2A00A5F0"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5EABFED" w14:textId="77777777" w:rsidR="00F24946" w:rsidRDefault="00613B06">
            <w:pPr>
              <w:pStyle w:val="P68B1DB1-Normal8"/>
              <w:spacing w:after="0" w:line="240" w:lineRule="auto"/>
              <w:jc w:val="both"/>
              <w:rPr>
                <w:rFonts w:eastAsia="Times New Roman" w:cs="Calibri"/>
                <w:noProof/>
              </w:rPr>
            </w:pPr>
            <w:r>
              <w:rPr>
                <w:noProof/>
              </w:rPr>
              <w:t>315 000</w:t>
            </w:r>
          </w:p>
        </w:tc>
        <w:tc>
          <w:tcPr>
            <w:tcW w:w="426" w:type="dxa"/>
            <w:shd w:val="clear" w:color="auto" w:fill="C4EFCE"/>
            <w:noWrap/>
            <w:vAlign w:val="center"/>
            <w:hideMark/>
          </w:tcPr>
          <w:p w14:paraId="49D1DBD6" w14:textId="77777777" w:rsidR="00F24946" w:rsidRDefault="00613B06">
            <w:pPr>
              <w:pStyle w:val="P68B1DB1-Normal8"/>
              <w:spacing w:after="0" w:line="240" w:lineRule="auto"/>
              <w:jc w:val="both"/>
              <w:rPr>
                <w:rFonts w:eastAsia="Times New Roman" w:cs="Calibri"/>
                <w:noProof/>
              </w:rPr>
            </w:pPr>
            <w:r>
              <w:rPr>
                <w:noProof/>
              </w:rPr>
              <w:t>ČETRTLETJE 1</w:t>
            </w:r>
          </w:p>
        </w:tc>
        <w:tc>
          <w:tcPr>
            <w:tcW w:w="708" w:type="dxa"/>
            <w:shd w:val="clear" w:color="auto" w:fill="C4EFCE"/>
            <w:noWrap/>
            <w:vAlign w:val="center"/>
            <w:hideMark/>
          </w:tcPr>
          <w:p w14:paraId="12EB7A96"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6ECA77CC" w14:textId="77777777" w:rsidR="00F24946" w:rsidRDefault="00F24946">
            <w:pPr>
              <w:spacing w:after="0" w:line="240" w:lineRule="auto"/>
              <w:jc w:val="both"/>
              <w:rPr>
                <w:rFonts w:ascii="Calibri" w:eastAsia="Times New Roman" w:hAnsi="Calibri" w:cs="Calibri"/>
                <w:noProof/>
                <w:sz w:val="16"/>
              </w:rPr>
            </w:pPr>
          </w:p>
          <w:p w14:paraId="6862CCDC" w14:textId="77777777" w:rsidR="00F24946" w:rsidRDefault="00613B06">
            <w:pPr>
              <w:pStyle w:val="P68B1DB1-Normal8"/>
              <w:spacing w:after="0" w:line="240" w:lineRule="auto"/>
              <w:jc w:val="both"/>
              <w:rPr>
                <w:rFonts w:eastAsia="Times New Roman" w:cs="Calibri"/>
                <w:noProof/>
              </w:rPr>
            </w:pPr>
            <w:r>
              <w:rPr>
                <w:noProof/>
              </w:rPr>
              <w:t>Območje obnovljenih stavb, ki jih uporabljajo zasebne službe. Prenove za energijsko učinkovitost v povprečju dosežejo vsaj srednje temeljito prenovo, kot je opredeljena v Priporočilu Komisije o prenovi stavb (EU) 2019/786.</w:t>
            </w:r>
          </w:p>
        </w:tc>
      </w:tr>
      <w:tr w:rsidR="00F24946" w14:paraId="7CEEEEA3" w14:textId="77777777">
        <w:trPr>
          <w:trHeight w:val="630"/>
        </w:trPr>
        <w:tc>
          <w:tcPr>
            <w:tcW w:w="1135" w:type="dxa"/>
            <w:shd w:val="clear" w:color="auto" w:fill="C4EFCE"/>
            <w:vAlign w:val="center"/>
            <w:hideMark/>
          </w:tcPr>
          <w:p w14:paraId="1558A3B7" w14:textId="77777777" w:rsidR="00F24946" w:rsidRDefault="00613B06">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048D644C" w14:textId="77777777" w:rsidR="00F24946" w:rsidRDefault="00613B06">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3F4D6FA8"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8C154C7" w14:textId="77777777" w:rsidR="00F24946" w:rsidRDefault="00613B06">
            <w:pPr>
              <w:pStyle w:val="P68B1DB1-Normal8"/>
              <w:spacing w:after="0" w:line="240" w:lineRule="auto"/>
              <w:jc w:val="both"/>
              <w:rPr>
                <w:rFonts w:eastAsia="Times New Roman" w:cs="Calibri"/>
                <w:noProof/>
              </w:rPr>
            </w:pPr>
            <w:r>
              <w:rPr>
                <w:noProof/>
              </w:rPr>
              <w:t>Energijska prenova stavb za zasebne storitve</w:t>
            </w:r>
          </w:p>
        </w:tc>
        <w:tc>
          <w:tcPr>
            <w:tcW w:w="1275" w:type="dxa"/>
            <w:shd w:val="clear" w:color="auto" w:fill="C4EFCE"/>
            <w:noWrap/>
            <w:vAlign w:val="center"/>
            <w:hideMark/>
          </w:tcPr>
          <w:p w14:paraId="4BDE1A7A"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22AA9F67" w14:textId="77777777" w:rsidR="00F24946" w:rsidRDefault="00613B06">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06B1E72C" w14:textId="77777777" w:rsidR="00F24946" w:rsidRDefault="00613B06">
            <w:pPr>
              <w:pStyle w:val="P68B1DB1-Normal8"/>
              <w:spacing w:after="0" w:line="240" w:lineRule="auto"/>
              <w:jc w:val="center"/>
              <w:rPr>
                <w:rFonts w:eastAsia="Times New Roman" w:cs="Calibri"/>
                <w:noProof/>
              </w:rPr>
            </w:pPr>
            <w:r>
              <w:rPr>
                <w:noProof/>
              </w:rPr>
              <w:t>315 000</w:t>
            </w:r>
          </w:p>
        </w:tc>
        <w:tc>
          <w:tcPr>
            <w:tcW w:w="992" w:type="dxa"/>
            <w:shd w:val="clear" w:color="auto" w:fill="C4EFCE"/>
            <w:noWrap/>
            <w:vAlign w:val="center"/>
            <w:hideMark/>
          </w:tcPr>
          <w:p w14:paraId="71FE31A9" w14:textId="77777777" w:rsidR="00F24946" w:rsidRDefault="00613B06">
            <w:pPr>
              <w:pStyle w:val="P68B1DB1-Normal8"/>
              <w:spacing w:after="0" w:line="240" w:lineRule="auto"/>
              <w:jc w:val="both"/>
              <w:rPr>
                <w:rFonts w:eastAsia="Times New Roman" w:cs="Calibri"/>
                <w:noProof/>
              </w:rPr>
            </w:pPr>
            <w:r>
              <w:rPr>
                <w:noProof/>
              </w:rPr>
              <w:t>360 000</w:t>
            </w:r>
          </w:p>
        </w:tc>
        <w:tc>
          <w:tcPr>
            <w:tcW w:w="426" w:type="dxa"/>
            <w:shd w:val="clear" w:color="auto" w:fill="C4EFCE"/>
            <w:noWrap/>
            <w:vAlign w:val="center"/>
            <w:hideMark/>
          </w:tcPr>
          <w:p w14:paraId="3FC426D1" w14:textId="77777777" w:rsidR="00F24946" w:rsidRDefault="00613B06">
            <w:pPr>
              <w:pStyle w:val="P68B1DB1-Normal8"/>
              <w:spacing w:after="0" w:line="240" w:lineRule="auto"/>
              <w:jc w:val="both"/>
              <w:rPr>
                <w:rFonts w:eastAsia="Times New Roman" w:cs="Calibri"/>
                <w:noProof/>
              </w:rPr>
            </w:pPr>
            <w:r>
              <w:rPr>
                <w:noProof/>
              </w:rPr>
              <w:t>Q4</w:t>
            </w:r>
          </w:p>
        </w:tc>
        <w:tc>
          <w:tcPr>
            <w:tcW w:w="708" w:type="dxa"/>
            <w:shd w:val="clear" w:color="auto" w:fill="C4EFCE"/>
            <w:noWrap/>
            <w:vAlign w:val="center"/>
            <w:hideMark/>
          </w:tcPr>
          <w:p w14:paraId="6311F4AB"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42E42EAB" w14:textId="77777777" w:rsidR="00F24946" w:rsidRDefault="00F24946">
            <w:pPr>
              <w:spacing w:after="0" w:line="240" w:lineRule="auto"/>
              <w:jc w:val="both"/>
              <w:rPr>
                <w:rFonts w:ascii="Calibri" w:eastAsia="Times New Roman" w:hAnsi="Calibri" w:cs="Calibri"/>
                <w:noProof/>
                <w:sz w:val="16"/>
              </w:rPr>
            </w:pPr>
          </w:p>
          <w:p w14:paraId="46DF3B33" w14:textId="77777777" w:rsidR="00F24946" w:rsidRDefault="00613B06">
            <w:pPr>
              <w:pStyle w:val="P68B1DB1-Normal8"/>
              <w:spacing w:after="0" w:line="240" w:lineRule="auto"/>
              <w:jc w:val="both"/>
              <w:rPr>
                <w:rFonts w:eastAsia="Times New Roman" w:cs="Calibri"/>
                <w:noProof/>
              </w:rPr>
            </w:pPr>
            <w:r>
              <w:rPr>
                <w:noProof/>
              </w:rPr>
              <w:t>Območje obnovljenih stavb, ki jih uporablja zasebni storitveni sektor. Prenove za energijsko učinkovitost v povprečju dosežejo vsaj srednje temeljito prenovo, kot je opredeljena v Priporočilu Komisije o prenovi stavb (EU) 2019/786.</w:t>
            </w:r>
          </w:p>
        </w:tc>
      </w:tr>
      <w:tr w:rsidR="00F24946" w14:paraId="5F36D45E" w14:textId="77777777">
        <w:trPr>
          <w:trHeight w:val="1995"/>
        </w:trPr>
        <w:tc>
          <w:tcPr>
            <w:tcW w:w="1135" w:type="dxa"/>
            <w:shd w:val="clear" w:color="auto" w:fill="C4EFCE"/>
            <w:vAlign w:val="center"/>
            <w:hideMark/>
          </w:tcPr>
          <w:p w14:paraId="4985012C" w14:textId="77777777" w:rsidR="00F24946" w:rsidRDefault="00613B06">
            <w:pPr>
              <w:pStyle w:val="P68B1DB1-Normal7"/>
              <w:spacing w:after="0" w:line="240" w:lineRule="auto"/>
              <w:jc w:val="center"/>
              <w:rPr>
                <w:rFonts w:eastAsia="Times New Roman" w:cs="Calibri"/>
                <w:noProof/>
              </w:rPr>
            </w:pPr>
            <w:r>
              <w:rPr>
                <w:noProof/>
              </w:rPr>
              <w:t>13.10</w:t>
            </w:r>
          </w:p>
        </w:tc>
        <w:tc>
          <w:tcPr>
            <w:tcW w:w="1276" w:type="dxa"/>
            <w:shd w:val="clear" w:color="auto" w:fill="C4EFCE"/>
            <w:noWrap/>
            <w:vAlign w:val="center"/>
            <w:hideMark/>
          </w:tcPr>
          <w:p w14:paraId="0E8ACC47" w14:textId="77777777" w:rsidR="00F24946" w:rsidRDefault="00613B06">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DCB8AB8" w14:textId="77777777" w:rsidR="00F24946" w:rsidRDefault="00613B06">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0495A743" w14:textId="77777777" w:rsidR="00F24946" w:rsidRDefault="00613B06">
            <w:pPr>
              <w:pStyle w:val="P68B1DB1-Normal8"/>
              <w:spacing w:after="0" w:line="240" w:lineRule="auto"/>
              <w:jc w:val="both"/>
              <w:rPr>
                <w:rFonts w:eastAsia="Times New Roman" w:cs="Calibri"/>
                <w:noProof/>
              </w:rPr>
            </w:pPr>
            <w:r>
              <w:rPr>
                <w:noProof/>
              </w:rPr>
              <w:t xml:space="preserve">Dodatne zmogljivosti za proizvodnjo energije iz obnovljivih virov za lastno porabo in za uporabo v skupnostih na področju energije iz obnovljivih virov v zasebnem storitvenem sektorju </w:t>
            </w:r>
          </w:p>
        </w:tc>
        <w:tc>
          <w:tcPr>
            <w:tcW w:w="1275" w:type="dxa"/>
            <w:shd w:val="clear" w:color="auto" w:fill="C4EFCE"/>
            <w:noWrap/>
            <w:vAlign w:val="center"/>
            <w:hideMark/>
          </w:tcPr>
          <w:p w14:paraId="7C3E76E6" w14:textId="77777777" w:rsidR="00F24946" w:rsidRDefault="00613B06">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0364534A" w14:textId="77777777" w:rsidR="00F24946" w:rsidRDefault="00613B06">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3ADBE991" w14:textId="77777777" w:rsidR="00F24946" w:rsidRDefault="00613B06">
            <w:pPr>
              <w:pStyle w:val="P68B1DB1-Normal8"/>
              <w:spacing w:after="0" w:line="240" w:lineRule="auto"/>
              <w:jc w:val="both"/>
              <w:rPr>
                <w:rFonts w:eastAsia="Times New Roman" w:cs="Calibri"/>
                <w:noProof/>
              </w:rPr>
            </w:pPr>
            <w:r>
              <w:rPr>
                <w:noProof/>
              </w:rPr>
              <w:t>0</w:t>
            </w:r>
          </w:p>
        </w:tc>
        <w:tc>
          <w:tcPr>
            <w:tcW w:w="992" w:type="dxa"/>
            <w:shd w:val="clear" w:color="auto" w:fill="C4EFCE"/>
            <w:noWrap/>
            <w:vAlign w:val="center"/>
            <w:hideMark/>
          </w:tcPr>
          <w:p w14:paraId="219C358C" w14:textId="77777777" w:rsidR="00F24946" w:rsidRDefault="00613B06">
            <w:pPr>
              <w:pStyle w:val="P68B1DB1-Normal8"/>
              <w:spacing w:after="0" w:line="240" w:lineRule="auto"/>
              <w:jc w:val="both"/>
              <w:rPr>
                <w:rFonts w:eastAsia="Times New Roman" w:cs="Calibri"/>
                <w:noProof/>
              </w:rPr>
            </w:pPr>
            <w:r>
              <w:rPr>
                <w:noProof/>
              </w:rPr>
              <w:t>30</w:t>
            </w:r>
          </w:p>
        </w:tc>
        <w:tc>
          <w:tcPr>
            <w:tcW w:w="426" w:type="dxa"/>
            <w:shd w:val="clear" w:color="auto" w:fill="C4EFCE"/>
            <w:noWrap/>
            <w:vAlign w:val="center"/>
            <w:hideMark/>
          </w:tcPr>
          <w:p w14:paraId="00BEF57C" w14:textId="77777777" w:rsidR="00F24946" w:rsidRDefault="00613B06">
            <w:pPr>
              <w:pStyle w:val="P68B1DB1-Normal8"/>
              <w:spacing w:after="0" w:line="240" w:lineRule="auto"/>
              <w:jc w:val="both"/>
              <w:rPr>
                <w:rFonts w:eastAsia="Times New Roman" w:cs="Calibri"/>
                <w:noProof/>
              </w:rPr>
            </w:pPr>
            <w:r>
              <w:rPr>
                <w:noProof/>
              </w:rPr>
              <w:t>Q4</w:t>
            </w:r>
          </w:p>
        </w:tc>
        <w:tc>
          <w:tcPr>
            <w:tcW w:w="708" w:type="dxa"/>
            <w:shd w:val="clear" w:color="auto" w:fill="C4EFCE"/>
            <w:noWrap/>
            <w:vAlign w:val="center"/>
            <w:hideMark/>
          </w:tcPr>
          <w:p w14:paraId="38DC3D4F" w14:textId="77777777" w:rsidR="00F24946" w:rsidRDefault="00613B06">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7428E06E" w14:textId="77777777" w:rsidR="00F24946" w:rsidRDefault="00613B06">
            <w:pPr>
              <w:pStyle w:val="P68B1DB1-Normal8"/>
              <w:spacing w:after="0" w:line="240" w:lineRule="auto"/>
              <w:jc w:val="both"/>
              <w:rPr>
                <w:rFonts w:eastAsia="Times New Roman" w:cs="Calibri"/>
                <w:noProof/>
              </w:rPr>
            </w:pPr>
            <w:r>
              <w:rPr>
                <w:noProof/>
              </w:rPr>
              <w:t>Dodatna zmogljivost za proizvodnjo energije iz obnovljivih virov (kot so fotonapetostni paneli in baterije, ko ta tehnologija dozori) za lastno porabo in za uporabo v skupnostih na področju energije iz obnovljivih virov v sektorju zasebnih storitev.</w:t>
            </w:r>
          </w:p>
        </w:tc>
      </w:tr>
    </w:tbl>
    <w:p w14:paraId="557E1674" w14:textId="77777777" w:rsidR="00F24946" w:rsidRDefault="00F24946">
      <w:pPr>
        <w:spacing w:before="40" w:after="0" w:line="259" w:lineRule="auto"/>
        <w:jc w:val="both"/>
        <w:rPr>
          <w:rFonts w:ascii="Times New Roman" w:eastAsiaTheme="minorEastAsia" w:hAnsi="Times New Roman" w:cs="Times New Roman"/>
          <w:noProof/>
          <w:sz w:val="24"/>
        </w:rPr>
      </w:pPr>
    </w:p>
    <w:p w14:paraId="61304717" w14:textId="77777777" w:rsidR="00F24946" w:rsidRDefault="00F24946">
      <w:pPr>
        <w:spacing w:before="40" w:after="0" w:line="259" w:lineRule="auto"/>
        <w:jc w:val="both"/>
        <w:rPr>
          <w:rFonts w:ascii="Times New Roman" w:eastAsiaTheme="minorEastAsia" w:hAnsi="Times New Roman" w:cs="Times New Roman"/>
          <w:noProof/>
          <w:sz w:val="24"/>
        </w:rPr>
      </w:pPr>
    </w:p>
    <w:p w14:paraId="2EA2F20F" w14:textId="77777777" w:rsidR="00F24946" w:rsidRDefault="00F24946">
      <w:pPr>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134" w:right="1134" w:bottom="1134" w:left="1134" w:header="567" w:footer="567" w:gutter="0"/>
          <w:cols w:space="720"/>
          <w:docGrid w:linePitch="360"/>
        </w:sectPr>
      </w:pPr>
    </w:p>
    <w:p w14:paraId="3C2CFB1F"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N. KOMPONENTA 14: Vodik in obnovljivi viri energije</w:t>
      </w:r>
    </w:p>
    <w:p w14:paraId="24AAADA7" w14:textId="77777777" w:rsidR="00F24946" w:rsidRDefault="00613B06">
      <w:pPr>
        <w:pStyle w:val="P68B1DB1-Normal4"/>
        <w:spacing w:before="40" w:after="0" w:line="259" w:lineRule="auto"/>
        <w:jc w:val="both"/>
        <w:rPr>
          <w:rFonts w:eastAsiaTheme="minorEastAsia" w:cs="Times New Roman"/>
          <w:noProof/>
        </w:rPr>
      </w:pPr>
      <w:r>
        <w:rPr>
          <w:noProof/>
        </w:rPr>
        <w:t>Portugalska se je zavezala, da bo do leta 2050 dosegla ogljično nevtralnost in jo uvrstila med tiste, ki so v okviru Pariškega sporazuma prevzeli vodilno vlogo v boju proti podnebnim spremembam. V načrtu za ogljično nevtralnost za leto 2050 (RNC 2050) so cilji razogljičenja, ki jih je treba doseči, zmanjšanje emisij za več kot 85 % v primerjavi z letom 2005 in zmogljivost sekvestracije ogljika v višini 13000000 ton. Komponenta obravnava tako imenovane sektorje, ki jih je težko zmanjšati, in sicer s spodbujanjem uvajanja obnovljivega vodika.</w:t>
      </w:r>
    </w:p>
    <w:p w14:paraId="42D4ADE5" w14:textId="77777777" w:rsidR="00F24946" w:rsidRDefault="00613B06">
      <w:pPr>
        <w:pStyle w:val="P68B1DB1-Normal4"/>
        <w:spacing w:before="40" w:after="0" w:line="259" w:lineRule="auto"/>
        <w:jc w:val="both"/>
        <w:rPr>
          <w:rFonts w:eastAsiaTheme="minorEastAsia" w:cs="Times New Roman"/>
          <w:noProof/>
        </w:rPr>
      </w:pPr>
      <w:r>
        <w:rPr>
          <w:noProof/>
        </w:rPr>
        <w:t>Cilji komponente so spodbujati energetski prehod ter razogljičenje industrije in prometa z močnim poudarkom na proizvodnji obnovljivega vodika in drugih obnovljivih plinov. V primeru avtonomnih regij je poudarek na uporabi energije iz obnovljivih virov (geotermalna, vetrna, fotovoltaična in vodna energija) in shranjevanje energije iz obnovljivih virov. Ta komponenta je ključna za zmanjšanje nacionalne energetske odvisnosti s proizvodnjo energije iz lokalnih virov, izboljšanje trgovinske bilance in povečanje odpornosti domačega gospodarstva.</w:t>
      </w:r>
    </w:p>
    <w:p w14:paraId="741FF5F1" w14:textId="77777777" w:rsidR="00F24946" w:rsidRDefault="00613B06">
      <w:pPr>
        <w:pStyle w:val="P68B1DB1-Normal4"/>
        <w:spacing w:before="40" w:after="0" w:line="259" w:lineRule="auto"/>
        <w:jc w:val="both"/>
        <w:rPr>
          <w:rFonts w:eastAsiaTheme="minorEastAsia" w:cs="Times New Roman"/>
          <w:noProof/>
        </w:rPr>
      </w:pPr>
      <w:r>
        <w:rPr>
          <w:noProof/>
        </w:rPr>
        <w:t>Komponenta podpira obravnavanje priporočila za posamezne države, da se naložbe osredotočijo na podnebni prehod, s poudarkom na proizvodnji energije iz obnovljivih virov (priporočilo za posamezno državo št. 3 iz leta 2019 in 2020).</w:t>
      </w:r>
    </w:p>
    <w:p w14:paraId="092B10E5"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5433DBDC"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N.1. Opis reform in naložb za nepovratno finančno podporo</w:t>
      </w:r>
    </w:p>
    <w:p w14:paraId="64866960"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Reforma TC-r29: Nacionalna strategija za vodik (EN-H2)</w:t>
      </w:r>
    </w:p>
    <w:p w14:paraId="13857BA4" w14:textId="77777777" w:rsidR="00F24946" w:rsidRDefault="00613B06">
      <w:pPr>
        <w:pStyle w:val="P68B1DB1-Normal4"/>
        <w:spacing w:before="40" w:after="0" w:line="259" w:lineRule="auto"/>
        <w:jc w:val="both"/>
        <w:rPr>
          <w:rFonts w:eastAsiaTheme="minorEastAsia" w:cs="Times New Roman"/>
          <w:noProof/>
        </w:rPr>
      </w:pPr>
      <w:r>
        <w:rPr>
          <w:noProof/>
        </w:rPr>
        <w:t>Cilj ukrepa je uvesti element spodbude in stabilnosti za energetski sektor ter spodbujati postopno uvajanje obnovljivega vodika kot trajnostnega stebra celovitejše strategije za prehod na razogljičeno gospodarstvo. Ta strategija opredeljuje sedanjo in prihodnjo vlogo vodika v energetskem sistemu ter predlaga vrsto ukrepov in ciljev za vključitev vodika v različne gospodarske sektorje. To vključuje tudi ustvarjanje potrebnih pogojev za ta premik, vključno z zakonodajo in predpisi, varnostjo, standardi, inovacijami in razvojem ter financiranjem. Ukrep se nanaša na spremenjeno ureditev nacionalnega prenosnega omrežja za plin in ureditev nacionalnega omrežja za distribucijo plina, ki ju odobri Generalni direktorat za energetiko in geologijo. Spremenjena uredba omogoča vzpostavitev pogojev za priključitev na infrastrukturo za prenos plina, zlasti za dovajanje plinov iz obnovljivih virov, vključno z obnovljivim vodikom in plini z nizko vsebnostjo ogljika, ter določitev najnižjih in najvišjih odstotkov vbrizgavanja teh plinov v omrežja. Poleg tega spremenjena uredba vključuje potrebne revizije tehničnih standardov, ki zagotavljajo kakovost storitve in varno uporabo teh infrastruktur za vse uporabnike.</w:t>
      </w:r>
    </w:p>
    <w:p w14:paraId="02E50E69" w14:textId="77777777" w:rsidR="00F24946" w:rsidRDefault="00613B06">
      <w:pPr>
        <w:pStyle w:val="P68B1DB1-Normal4"/>
        <w:spacing w:before="40" w:after="0" w:line="259" w:lineRule="auto"/>
        <w:jc w:val="both"/>
        <w:rPr>
          <w:rFonts w:eastAsiaTheme="minorEastAsia" w:cs="Times New Roman"/>
          <w:noProof/>
        </w:rPr>
      </w:pPr>
      <w:r>
        <w:rPr>
          <w:noProof/>
        </w:rPr>
        <w:t>Reforma se izvede do 30. septembra 2021.</w:t>
      </w:r>
    </w:p>
    <w:p w14:paraId="28667EBB"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TC-C14-i01: Vodik in obnovljivi plini</w:t>
      </w:r>
    </w:p>
    <w:p w14:paraId="7F188255" w14:textId="77777777" w:rsidR="00F24946" w:rsidRDefault="00613B06">
      <w:pPr>
        <w:pStyle w:val="P68B1DB1-Normal4"/>
        <w:spacing w:before="40" w:after="0" w:line="259" w:lineRule="auto"/>
        <w:jc w:val="both"/>
        <w:rPr>
          <w:rFonts w:eastAsiaTheme="minorEastAsia" w:cs="Times New Roman"/>
          <w:noProof/>
        </w:rPr>
      </w:pPr>
      <w:r>
        <w:rPr>
          <w:noProof/>
        </w:rPr>
        <w:t>Cilj ukrepa je podpreti zasebne projekte za proizvodnjo obnovljivega vodika in drugih plinov obnovljivega izvora za lastno porabo ali vbrizgavanje v omrežje.</w:t>
      </w:r>
    </w:p>
    <w:p w14:paraId="6A4CE2C6" w14:textId="77777777" w:rsidR="00F24946" w:rsidRDefault="00613B06">
      <w:pPr>
        <w:pStyle w:val="P68B1DB1-Normal4"/>
        <w:spacing w:before="40" w:after="0" w:line="259" w:lineRule="auto"/>
        <w:jc w:val="both"/>
        <w:rPr>
          <w:rFonts w:eastAsiaTheme="minorEastAsia" w:cs="Times New Roman"/>
          <w:noProof/>
        </w:rPr>
      </w:pPr>
      <w:r>
        <w:rPr>
          <w:noProof/>
        </w:rPr>
        <w:t xml:space="preserve">Naložba vključuje ukrepe za spodbujanje proizvodnje, shranjevanja, prevoza in distribucije plinov iz obnovljivih virov, katerih cilj je povečati prispevek obnovljivih plinov k porabi energije, zmanjšati emisije toplogrednih plinov, zmanjšati energetsko odvisnost in izboljšati zanesljivost oskrbe z energijo. Podpirajo se različne uporabe, kot sta uporaba plinov iz obnovljivih virov za prevoz in dovajanje plinov iz obnovljivih virov v omrežje zemeljskega plina. </w:t>
      </w:r>
    </w:p>
    <w:p w14:paraId="22A4B55A" w14:textId="77777777" w:rsidR="00F24946" w:rsidRDefault="00613B06">
      <w:pPr>
        <w:pStyle w:val="P68B1DB1-Normal4"/>
        <w:spacing w:before="40" w:after="0" w:line="259" w:lineRule="auto"/>
        <w:jc w:val="both"/>
        <w:rPr>
          <w:rFonts w:eastAsiaTheme="minorEastAsia" w:cs="Times New Roman"/>
          <w:noProof/>
        </w:rPr>
      </w:pPr>
      <w:r>
        <w:rPr>
          <w:noProof/>
        </w:rPr>
        <w:t>Pri proizvodnji obnovljivih plinov, kot sta obnovljivi vodik ali biometan, izključno iz obnovljivih virov energije, se lahko uporablja vrsta tehnologij, kot so: Elektrolizo; Termokemični in hidrotermični procesi; Biološki procesi (biofoliza in fermentacija); Obogatitev bioplina z anaerobno razgradnjo materialov iz biomase (brez proizvodnje bioplina); in metanacijo (obnovljivi vodik v kombinaciji z recikliranim ogljikovim dioksidom).</w:t>
      </w:r>
    </w:p>
    <w:p w14:paraId="23CDF4FF" w14:textId="348261AB" w:rsidR="00F24946" w:rsidRDefault="00613B06">
      <w:pPr>
        <w:pStyle w:val="P68B1DB1-Normal4"/>
        <w:spacing w:before="40" w:after="0" w:line="259" w:lineRule="auto"/>
        <w:jc w:val="both"/>
        <w:rPr>
          <w:rFonts w:eastAsiaTheme="minorEastAsia" w:cs="Times New Roman"/>
          <w:noProof/>
        </w:rPr>
      </w:pPr>
      <w:r>
        <w:rPr>
          <w:noProof/>
        </w:rPr>
        <w:t>Naložbe imajo zelo poseben poudarek in so namenjene povečanju inštalirane zmogljivosti za proizvodnjo obnovljivega vodika in drugih obnovljivih plinov, vključno z nameščeno zmogljivostjo v elektrolizatorjih za proizvodnjo obnovljivega vodika. Projekt se izvaja z odprtimi in nediskriminatornimi javnimi razpisi, da se podprejo projekti z največ 15 000 000 EUR na projekt.</w:t>
      </w:r>
    </w:p>
    <w:p w14:paraId="2F3C9010" w14:textId="0A561EF2" w:rsidR="00F24946" w:rsidRDefault="00613B06">
      <w:pPr>
        <w:pStyle w:val="P68B1DB1-Normal4"/>
        <w:spacing w:before="40" w:after="0" w:line="259" w:lineRule="auto"/>
        <w:jc w:val="both"/>
        <w:rPr>
          <w:rFonts w:eastAsiaTheme="minorEastAsia" w:cs="Times New Roman"/>
          <w:noProof/>
        </w:rPr>
      </w:pPr>
      <w:r>
        <w:rPr>
          <w:noProof/>
        </w:rPr>
        <w:t>Naložba se izvede do 31. marca 2026.</w:t>
      </w:r>
    </w:p>
    <w:p w14:paraId="416F7CD8"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TC-C14-i02-RAM: Potenciacija električne energije iz obnovljivih virov na Madeirskem otočju</w:t>
      </w:r>
    </w:p>
    <w:p w14:paraId="6D154BCC" w14:textId="77777777" w:rsidR="00F24946" w:rsidRDefault="00613B06">
      <w:pPr>
        <w:pStyle w:val="P68B1DB1-Normal4"/>
        <w:spacing w:before="40" w:after="0" w:line="259" w:lineRule="auto"/>
        <w:jc w:val="both"/>
        <w:rPr>
          <w:rFonts w:eastAsiaTheme="minorEastAsia" w:cs="Times New Roman"/>
          <w:noProof/>
        </w:rPr>
      </w:pPr>
      <w:r>
        <w:rPr>
          <w:noProof/>
        </w:rPr>
        <w:t xml:space="preserve">Cilj ukrepa je podpreti proizvodnjo, shranjevanje, prenos in distribucijo energije iz obnovljivih virov. Projekti, vključeni v to naložbo, omogočajo povečanje deleža električne energije iz obnovljivih virov, ki je na voljo na vsakem otoku. Te naložbe prispevajo k strategiji za razogljičenje proizvodnje električne energije, s čimer se krepi odpornost domačega gospodarstva. </w:t>
      </w:r>
    </w:p>
    <w:p w14:paraId="6509CF70" w14:textId="77777777" w:rsidR="00F24946" w:rsidRDefault="00613B06">
      <w:pPr>
        <w:pStyle w:val="P68B1DB1-Normal4"/>
        <w:spacing w:before="40" w:after="0" w:line="259" w:lineRule="auto"/>
        <w:jc w:val="both"/>
        <w:rPr>
          <w:rFonts w:eastAsiaTheme="minorEastAsia" w:cs="Times New Roman"/>
          <w:noProof/>
        </w:rPr>
      </w:pPr>
      <w:r>
        <w:rPr>
          <w:noProof/>
        </w:rPr>
        <w:t xml:space="preserve">Naložba je sestavljena iz naslednjih podnaložb: </w:t>
      </w:r>
    </w:p>
    <w:p w14:paraId="4467DF1E"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Popolna prenova in obnova hidroelektrarne Water Serra in hidroelektrarne Calheta I, ki oživi 6,2 MW inštalirane moči ter poveča inštalirano zmogljivost z dodajanjem 4 MW;</w:t>
      </w:r>
    </w:p>
    <w:p w14:paraId="5FE75D29"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Povečanje inštalirane zmogljivosti akumulatorskih sistemov shranjevanja z dodajanjem zmogljivosti shranjevanja vsaj 21 MW/27MWh;</w:t>
      </w:r>
    </w:p>
    <w:p w14:paraId="49EDD0E0"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Namestiti nov sinhroni kompenzator z močjo najmanj 15 MVAr;</w:t>
      </w:r>
    </w:p>
    <w:p w14:paraId="4372F931"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Povečanje zmogljivosti elektroenergetskega omrežja za vključitev nove inštalirane električne energije vsaj 48 MW v obnovljive vire energije v elektroenergetskih sistemih (40 MW Madeira +8 MW Porto Santo);</w:t>
      </w:r>
    </w:p>
    <w:p w14:paraId="2CCEA225"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Namestitev 130000 povezanih pametnih števcev in zamenjava 8750 točk za ulično razsvetljavo z rešitvami z nizko porabo energije (vključno z nadgradnjo upravljanja cestne razsvetljave).</w:t>
      </w:r>
    </w:p>
    <w:p w14:paraId="0E2F3B03"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decembra 2025.</w:t>
      </w:r>
    </w:p>
    <w:p w14:paraId="44F7A633"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TC-C14-i03-RAA: Energetski prehod na Azorih</w:t>
      </w:r>
    </w:p>
    <w:p w14:paraId="6BAFD0A3" w14:textId="77777777" w:rsidR="00F24946" w:rsidRDefault="00613B06">
      <w:pPr>
        <w:pStyle w:val="P68B1DB1-Normal4"/>
        <w:spacing w:before="40" w:after="0" w:line="259" w:lineRule="auto"/>
        <w:jc w:val="both"/>
        <w:rPr>
          <w:rFonts w:eastAsiaTheme="minorEastAsia" w:cs="Times New Roman"/>
          <w:noProof/>
        </w:rPr>
      </w:pPr>
      <w:r>
        <w:rPr>
          <w:noProof/>
        </w:rPr>
        <w:t>Cilja ukrepa sta razvoj najsodobnejše infrastrukture za električno energijo in izvajanje projektov z inovativnimi tehničnimi rešitvami za povečanje energetske samozadostnosti. Na Azorih proizvodnja električne energije iz obnovljivih virov trenutno predstavlja približno 40 % skupne vrednosti regije, od tega približno 24 % iz geotermalne energije na dveh največjih otokih otočja. Preostalih 60 % električne energije se proizvede iz fosilnih goriv, kurilnega olja in dizelskega goriva, ki predstavljajo visok letni račun, ne le zaradi nabavne vrednosti goriv, temveč tudi zaradi njihovega pomorskega prevoza s celine na otoke in distribucije med otoki. Ta vrsta proizvodnje poleg s tem povezanih visokih stroškov pomeni močno zunanjo odvisnost, ki lahko v razmerah nacionalne ali mednarodne krize ogrozi sposobnost zadovoljevanja energetskih potreb otočja.</w:t>
      </w:r>
    </w:p>
    <w:p w14:paraId="52E3DC73" w14:textId="77777777" w:rsidR="00F24946" w:rsidRDefault="00613B06">
      <w:pPr>
        <w:pStyle w:val="P68B1DB1-Normal4"/>
        <w:spacing w:before="40" w:after="0" w:line="259" w:lineRule="auto"/>
        <w:jc w:val="both"/>
        <w:rPr>
          <w:rFonts w:eastAsiaTheme="minorEastAsia" w:cs="Times New Roman"/>
          <w:noProof/>
        </w:rPr>
      </w:pPr>
      <w:r>
        <w:rPr>
          <w:noProof/>
        </w:rPr>
        <w:t>Naložba je sestavljena iz naslednjih podnaložb:</w:t>
      </w:r>
    </w:p>
    <w:p w14:paraId="0A8CFC86"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Povečanje inštalirane zmogljivosti za proizvodnjo energije iz obnovljivih virov, zlasti geotermalne, za 12 MW in oživitev že nameščene geotermalne elektrarne za 5 MW;</w:t>
      </w:r>
    </w:p>
    <w:p w14:paraId="5DC064DD" w14:textId="24EDE81B"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Povečanje inštalirane zmogljivosti za proizvodnjo električne energije iz obnovljivih virov na otoku Corvo z namestitvijo fotovoltaične in vetrne elektrarne za 850 kW;</w:t>
      </w:r>
    </w:p>
    <w:p w14:paraId="38EA575D" w14:textId="77777777"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Namestitev novih sistemov za shranjevanje električne energije na otokih Santa Maria, São Jorge, Pico, Faial, Flores in Corvo za najmanj 20 MW;</w:t>
      </w:r>
    </w:p>
    <w:p w14:paraId="112665E7" w14:textId="55EE2481" w:rsidR="00F24946" w:rsidRDefault="00613B06">
      <w:pPr>
        <w:pStyle w:val="P68B1DB1-Normal4"/>
        <w:keepNext/>
        <w:numPr>
          <w:ilvl w:val="0"/>
          <w:numId w:val="31"/>
        </w:numPr>
        <w:spacing w:before="40" w:after="160" w:line="259" w:lineRule="auto"/>
        <w:contextualSpacing/>
        <w:jc w:val="both"/>
        <w:rPr>
          <w:rFonts w:eastAsiaTheme="minorEastAsia" w:cs="Times New Roman"/>
          <w:noProof/>
        </w:rPr>
      </w:pPr>
      <w:r>
        <w:rPr>
          <w:noProof/>
        </w:rPr>
        <w:t>Nameščati nove majhne fotovoltaične električne energije za decentralizirano proizvodnjo in porabo v skupnem ekvivalentu 11,2 MW.</w:t>
      </w:r>
    </w:p>
    <w:p w14:paraId="091FFD9A" w14:textId="64D57B8C" w:rsidR="00F24946" w:rsidRDefault="00613B06">
      <w:pPr>
        <w:pStyle w:val="P68B1DB1-Normal4"/>
        <w:spacing w:before="40" w:after="0" w:line="259" w:lineRule="auto"/>
        <w:jc w:val="both"/>
        <w:rPr>
          <w:rFonts w:eastAsiaTheme="minorEastAsia" w:cs="Times New Roman"/>
          <w:noProof/>
        </w:rPr>
      </w:pPr>
      <w:r>
        <w:rPr>
          <w:noProof/>
        </w:rPr>
        <w:t>Naložba se izvede do 30. junija 2026.</w:t>
      </w:r>
    </w:p>
    <w:p w14:paraId="151D3F34" w14:textId="77777777" w:rsidR="00F24946" w:rsidRDefault="00F24946">
      <w:pPr>
        <w:spacing w:before="40" w:after="0" w:line="259" w:lineRule="auto"/>
        <w:jc w:val="both"/>
        <w:rPr>
          <w:rFonts w:ascii="Times New Roman" w:eastAsiaTheme="minorEastAsia" w:hAnsi="Times New Roman" w:cs="Times New Roman"/>
          <w:noProof/>
          <w:sz w:val="24"/>
        </w:rPr>
        <w:sectPr w:rsidR="00F24946" w:rsidSect="00E00EDD">
          <w:headerReference w:type="even" r:id="rId270"/>
          <w:headerReference w:type="default" r:id="rId271"/>
          <w:footerReference w:type="even" r:id="rId272"/>
          <w:footerReference w:type="default" r:id="rId273"/>
          <w:headerReference w:type="first" r:id="rId274"/>
          <w:footerReference w:type="first" r:id="rId275"/>
          <w:pgSz w:w="11907" w:h="16839"/>
          <w:pgMar w:top="1134" w:right="1134" w:bottom="1134" w:left="1134" w:header="567" w:footer="567" w:gutter="0"/>
          <w:cols w:space="720"/>
          <w:docGrid w:linePitch="360"/>
        </w:sectPr>
      </w:pPr>
    </w:p>
    <w:p w14:paraId="1E0E5F58"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N.2. Mejniki, cilji, kazalniki in časovni razpored za spremljanje in izvajanje nepovratne finančne podpore Naslednje;</w:t>
      </w:r>
    </w:p>
    <w:p w14:paraId="286C8850" w14:textId="77777777" w:rsidR="00F24946" w:rsidRDefault="00F24946">
      <w:pPr>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F24946" w14:paraId="3CFBE898" w14:textId="77777777">
        <w:trPr>
          <w:trHeight w:val="830"/>
          <w:tblHeader/>
        </w:trPr>
        <w:tc>
          <w:tcPr>
            <w:tcW w:w="1135" w:type="dxa"/>
            <w:vMerge w:val="restart"/>
            <w:shd w:val="clear" w:color="auto" w:fill="BDD6EE"/>
            <w:vAlign w:val="center"/>
            <w:hideMark/>
          </w:tcPr>
          <w:p w14:paraId="66B63AA1"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77F41CF5"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05EA6259" w14:textId="77777777" w:rsidR="00F24946" w:rsidRDefault="00613B06">
            <w:pPr>
              <w:pStyle w:val="P68B1DB1-Normal6"/>
              <w:spacing w:after="0" w:line="240" w:lineRule="auto"/>
              <w:jc w:val="center"/>
              <w:rPr>
                <w:rFonts w:ascii="Calibri" w:eastAsia="Times New Roman" w:hAnsi="Calibri" w:cs="Calibri"/>
                <w:noProof/>
                <w:sz w:val="16"/>
              </w:rPr>
            </w:pPr>
            <w:r>
              <w:rPr>
                <w:noProof/>
              </w:rPr>
              <w:t>Mejnik/</w:t>
            </w:r>
          </w:p>
          <w:p w14:paraId="6B07E77A" w14:textId="0BCBAF46" w:rsidR="00F24946" w:rsidRDefault="00613B06">
            <w:pPr>
              <w:pStyle w:val="P68B1DB1-Normal6"/>
              <w:spacing w:after="0" w:line="240" w:lineRule="auto"/>
              <w:jc w:val="center"/>
              <w:rPr>
                <w:rFonts w:ascii="Calibri" w:eastAsia="Times New Roman" w:hAnsi="Calibri" w:cs="Calibri"/>
                <w:noProof/>
                <w:sz w:val="16"/>
              </w:rPr>
            </w:pPr>
            <w:r>
              <w:rPr>
                <w:noProof/>
              </w:rPr>
              <w:t>Tarča</w:t>
            </w:r>
          </w:p>
        </w:tc>
        <w:tc>
          <w:tcPr>
            <w:tcW w:w="1701" w:type="dxa"/>
            <w:vMerge w:val="restart"/>
            <w:shd w:val="clear" w:color="auto" w:fill="BDD6EE"/>
            <w:vAlign w:val="center"/>
            <w:hideMark/>
          </w:tcPr>
          <w:p w14:paraId="2948128E" w14:textId="77777777" w:rsidR="00F24946" w:rsidRDefault="00613B06">
            <w:pPr>
              <w:pStyle w:val="P68B1DB1-Normal6"/>
              <w:spacing w:after="0" w:line="240" w:lineRule="auto"/>
              <w:jc w:val="center"/>
              <w:rPr>
                <w:rFonts w:ascii="Calibri" w:eastAsia="Times New Roman" w:hAnsi="Calibri" w:cs="Calibri"/>
                <w:noProof/>
                <w:sz w:val="16"/>
              </w:rPr>
            </w:pPr>
            <w:r>
              <w:rPr>
                <w:noProof/>
              </w:rPr>
              <w:t>Ime</w:t>
            </w:r>
          </w:p>
        </w:tc>
        <w:tc>
          <w:tcPr>
            <w:tcW w:w="1275" w:type="dxa"/>
            <w:vMerge w:val="restart"/>
            <w:shd w:val="clear" w:color="auto" w:fill="BDD6EE"/>
            <w:vAlign w:val="center"/>
            <w:hideMark/>
          </w:tcPr>
          <w:p w14:paraId="4CFCA654" w14:textId="77777777" w:rsidR="00F24946" w:rsidRDefault="00613B06">
            <w:pPr>
              <w:pStyle w:val="P68B1DB1-Normal6"/>
              <w:spacing w:after="0" w:line="240" w:lineRule="auto"/>
              <w:jc w:val="center"/>
              <w:rPr>
                <w:rFonts w:ascii="Calibri" w:eastAsia="Times New Roman" w:hAnsi="Calibri" w:cs="Calibri"/>
                <w:noProof/>
                <w:sz w:val="16"/>
              </w:rPr>
            </w:pPr>
            <w:r>
              <w:rPr>
                <w:noProof/>
              </w:rPr>
              <w:t>Kvalitativni kazalniki za mejnike</w:t>
            </w:r>
          </w:p>
        </w:tc>
        <w:tc>
          <w:tcPr>
            <w:tcW w:w="2694" w:type="dxa"/>
            <w:gridSpan w:val="3"/>
            <w:shd w:val="clear" w:color="auto" w:fill="BDD6EE"/>
            <w:vAlign w:val="center"/>
            <w:hideMark/>
          </w:tcPr>
          <w:p w14:paraId="1385CF11"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0F657DE5"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439B6EF1" w14:textId="77777777" w:rsidR="00F24946" w:rsidRDefault="00613B06">
            <w:pPr>
              <w:pStyle w:val="P68B1DB1-Normal6"/>
              <w:spacing w:after="0" w:line="240" w:lineRule="auto"/>
              <w:jc w:val="center"/>
              <w:rPr>
                <w:rFonts w:ascii="Calibri" w:eastAsia="Times New Roman" w:hAnsi="Calibri" w:cs="Calibri"/>
                <w:noProof/>
                <w:sz w:val="16"/>
              </w:rPr>
            </w:pPr>
            <w:r>
              <w:rPr>
                <w:noProof/>
              </w:rPr>
              <w:t>Opis in jasna opredelitev vsakega mejnika in cilja</w:t>
            </w:r>
          </w:p>
        </w:tc>
      </w:tr>
      <w:tr w:rsidR="00F24946" w14:paraId="55300FC2" w14:textId="77777777">
        <w:trPr>
          <w:trHeight w:val="430"/>
          <w:tblHeader/>
        </w:trPr>
        <w:tc>
          <w:tcPr>
            <w:tcW w:w="1135" w:type="dxa"/>
            <w:vMerge/>
            <w:vAlign w:val="center"/>
            <w:hideMark/>
          </w:tcPr>
          <w:p w14:paraId="2716EF47"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35E64B63" w14:textId="77777777" w:rsidR="00F24946" w:rsidRDefault="00F24946">
            <w:pPr>
              <w:spacing w:after="0" w:line="240" w:lineRule="auto"/>
              <w:rPr>
                <w:rFonts w:ascii="Calibri" w:eastAsia="Times New Roman" w:hAnsi="Calibri" w:cs="Calibri"/>
                <w:b/>
                <w:noProof/>
                <w:sz w:val="16"/>
              </w:rPr>
            </w:pPr>
          </w:p>
        </w:tc>
        <w:tc>
          <w:tcPr>
            <w:tcW w:w="1134" w:type="dxa"/>
            <w:vMerge/>
            <w:shd w:val="clear" w:color="auto" w:fill="BDD6EE"/>
            <w:vAlign w:val="center"/>
            <w:hideMark/>
          </w:tcPr>
          <w:p w14:paraId="5EE6F193" w14:textId="4E289509" w:rsidR="00F24946" w:rsidRDefault="00F24946">
            <w:pPr>
              <w:spacing w:after="0" w:line="240" w:lineRule="auto"/>
              <w:jc w:val="center"/>
              <w:rPr>
                <w:rFonts w:ascii="Calibri" w:eastAsia="Times New Roman" w:hAnsi="Calibri" w:cs="Calibri"/>
                <w:b/>
                <w:noProof/>
                <w:sz w:val="16"/>
              </w:rPr>
            </w:pPr>
          </w:p>
        </w:tc>
        <w:tc>
          <w:tcPr>
            <w:tcW w:w="1701" w:type="dxa"/>
            <w:vMerge/>
            <w:vAlign w:val="center"/>
            <w:hideMark/>
          </w:tcPr>
          <w:p w14:paraId="5CCE81B9" w14:textId="77777777" w:rsidR="00F24946" w:rsidRDefault="00F24946">
            <w:pPr>
              <w:spacing w:after="0" w:line="240" w:lineRule="auto"/>
              <w:rPr>
                <w:rFonts w:ascii="Calibri" w:eastAsia="Times New Roman" w:hAnsi="Calibri" w:cs="Calibri"/>
                <w:b/>
                <w:noProof/>
                <w:sz w:val="16"/>
              </w:rPr>
            </w:pPr>
          </w:p>
        </w:tc>
        <w:tc>
          <w:tcPr>
            <w:tcW w:w="1275" w:type="dxa"/>
            <w:vMerge/>
            <w:vAlign w:val="center"/>
            <w:hideMark/>
          </w:tcPr>
          <w:p w14:paraId="79537091" w14:textId="77777777" w:rsidR="00F24946" w:rsidRDefault="00F24946">
            <w:pPr>
              <w:spacing w:after="0" w:line="240" w:lineRule="auto"/>
              <w:rPr>
                <w:rFonts w:ascii="Calibri" w:eastAsia="Times New Roman" w:hAnsi="Calibri" w:cs="Calibri"/>
                <w:b/>
                <w:noProof/>
                <w:sz w:val="16"/>
              </w:rPr>
            </w:pPr>
          </w:p>
        </w:tc>
        <w:tc>
          <w:tcPr>
            <w:tcW w:w="993" w:type="dxa"/>
            <w:shd w:val="clear" w:color="auto" w:fill="BDD6EE"/>
            <w:vAlign w:val="center"/>
            <w:hideMark/>
          </w:tcPr>
          <w:p w14:paraId="11126D21"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0AF1479C"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vAlign w:val="center"/>
            <w:hideMark/>
          </w:tcPr>
          <w:p w14:paraId="6554DD1F"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03B3E9F9"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823A4AA"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7A70D1DD" w14:textId="77777777" w:rsidR="00F24946" w:rsidRDefault="00F24946">
            <w:pPr>
              <w:spacing w:after="0" w:line="240" w:lineRule="auto"/>
              <w:rPr>
                <w:rFonts w:ascii="Calibri" w:eastAsia="Times New Roman" w:hAnsi="Calibri" w:cs="Calibri"/>
                <w:b/>
                <w:noProof/>
                <w:sz w:val="16"/>
              </w:rPr>
            </w:pPr>
          </w:p>
        </w:tc>
      </w:tr>
      <w:tr w:rsidR="00F24946" w14:paraId="152A9A27" w14:textId="77777777">
        <w:trPr>
          <w:trHeight w:val="840"/>
        </w:trPr>
        <w:tc>
          <w:tcPr>
            <w:tcW w:w="1135" w:type="dxa"/>
            <w:shd w:val="clear" w:color="auto" w:fill="C4EFCE"/>
            <w:vAlign w:val="center"/>
            <w:hideMark/>
          </w:tcPr>
          <w:p w14:paraId="2FD964B6" w14:textId="77777777" w:rsidR="00F24946" w:rsidRDefault="00613B06">
            <w:pPr>
              <w:pStyle w:val="P68B1DB1-Normal7"/>
              <w:spacing w:after="0" w:line="240" w:lineRule="auto"/>
              <w:jc w:val="center"/>
              <w:rPr>
                <w:rFonts w:eastAsia="Times New Roman" w:cs="Calibri"/>
                <w:noProof/>
              </w:rPr>
            </w:pPr>
            <w:r>
              <w:rPr>
                <w:noProof/>
              </w:rPr>
              <w:t>14.1</w:t>
            </w:r>
          </w:p>
        </w:tc>
        <w:tc>
          <w:tcPr>
            <w:tcW w:w="1276" w:type="dxa"/>
            <w:shd w:val="clear" w:color="auto" w:fill="C4EFCE"/>
            <w:noWrap/>
            <w:vAlign w:val="center"/>
            <w:hideMark/>
          </w:tcPr>
          <w:p w14:paraId="41F96EC9" w14:textId="77777777" w:rsidR="00F24946" w:rsidRDefault="00613B06">
            <w:pPr>
              <w:pStyle w:val="P68B1DB1-Normal8"/>
              <w:spacing w:after="0" w:line="240" w:lineRule="auto"/>
              <w:jc w:val="center"/>
              <w:rPr>
                <w:rFonts w:eastAsia="Times New Roman" w:cs="Calibri"/>
                <w:noProof/>
              </w:rPr>
            </w:pPr>
            <w:r>
              <w:rPr>
                <w:noProof/>
              </w:rPr>
              <w:t>TC-C14-r29</w:t>
            </w:r>
          </w:p>
        </w:tc>
        <w:tc>
          <w:tcPr>
            <w:tcW w:w="1134" w:type="dxa"/>
            <w:shd w:val="clear" w:color="auto" w:fill="C4EFCE"/>
            <w:noWrap/>
            <w:vAlign w:val="center"/>
            <w:hideMark/>
          </w:tcPr>
          <w:p w14:paraId="191BF89A"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11CEEC8" w14:textId="77777777" w:rsidR="00F24946" w:rsidRDefault="00613B06">
            <w:pPr>
              <w:pStyle w:val="P68B1DB1-Normal8"/>
              <w:spacing w:after="0" w:line="240" w:lineRule="auto"/>
              <w:jc w:val="center"/>
              <w:rPr>
                <w:rFonts w:eastAsia="Times New Roman" w:cs="Calibri"/>
                <w:noProof/>
              </w:rPr>
            </w:pPr>
            <w:r>
              <w:rPr>
                <w:noProof/>
              </w:rPr>
              <w:t>Začetek veljavnosti uredbe o nacionalnem omrežju za prenos plina in uredbe o nacionalnem omrežju za distribucijo plina</w:t>
            </w:r>
          </w:p>
        </w:tc>
        <w:tc>
          <w:tcPr>
            <w:tcW w:w="1275" w:type="dxa"/>
            <w:shd w:val="clear" w:color="auto" w:fill="C4EFCE"/>
            <w:noWrap/>
            <w:vAlign w:val="center"/>
            <w:hideMark/>
          </w:tcPr>
          <w:p w14:paraId="2E014965" w14:textId="77777777" w:rsidR="00F24946" w:rsidRDefault="00613B06">
            <w:pPr>
              <w:pStyle w:val="P68B1DB1-Normal8"/>
              <w:spacing w:after="0" w:line="240" w:lineRule="auto"/>
              <w:jc w:val="center"/>
              <w:rPr>
                <w:rFonts w:eastAsia="Times New Roman" w:cs="Calibri"/>
                <w:noProof/>
              </w:rPr>
            </w:pPr>
            <w:r>
              <w:rPr>
                <w:noProof/>
              </w:rPr>
              <w:t>Začetek veljavnosti uredbe o nacionalnem omrežju za prenos plina in uredbe o nacionalnem omrežju za distribucijo plina</w:t>
            </w:r>
          </w:p>
        </w:tc>
        <w:tc>
          <w:tcPr>
            <w:tcW w:w="993" w:type="dxa"/>
            <w:shd w:val="clear" w:color="auto" w:fill="C4EFCE"/>
            <w:noWrap/>
            <w:vAlign w:val="center"/>
            <w:hideMark/>
          </w:tcPr>
          <w:p w14:paraId="02698043"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46A3247"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917A085"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A75C6D0"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5358F1C1"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04872AD" w14:textId="77777777" w:rsidR="00F24946" w:rsidRDefault="00613B06">
            <w:pPr>
              <w:pStyle w:val="P68B1DB1-Normal8"/>
              <w:spacing w:after="0" w:line="240" w:lineRule="auto"/>
              <w:jc w:val="both"/>
              <w:rPr>
                <w:rFonts w:eastAsia="Times New Roman" w:cs="Calibri"/>
                <w:noProof/>
              </w:rPr>
            </w:pPr>
            <w:r>
              <w:rPr>
                <w:noProof/>
              </w:rPr>
              <w:t xml:space="preserve">Začetek veljavnosti spremenjene uredbe o nacionalnem prenosnem omrežju za plin in uredbe o nacionalnem omrežju za distribucijo plina. Spremembe uredbe o nacionalnem prenosnem omrežju za plin in uredbe o nacionalnem omrežju za distribucijo plina odobri Generalni direktorat za energetiko in geologijo. </w:t>
            </w:r>
          </w:p>
          <w:p w14:paraId="163F4AF0" w14:textId="0CC86E9F" w:rsidR="00F24946" w:rsidRDefault="00613B06">
            <w:pPr>
              <w:pStyle w:val="P68B1DB1-Normal8"/>
              <w:spacing w:after="0" w:line="240" w:lineRule="auto"/>
              <w:jc w:val="both"/>
              <w:rPr>
                <w:rFonts w:eastAsia="Times New Roman" w:cs="Calibri"/>
                <w:noProof/>
              </w:rPr>
            </w:pPr>
            <w:r>
              <w:rPr>
                <w:noProof/>
              </w:rPr>
              <w:t>Uredbi omogočata vzpostavitev pogojev za priključitev na infrastrukturo za prenos plina, zlasti za dovajanje plinov iz obnovljivih virov, vključno z obnovljivim vodikom, ter določitev najnižjega in najvišjega odstotka vbrizgavanja teh plinov v omrežja. Poleg tega vključujejo potrebne revizije tehničnih standardov, ki zagotavljajo kakovost storitve in varno uporabo teh infrastruktur za vse uporabnike.</w:t>
            </w:r>
          </w:p>
        </w:tc>
      </w:tr>
      <w:tr w:rsidR="00F24946" w14:paraId="67119968" w14:textId="77777777">
        <w:trPr>
          <w:trHeight w:val="430"/>
        </w:trPr>
        <w:tc>
          <w:tcPr>
            <w:tcW w:w="1135" w:type="dxa"/>
            <w:shd w:val="clear" w:color="auto" w:fill="C4EFCE"/>
            <w:vAlign w:val="center"/>
            <w:hideMark/>
          </w:tcPr>
          <w:p w14:paraId="57E1192A" w14:textId="77777777" w:rsidR="00F24946" w:rsidRDefault="00613B06">
            <w:pPr>
              <w:pStyle w:val="P68B1DB1-Normal7"/>
              <w:spacing w:after="0" w:line="240" w:lineRule="auto"/>
              <w:jc w:val="center"/>
              <w:rPr>
                <w:rFonts w:eastAsia="Times New Roman" w:cs="Calibri"/>
                <w:noProof/>
              </w:rPr>
            </w:pPr>
            <w:r>
              <w:rPr>
                <w:noProof/>
              </w:rPr>
              <w:t>14.2</w:t>
            </w:r>
          </w:p>
        </w:tc>
        <w:tc>
          <w:tcPr>
            <w:tcW w:w="1276" w:type="dxa"/>
            <w:shd w:val="clear" w:color="auto" w:fill="C4EFCE"/>
            <w:noWrap/>
            <w:vAlign w:val="center"/>
            <w:hideMark/>
          </w:tcPr>
          <w:p w14:paraId="718F4CD4" w14:textId="77777777" w:rsidR="00F24946" w:rsidRDefault="00613B06">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2183426D"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398082B" w14:textId="77777777" w:rsidR="00F24946" w:rsidRDefault="00613B06">
            <w:pPr>
              <w:pStyle w:val="P68B1DB1-Normal8"/>
              <w:spacing w:after="0" w:line="240" w:lineRule="auto"/>
              <w:jc w:val="center"/>
              <w:rPr>
                <w:rFonts w:eastAsia="Times New Roman" w:cs="Calibri"/>
                <w:noProof/>
              </w:rPr>
            </w:pPr>
            <w:r>
              <w:rPr>
                <w:noProof/>
              </w:rPr>
              <w:t>Prvi javni razpis za projekte za proizvodnjo plina iz obnovljivih virov</w:t>
            </w:r>
          </w:p>
        </w:tc>
        <w:tc>
          <w:tcPr>
            <w:tcW w:w="1275" w:type="dxa"/>
            <w:shd w:val="clear" w:color="auto" w:fill="C4EFCE"/>
            <w:noWrap/>
            <w:vAlign w:val="center"/>
            <w:hideMark/>
          </w:tcPr>
          <w:p w14:paraId="3A7E38C8" w14:textId="77777777" w:rsidR="00F24946" w:rsidRDefault="00613B06">
            <w:pPr>
              <w:pStyle w:val="P68B1DB1-Normal8"/>
              <w:spacing w:after="0" w:line="240" w:lineRule="auto"/>
              <w:jc w:val="center"/>
              <w:rPr>
                <w:rFonts w:eastAsia="Times New Roman" w:cs="Calibri"/>
                <w:noProof/>
              </w:rPr>
            </w:pPr>
            <w:r>
              <w:rPr>
                <w:noProof/>
              </w:rPr>
              <w:t>Odprt prvi javni razpis</w:t>
            </w:r>
          </w:p>
        </w:tc>
        <w:tc>
          <w:tcPr>
            <w:tcW w:w="993" w:type="dxa"/>
            <w:shd w:val="clear" w:color="auto" w:fill="C4EFCE"/>
            <w:noWrap/>
            <w:vAlign w:val="center"/>
            <w:hideMark/>
          </w:tcPr>
          <w:p w14:paraId="17551E5C"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7A70C3" w14:textId="77777777" w:rsidR="00F24946" w:rsidRDefault="00613B06">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6F44AB4C"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86C873C"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368CCFC1"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530AF97A" w14:textId="77777777" w:rsidR="00F24946" w:rsidRDefault="00613B06">
            <w:pPr>
              <w:pStyle w:val="P68B1DB1-Normal8"/>
              <w:spacing w:after="0" w:line="240" w:lineRule="auto"/>
              <w:jc w:val="both"/>
              <w:rPr>
                <w:rFonts w:eastAsia="Times New Roman" w:cs="Calibri"/>
                <w:noProof/>
              </w:rPr>
            </w:pPr>
            <w:r>
              <w:rPr>
                <w:noProof/>
              </w:rPr>
              <w:t>Objava prvega razpisa za izbiro projektov, ki jih je treba podpreti za vsaj 88 MW novo nameščenega obnovljivega vodika in obnovljivih plinov z ničelnimi emisijami toplogrednih plinov v življenjskem ciklu ali blizu nje.</w:t>
            </w:r>
          </w:p>
        </w:tc>
      </w:tr>
      <w:tr w:rsidR="00F24946" w14:paraId="54E877CC" w14:textId="77777777">
        <w:trPr>
          <w:trHeight w:val="430"/>
        </w:trPr>
        <w:tc>
          <w:tcPr>
            <w:tcW w:w="1135" w:type="dxa"/>
            <w:shd w:val="clear" w:color="auto" w:fill="C4EFCE"/>
            <w:vAlign w:val="center"/>
            <w:hideMark/>
          </w:tcPr>
          <w:p w14:paraId="29370DB0" w14:textId="77777777" w:rsidR="00F24946" w:rsidRDefault="00613B06">
            <w:pPr>
              <w:pStyle w:val="P68B1DB1-Normal7"/>
              <w:spacing w:after="0" w:line="240" w:lineRule="auto"/>
              <w:jc w:val="center"/>
              <w:rPr>
                <w:rFonts w:eastAsia="Times New Roman" w:cs="Calibri"/>
                <w:noProof/>
              </w:rPr>
            </w:pPr>
            <w:r>
              <w:rPr>
                <w:noProof/>
              </w:rPr>
              <w:t>14.3</w:t>
            </w:r>
          </w:p>
        </w:tc>
        <w:tc>
          <w:tcPr>
            <w:tcW w:w="1276" w:type="dxa"/>
            <w:shd w:val="clear" w:color="auto" w:fill="C4EFCE"/>
            <w:noWrap/>
            <w:vAlign w:val="center"/>
            <w:hideMark/>
          </w:tcPr>
          <w:p w14:paraId="4014E9C9" w14:textId="77777777" w:rsidR="00F24946" w:rsidRDefault="00613B06">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7D599D7B"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1FB733D" w14:textId="77777777" w:rsidR="00F24946" w:rsidRDefault="00613B06">
            <w:pPr>
              <w:pStyle w:val="P68B1DB1-Normal8"/>
              <w:spacing w:after="0" w:line="240" w:lineRule="auto"/>
              <w:jc w:val="center"/>
              <w:rPr>
                <w:rFonts w:eastAsia="Times New Roman" w:cs="Calibri"/>
                <w:noProof/>
              </w:rPr>
            </w:pPr>
            <w:r>
              <w:rPr>
                <w:noProof/>
              </w:rPr>
              <w:t>Dodatna zmogljivost za proizvodnjo obnovljivega vodika in obnovljivega plina</w:t>
            </w:r>
          </w:p>
        </w:tc>
        <w:tc>
          <w:tcPr>
            <w:tcW w:w="1275" w:type="dxa"/>
            <w:shd w:val="clear" w:color="auto" w:fill="C4EFCE"/>
            <w:noWrap/>
            <w:vAlign w:val="center"/>
            <w:hideMark/>
          </w:tcPr>
          <w:p w14:paraId="5680D93B"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81A7FD5"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BA6C83A"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85C153C" w14:textId="6CF1971A" w:rsidR="00F24946" w:rsidRDefault="00613B06">
            <w:pPr>
              <w:pStyle w:val="P68B1DB1-Normal8"/>
              <w:spacing w:after="0" w:line="240" w:lineRule="auto"/>
              <w:jc w:val="center"/>
              <w:rPr>
                <w:rFonts w:eastAsia="Times New Roman" w:cs="Calibri"/>
                <w:noProof/>
              </w:rPr>
            </w:pPr>
            <w:r>
              <w:rPr>
                <w:noProof/>
              </w:rPr>
              <w:t>200</w:t>
            </w:r>
          </w:p>
        </w:tc>
        <w:tc>
          <w:tcPr>
            <w:tcW w:w="567" w:type="dxa"/>
            <w:shd w:val="clear" w:color="auto" w:fill="C4EFCE"/>
            <w:noWrap/>
            <w:vAlign w:val="center"/>
            <w:hideMark/>
          </w:tcPr>
          <w:p w14:paraId="2FA79988" w14:textId="0B3EBA35"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4BB9BE1D" w14:textId="007A3D2D"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FBF31DB" w14:textId="77777777" w:rsidR="00F24946" w:rsidRDefault="00613B06">
            <w:pPr>
              <w:pStyle w:val="P68B1DB1-Normal8"/>
              <w:spacing w:after="0" w:line="240" w:lineRule="auto"/>
              <w:jc w:val="both"/>
              <w:rPr>
                <w:rFonts w:eastAsia="Times New Roman" w:cs="Calibri"/>
                <w:noProof/>
              </w:rPr>
            </w:pPr>
            <w:r>
              <w:rPr>
                <w:noProof/>
              </w:rPr>
              <w:t xml:space="preserve">Dodatna proizvodna zmogljivost obnovljivega vodika in obnovljivih plinov, nameščena z ničelnimi emisijami toplogrednih plinov v življenjskem ciklu ali blizu nje. </w:t>
            </w:r>
          </w:p>
        </w:tc>
      </w:tr>
      <w:tr w:rsidR="00F24946" w14:paraId="4E5061F1" w14:textId="77777777">
        <w:trPr>
          <w:trHeight w:val="473"/>
        </w:trPr>
        <w:tc>
          <w:tcPr>
            <w:tcW w:w="1135" w:type="dxa"/>
            <w:shd w:val="clear" w:color="auto" w:fill="C4EFCE"/>
            <w:vAlign w:val="center"/>
            <w:hideMark/>
          </w:tcPr>
          <w:p w14:paraId="7548B3C2" w14:textId="77777777" w:rsidR="00F24946" w:rsidRDefault="00613B06">
            <w:pPr>
              <w:pStyle w:val="P68B1DB1-Normal7"/>
              <w:spacing w:after="0" w:line="240" w:lineRule="auto"/>
              <w:jc w:val="center"/>
              <w:rPr>
                <w:rFonts w:eastAsia="Times New Roman" w:cs="Calibri"/>
                <w:noProof/>
              </w:rPr>
            </w:pPr>
            <w:r>
              <w:rPr>
                <w:noProof/>
              </w:rPr>
              <w:t>14.4</w:t>
            </w:r>
          </w:p>
        </w:tc>
        <w:tc>
          <w:tcPr>
            <w:tcW w:w="1276" w:type="dxa"/>
            <w:shd w:val="clear" w:color="auto" w:fill="C4EFCE"/>
            <w:noWrap/>
            <w:vAlign w:val="center"/>
            <w:hideMark/>
          </w:tcPr>
          <w:p w14:paraId="012513D7"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0676C40D"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4BC8E5" w14:textId="77777777" w:rsidR="00F24946" w:rsidRDefault="00613B06">
            <w:pPr>
              <w:pStyle w:val="P68B1DB1-Normal8"/>
              <w:spacing w:after="0" w:line="240" w:lineRule="auto"/>
              <w:jc w:val="center"/>
              <w:rPr>
                <w:rFonts w:eastAsia="Times New Roman" w:cs="Calibri"/>
                <w:noProof/>
              </w:rPr>
            </w:pPr>
            <w:r>
              <w:rPr>
                <w:noProof/>
              </w:rPr>
              <w:t xml:space="preserve">Namestitev novega sinhronega kompenzatorja </w:t>
            </w:r>
          </w:p>
        </w:tc>
        <w:tc>
          <w:tcPr>
            <w:tcW w:w="1275" w:type="dxa"/>
            <w:shd w:val="clear" w:color="auto" w:fill="C4EFCE"/>
            <w:noWrap/>
            <w:vAlign w:val="center"/>
            <w:hideMark/>
          </w:tcPr>
          <w:p w14:paraId="1766B193" w14:textId="6C89AA7B" w:rsidR="00F24946" w:rsidRDefault="00613B06">
            <w:pPr>
              <w:pStyle w:val="P68B1DB1-Normal8"/>
              <w:spacing w:after="0" w:line="240" w:lineRule="auto"/>
              <w:jc w:val="center"/>
              <w:rPr>
                <w:rFonts w:eastAsia="Times New Roman" w:cs="Calibri"/>
                <w:noProof/>
              </w:rPr>
            </w:pPr>
            <w:r>
              <w:rPr>
                <w:noProof/>
              </w:rPr>
              <w:t>Namestitev novega sinhronega kompenzatorja</w:t>
            </w:r>
          </w:p>
        </w:tc>
        <w:tc>
          <w:tcPr>
            <w:tcW w:w="993" w:type="dxa"/>
            <w:shd w:val="clear" w:color="auto" w:fill="C4EFCE"/>
            <w:noWrap/>
            <w:vAlign w:val="center"/>
            <w:hideMark/>
          </w:tcPr>
          <w:p w14:paraId="59B70755" w14:textId="77777777" w:rsidR="00F24946" w:rsidRDefault="00613B06">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5DA13D59" w14:textId="77777777" w:rsidR="00F24946" w:rsidRDefault="00613B06">
            <w:pPr>
              <w:pStyle w:val="P68B1DB1-Normal9"/>
              <w:spacing w:after="0" w:line="240" w:lineRule="auto"/>
              <w:rPr>
                <w:rFonts w:eastAsia="Times New Roman" w:cs="Calibri"/>
                <w:noProof/>
              </w:rPr>
            </w:pPr>
            <w:r>
              <w:rPr>
                <w:noProof/>
              </w:rPr>
              <w:t> </w:t>
            </w:r>
          </w:p>
        </w:tc>
        <w:tc>
          <w:tcPr>
            <w:tcW w:w="709" w:type="dxa"/>
            <w:shd w:val="clear" w:color="auto" w:fill="C4EFCE"/>
            <w:noWrap/>
            <w:vAlign w:val="center"/>
            <w:hideMark/>
          </w:tcPr>
          <w:p w14:paraId="0DBB59D9" w14:textId="77777777" w:rsidR="00F24946" w:rsidRDefault="00613B06">
            <w:pPr>
              <w:pStyle w:val="P68B1DB1-Normal9"/>
              <w:spacing w:after="0" w:line="240" w:lineRule="auto"/>
              <w:rPr>
                <w:rFonts w:eastAsia="Times New Roman" w:cs="Calibri"/>
                <w:noProof/>
              </w:rPr>
            </w:pPr>
            <w:r>
              <w:rPr>
                <w:noProof/>
              </w:rPr>
              <w:t> </w:t>
            </w:r>
          </w:p>
        </w:tc>
        <w:tc>
          <w:tcPr>
            <w:tcW w:w="567" w:type="dxa"/>
            <w:shd w:val="clear" w:color="auto" w:fill="C4EFCE"/>
            <w:noWrap/>
            <w:vAlign w:val="center"/>
            <w:hideMark/>
          </w:tcPr>
          <w:p w14:paraId="67729D7D"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3310C570" w14:textId="785E274B"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5732B49" w14:textId="77777777" w:rsidR="00F24946" w:rsidRDefault="00613B06">
            <w:pPr>
              <w:pStyle w:val="P68B1DB1-Normal8"/>
              <w:spacing w:after="0" w:line="240" w:lineRule="auto"/>
              <w:jc w:val="both"/>
              <w:rPr>
                <w:rFonts w:eastAsia="Times New Roman" w:cs="Calibri"/>
                <w:noProof/>
              </w:rPr>
            </w:pPr>
            <w:r>
              <w:rPr>
                <w:noProof/>
              </w:rPr>
              <w:t>Pridobitev in namestitev novega sinhronega kompenzatorja z najmanj 15 MVAr.</w:t>
            </w:r>
          </w:p>
        </w:tc>
      </w:tr>
      <w:tr w:rsidR="00F24946" w14:paraId="22EE209C" w14:textId="77777777">
        <w:trPr>
          <w:trHeight w:val="1377"/>
        </w:trPr>
        <w:tc>
          <w:tcPr>
            <w:tcW w:w="1135" w:type="dxa"/>
            <w:shd w:val="clear" w:color="auto" w:fill="C4EFCE"/>
            <w:vAlign w:val="center"/>
            <w:hideMark/>
          </w:tcPr>
          <w:p w14:paraId="7CCA2CE5" w14:textId="77777777" w:rsidR="00F24946" w:rsidRDefault="00613B06">
            <w:pPr>
              <w:pStyle w:val="P68B1DB1-Normal7"/>
              <w:spacing w:after="0" w:line="240" w:lineRule="auto"/>
              <w:jc w:val="center"/>
              <w:rPr>
                <w:rFonts w:eastAsia="Times New Roman" w:cs="Calibri"/>
                <w:noProof/>
              </w:rPr>
            </w:pPr>
            <w:r>
              <w:rPr>
                <w:noProof/>
              </w:rPr>
              <w:t>14.5</w:t>
            </w:r>
          </w:p>
        </w:tc>
        <w:tc>
          <w:tcPr>
            <w:tcW w:w="1276" w:type="dxa"/>
            <w:shd w:val="clear" w:color="auto" w:fill="C4EFCE"/>
            <w:noWrap/>
            <w:vAlign w:val="center"/>
            <w:hideMark/>
          </w:tcPr>
          <w:p w14:paraId="73293EEE"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060267A"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3B0CD18" w14:textId="77777777" w:rsidR="00F24946" w:rsidRDefault="00613B06">
            <w:pPr>
              <w:pStyle w:val="P68B1DB1-Normal8"/>
              <w:spacing w:after="0" w:line="240" w:lineRule="auto"/>
              <w:jc w:val="center"/>
              <w:rPr>
                <w:rFonts w:eastAsia="Times New Roman" w:cs="Calibri"/>
                <w:noProof/>
              </w:rPr>
            </w:pPr>
            <w:r>
              <w:rPr>
                <w:noProof/>
              </w:rPr>
              <w:t>Dodatna inštalirana zmogljivost za proizvodnjo vodne energije</w:t>
            </w:r>
          </w:p>
        </w:tc>
        <w:tc>
          <w:tcPr>
            <w:tcW w:w="1275" w:type="dxa"/>
            <w:shd w:val="clear" w:color="auto" w:fill="C4EFCE"/>
            <w:noWrap/>
            <w:vAlign w:val="center"/>
            <w:hideMark/>
          </w:tcPr>
          <w:p w14:paraId="40B8E317"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FECCD3D"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A8A5583"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7FF267A" w14:textId="77777777" w:rsidR="00F24946" w:rsidRDefault="00613B06">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127416C0" w14:textId="4F16624E"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0A99841E" w14:textId="28C62021"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E6E2780" w14:textId="77777777" w:rsidR="00F24946" w:rsidRDefault="00613B06">
            <w:pPr>
              <w:pStyle w:val="P68B1DB1-Normal8"/>
              <w:spacing w:after="0" w:line="240" w:lineRule="auto"/>
              <w:jc w:val="both"/>
              <w:rPr>
                <w:rFonts w:eastAsia="Times New Roman" w:cs="Calibri"/>
                <w:noProof/>
              </w:rPr>
            </w:pPr>
            <w:r>
              <w:rPr>
                <w:noProof/>
              </w:rPr>
              <w:t xml:space="preserve">Povečanje inštalirane električne zmogljivosti v prenovljeni vodni hidroelektrarni Serra. </w:t>
            </w:r>
          </w:p>
        </w:tc>
      </w:tr>
      <w:tr w:rsidR="00F24946" w14:paraId="0D7AA8AD" w14:textId="77777777">
        <w:trPr>
          <w:trHeight w:val="290"/>
        </w:trPr>
        <w:tc>
          <w:tcPr>
            <w:tcW w:w="1135" w:type="dxa"/>
            <w:shd w:val="clear" w:color="auto" w:fill="C4EFCE"/>
            <w:vAlign w:val="center"/>
            <w:hideMark/>
          </w:tcPr>
          <w:p w14:paraId="2465C29C" w14:textId="77777777" w:rsidR="00F24946" w:rsidRDefault="00613B06">
            <w:pPr>
              <w:pStyle w:val="P68B1DB1-Normal7"/>
              <w:spacing w:after="0" w:line="240" w:lineRule="auto"/>
              <w:jc w:val="center"/>
              <w:rPr>
                <w:rFonts w:eastAsia="Times New Roman" w:cs="Calibri"/>
                <w:noProof/>
              </w:rPr>
            </w:pPr>
            <w:r>
              <w:rPr>
                <w:noProof/>
              </w:rPr>
              <w:t>14.6</w:t>
            </w:r>
          </w:p>
        </w:tc>
        <w:tc>
          <w:tcPr>
            <w:tcW w:w="1276" w:type="dxa"/>
            <w:shd w:val="clear" w:color="auto" w:fill="C4EFCE"/>
            <w:noWrap/>
            <w:vAlign w:val="center"/>
            <w:hideMark/>
          </w:tcPr>
          <w:p w14:paraId="6EE7AE84"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491EE19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0C1E7A0" w14:textId="77777777" w:rsidR="00F24946" w:rsidRDefault="00613B06">
            <w:pPr>
              <w:pStyle w:val="P68B1DB1-Normal8"/>
              <w:spacing w:after="0" w:line="240" w:lineRule="auto"/>
              <w:jc w:val="center"/>
              <w:rPr>
                <w:rFonts w:eastAsia="Times New Roman" w:cs="Calibri"/>
                <w:noProof/>
              </w:rPr>
            </w:pPr>
            <w:r>
              <w:rPr>
                <w:noProof/>
              </w:rPr>
              <w:t>Obnovljena inštalirana proizvodna zmogljivost hidroelektrarn</w:t>
            </w:r>
          </w:p>
        </w:tc>
        <w:tc>
          <w:tcPr>
            <w:tcW w:w="1275" w:type="dxa"/>
            <w:shd w:val="clear" w:color="auto" w:fill="C4EFCE"/>
            <w:noWrap/>
            <w:vAlign w:val="center"/>
            <w:hideMark/>
          </w:tcPr>
          <w:p w14:paraId="69DFC9AD"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48E8E9"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D1BFE2D"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05F2BB6C" w14:textId="77777777" w:rsidR="00F24946" w:rsidRDefault="00613B06">
            <w:pPr>
              <w:pStyle w:val="P68B1DB1-Normal8"/>
              <w:spacing w:after="0" w:line="240" w:lineRule="auto"/>
              <w:jc w:val="center"/>
              <w:rPr>
                <w:rFonts w:eastAsia="Times New Roman" w:cs="Calibri"/>
                <w:noProof/>
              </w:rPr>
            </w:pPr>
            <w:r>
              <w:rPr>
                <w:noProof/>
              </w:rPr>
              <w:t>6,2</w:t>
            </w:r>
          </w:p>
        </w:tc>
        <w:tc>
          <w:tcPr>
            <w:tcW w:w="567" w:type="dxa"/>
            <w:shd w:val="clear" w:color="auto" w:fill="C4EFCE"/>
            <w:noWrap/>
            <w:vAlign w:val="center"/>
            <w:hideMark/>
          </w:tcPr>
          <w:p w14:paraId="4C0CE51E"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5BE834C"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62CFB3E" w14:textId="77777777" w:rsidR="00F24946" w:rsidRDefault="00613B06">
            <w:pPr>
              <w:pStyle w:val="P68B1DB1-Normal8"/>
              <w:spacing w:after="0" w:line="240" w:lineRule="auto"/>
              <w:jc w:val="both"/>
              <w:rPr>
                <w:rFonts w:eastAsia="Times New Roman" w:cs="Calibri"/>
                <w:noProof/>
              </w:rPr>
            </w:pPr>
            <w:r>
              <w:rPr>
                <w:noProof/>
              </w:rPr>
              <w:t xml:space="preserve">Popolno prenovo naslednjih hidroelektrarn: </w:t>
            </w:r>
          </w:p>
          <w:p w14:paraId="28A4644B" w14:textId="77777777" w:rsidR="00F24946" w:rsidRDefault="00613B06">
            <w:pPr>
              <w:pStyle w:val="P68B1DB1-Normal8"/>
              <w:spacing w:after="0" w:line="240" w:lineRule="auto"/>
              <w:jc w:val="both"/>
              <w:rPr>
                <w:rFonts w:eastAsia="Times New Roman" w:cs="Calibri"/>
                <w:noProof/>
              </w:rPr>
            </w:pPr>
            <w:r>
              <w:rPr>
                <w:noProof/>
              </w:rPr>
              <w:t xml:space="preserve">Hidroelektrarna vodne Serre: zamenjava in nadgradnja električne in mehanske opreme, vzdrževanje samo stavbe. </w:t>
            </w:r>
          </w:p>
          <w:p w14:paraId="18BFB475" w14:textId="2EB31E76" w:rsidR="00F24946" w:rsidRDefault="00613B06">
            <w:pPr>
              <w:pStyle w:val="P68B1DB1-Normal8"/>
              <w:spacing w:after="0" w:line="240" w:lineRule="auto"/>
              <w:jc w:val="both"/>
              <w:rPr>
                <w:rFonts w:eastAsia="Times New Roman" w:cs="Calibri"/>
                <w:noProof/>
              </w:rPr>
            </w:pPr>
            <w:r>
              <w:rPr>
                <w:noProof/>
              </w:rPr>
              <w:t>Hidroelektrarna Calheta I: zamenjava večine sredstev, zlasti dveh proizvodnih sklopov z zmogljivostjo 0,5 MW in drugih električnih sistemov, razen stavbe. Dela vključujejo tudi obnovo kanalov, ki vodijo do elektrarne, za skupno dolžino približno 13 km.</w:t>
            </w:r>
          </w:p>
        </w:tc>
      </w:tr>
      <w:tr w:rsidR="00F24946" w14:paraId="6E33C52D" w14:textId="77777777">
        <w:trPr>
          <w:trHeight w:val="290"/>
        </w:trPr>
        <w:tc>
          <w:tcPr>
            <w:tcW w:w="1135" w:type="dxa"/>
            <w:shd w:val="clear" w:color="auto" w:fill="C4EFCE"/>
            <w:vAlign w:val="center"/>
            <w:hideMark/>
          </w:tcPr>
          <w:p w14:paraId="40BC8F13" w14:textId="77777777" w:rsidR="00F24946" w:rsidRDefault="00613B06">
            <w:pPr>
              <w:pStyle w:val="P68B1DB1-Normal7"/>
              <w:spacing w:after="0" w:line="240" w:lineRule="auto"/>
              <w:jc w:val="center"/>
              <w:rPr>
                <w:rFonts w:eastAsia="Times New Roman" w:cs="Calibri"/>
                <w:noProof/>
              </w:rPr>
            </w:pPr>
            <w:r>
              <w:rPr>
                <w:noProof/>
              </w:rPr>
              <w:t>14.7</w:t>
            </w:r>
          </w:p>
        </w:tc>
        <w:tc>
          <w:tcPr>
            <w:tcW w:w="1276" w:type="dxa"/>
            <w:shd w:val="clear" w:color="auto" w:fill="C4EFCE"/>
            <w:noWrap/>
            <w:vAlign w:val="center"/>
            <w:hideMark/>
          </w:tcPr>
          <w:p w14:paraId="1CC99350"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7C251B82"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69D33F4" w14:textId="77777777" w:rsidR="00F24946" w:rsidRDefault="00613B06">
            <w:pPr>
              <w:pStyle w:val="P68B1DB1-Normal8"/>
              <w:spacing w:after="0" w:line="240" w:lineRule="auto"/>
              <w:jc w:val="center"/>
              <w:rPr>
                <w:rFonts w:eastAsia="Times New Roman" w:cs="Calibri"/>
                <w:noProof/>
              </w:rPr>
            </w:pPr>
            <w:r>
              <w:rPr>
                <w:noProof/>
              </w:rPr>
              <w:t>Dodatna nameščena zmogljivost akumulatorskega sistema za shranjevanje</w:t>
            </w:r>
          </w:p>
        </w:tc>
        <w:tc>
          <w:tcPr>
            <w:tcW w:w="1275" w:type="dxa"/>
            <w:shd w:val="clear" w:color="auto" w:fill="C4EFCE"/>
            <w:noWrap/>
            <w:vAlign w:val="center"/>
            <w:hideMark/>
          </w:tcPr>
          <w:p w14:paraId="47DED681"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AD7FBEA"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5AE80CCF"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3404202" w14:textId="77777777" w:rsidR="00F24946" w:rsidRDefault="00613B06">
            <w:pPr>
              <w:pStyle w:val="P68B1DB1-Normal8"/>
              <w:spacing w:after="0" w:line="240" w:lineRule="auto"/>
              <w:jc w:val="center"/>
              <w:rPr>
                <w:rFonts w:eastAsia="Times New Roman" w:cs="Calibri"/>
                <w:noProof/>
              </w:rPr>
            </w:pPr>
            <w:r>
              <w:rPr>
                <w:noProof/>
              </w:rPr>
              <w:t>21</w:t>
            </w:r>
          </w:p>
        </w:tc>
        <w:tc>
          <w:tcPr>
            <w:tcW w:w="567" w:type="dxa"/>
            <w:shd w:val="clear" w:color="auto" w:fill="C4EFCE"/>
            <w:noWrap/>
            <w:vAlign w:val="center"/>
            <w:hideMark/>
          </w:tcPr>
          <w:p w14:paraId="23311448"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CE3C18F"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508188D" w14:textId="77777777" w:rsidR="00F24946" w:rsidRDefault="00613B06">
            <w:pPr>
              <w:pStyle w:val="P68B1DB1-Normal8"/>
              <w:spacing w:after="0" w:line="240" w:lineRule="auto"/>
              <w:jc w:val="both"/>
              <w:rPr>
                <w:rFonts w:eastAsia="Times New Roman" w:cs="Calibri"/>
                <w:noProof/>
              </w:rPr>
            </w:pPr>
            <w:r>
              <w:rPr>
                <w:noProof/>
              </w:rPr>
              <w:t xml:space="preserve">Povečanje shranjevanja električne energije z dodajanjem nameščene zmogljivosti v akumulatorskih sistemih. </w:t>
            </w:r>
          </w:p>
          <w:p w14:paraId="388555A7" w14:textId="00D42124" w:rsidR="00F24946" w:rsidRDefault="00613B06">
            <w:pPr>
              <w:pStyle w:val="P68B1DB1-Normal8"/>
              <w:spacing w:after="0" w:line="240" w:lineRule="auto"/>
              <w:jc w:val="both"/>
              <w:rPr>
                <w:rFonts w:eastAsia="Times New Roman" w:cs="Calibri"/>
                <w:noProof/>
              </w:rPr>
            </w:pPr>
            <w:r>
              <w:rPr>
                <w:noProof/>
              </w:rPr>
              <w:t>Dodana zmogljivost je za vsaj 21 MW/27 MWh</w:t>
            </w:r>
          </w:p>
        </w:tc>
      </w:tr>
      <w:tr w:rsidR="00F24946" w14:paraId="1948699A" w14:textId="77777777">
        <w:trPr>
          <w:trHeight w:val="430"/>
        </w:trPr>
        <w:tc>
          <w:tcPr>
            <w:tcW w:w="1135" w:type="dxa"/>
            <w:shd w:val="clear" w:color="auto" w:fill="C4EFCE"/>
            <w:vAlign w:val="center"/>
            <w:hideMark/>
          </w:tcPr>
          <w:p w14:paraId="2C554E92" w14:textId="77777777" w:rsidR="00F24946" w:rsidRDefault="00613B06">
            <w:pPr>
              <w:pStyle w:val="P68B1DB1-Normal7"/>
              <w:spacing w:after="0" w:line="240" w:lineRule="auto"/>
              <w:jc w:val="center"/>
              <w:rPr>
                <w:rFonts w:eastAsia="Times New Roman" w:cs="Calibri"/>
                <w:noProof/>
              </w:rPr>
            </w:pPr>
            <w:r>
              <w:rPr>
                <w:noProof/>
              </w:rPr>
              <w:t>14.8</w:t>
            </w:r>
          </w:p>
        </w:tc>
        <w:tc>
          <w:tcPr>
            <w:tcW w:w="1276" w:type="dxa"/>
            <w:shd w:val="clear" w:color="auto" w:fill="C4EFCE"/>
            <w:noWrap/>
            <w:vAlign w:val="center"/>
            <w:hideMark/>
          </w:tcPr>
          <w:p w14:paraId="5FB40C15"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94061B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5F07188" w14:textId="77777777" w:rsidR="00F24946" w:rsidRDefault="00613B06">
            <w:pPr>
              <w:pStyle w:val="P68B1DB1-Normal8"/>
              <w:spacing w:after="0" w:line="240" w:lineRule="auto"/>
              <w:jc w:val="center"/>
              <w:rPr>
                <w:rFonts w:eastAsia="Times New Roman" w:cs="Calibri"/>
                <w:noProof/>
              </w:rPr>
            </w:pPr>
            <w:r>
              <w:rPr>
                <w:noProof/>
              </w:rPr>
              <w:t>Dodatna zmogljivost za vključitev nove inštalirane električne energije v elektroenergetski sistem</w:t>
            </w:r>
          </w:p>
        </w:tc>
        <w:tc>
          <w:tcPr>
            <w:tcW w:w="1275" w:type="dxa"/>
            <w:shd w:val="clear" w:color="auto" w:fill="C4EFCE"/>
            <w:noWrap/>
            <w:vAlign w:val="center"/>
            <w:hideMark/>
          </w:tcPr>
          <w:p w14:paraId="04404B06"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18AC5C6"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33D2174B"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DD47456" w14:textId="77777777" w:rsidR="00F24946" w:rsidRDefault="00613B06">
            <w:pPr>
              <w:pStyle w:val="P68B1DB1-Normal8"/>
              <w:spacing w:after="0" w:line="240" w:lineRule="auto"/>
              <w:jc w:val="center"/>
              <w:rPr>
                <w:rFonts w:eastAsia="Times New Roman" w:cs="Calibri"/>
                <w:noProof/>
              </w:rPr>
            </w:pPr>
            <w:r>
              <w:rPr>
                <w:noProof/>
              </w:rPr>
              <w:t>48</w:t>
            </w:r>
          </w:p>
        </w:tc>
        <w:tc>
          <w:tcPr>
            <w:tcW w:w="567" w:type="dxa"/>
            <w:shd w:val="clear" w:color="auto" w:fill="C4EFCE"/>
            <w:noWrap/>
            <w:vAlign w:val="center"/>
            <w:hideMark/>
          </w:tcPr>
          <w:p w14:paraId="7A7FC3C8" w14:textId="77777777"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1286C6DF"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7880C30" w14:textId="53A5D4C2" w:rsidR="00F24946" w:rsidRDefault="00613B06">
            <w:pPr>
              <w:pStyle w:val="P68B1DB1-Normal8"/>
              <w:spacing w:after="0" w:line="240" w:lineRule="auto"/>
              <w:jc w:val="both"/>
              <w:rPr>
                <w:rFonts w:eastAsia="Times New Roman" w:cs="Calibri"/>
                <w:noProof/>
              </w:rPr>
            </w:pPr>
            <w:r>
              <w:rPr>
                <w:noProof/>
              </w:rPr>
              <w:t>Povečanje zmogljivosti za vključevanje obnovljivih virov energije v elektroenergetski sistem ARM. Nadgradnja znaša 8 MW v Portu Santu in 40 MW na Madeiri.</w:t>
            </w:r>
          </w:p>
        </w:tc>
      </w:tr>
      <w:tr w:rsidR="00F24946" w14:paraId="7777E58F" w14:textId="77777777">
        <w:trPr>
          <w:trHeight w:val="430"/>
        </w:trPr>
        <w:tc>
          <w:tcPr>
            <w:tcW w:w="1135" w:type="dxa"/>
            <w:shd w:val="clear" w:color="auto" w:fill="C4EFCE"/>
            <w:vAlign w:val="center"/>
            <w:hideMark/>
          </w:tcPr>
          <w:p w14:paraId="0A07FC76" w14:textId="77777777" w:rsidR="00F24946" w:rsidRDefault="00613B06">
            <w:pPr>
              <w:pStyle w:val="P68B1DB1-Normal7"/>
              <w:spacing w:after="0" w:line="240" w:lineRule="auto"/>
              <w:jc w:val="center"/>
              <w:rPr>
                <w:rFonts w:eastAsia="Times New Roman" w:cs="Calibri"/>
                <w:noProof/>
              </w:rPr>
            </w:pPr>
            <w:r>
              <w:rPr>
                <w:noProof/>
              </w:rPr>
              <w:t>14.9</w:t>
            </w:r>
          </w:p>
        </w:tc>
        <w:tc>
          <w:tcPr>
            <w:tcW w:w="1276" w:type="dxa"/>
            <w:shd w:val="clear" w:color="auto" w:fill="C4EFCE"/>
            <w:noWrap/>
            <w:vAlign w:val="center"/>
            <w:hideMark/>
          </w:tcPr>
          <w:p w14:paraId="6F6CE13A"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3F096E46"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D8452D" w14:textId="77777777" w:rsidR="00F24946" w:rsidRDefault="00613B06">
            <w:pPr>
              <w:pStyle w:val="P68B1DB1-Normal8"/>
              <w:spacing w:after="0" w:line="240" w:lineRule="auto"/>
              <w:jc w:val="center"/>
              <w:rPr>
                <w:rFonts w:eastAsia="Times New Roman" w:cs="Calibri"/>
                <w:noProof/>
              </w:rPr>
            </w:pPr>
            <w:r>
              <w:rPr>
                <w:noProof/>
              </w:rPr>
              <w:t xml:space="preserve">Namestitev pametnih števcev </w:t>
            </w:r>
          </w:p>
        </w:tc>
        <w:tc>
          <w:tcPr>
            <w:tcW w:w="1275" w:type="dxa"/>
            <w:shd w:val="clear" w:color="auto" w:fill="C4EFCE"/>
            <w:noWrap/>
            <w:vAlign w:val="center"/>
            <w:hideMark/>
          </w:tcPr>
          <w:p w14:paraId="6EE2AFB4"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97B7CDD"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6171D01F"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64A2B0C" w14:textId="53CB6B01" w:rsidR="00F24946" w:rsidRDefault="00613B06">
            <w:pPr>
              <w:pStyle w:val="P68B1DB1-Normal8"/>
              <w:spacing w:after="0" w:line="240" w:lineRule="auto"/>
              <w:jc w:val="center"/>
              <w:rPr>
                <w:rFonts w:eastAsia="Times New Roman" w:cs="Calibri"/>
                <w:noProof/>
              </w:rPr>
            </w:pPr>
            <w:r>
              <w:rPr>
                <w:noProof/>
              </w:rPr>
              <w:t>130 000</w:t>
            </w:r>
          </w:p>
        </w:tc>
        <w:tc>
          <w:tcPr>
            <w:tcW w:w="567" w:type="dxa"/>
            <w:shd w:val="clear" w:color="auto" w:fill="C4EFCE"/>
            <w:noWrap/>
            <w:vAlign w:val="center"/>
            <w:hideMark/>
          </w:tcPr>
          <w:p w14:paraId="466259E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461EE381"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A0AB2BE" w14:textId="77777777" w:rsidR="00F24946" w:rsidRDefault="00613B06">
            <w:pPr>
              <w:pStyle w:val="P68B1DB1-Normal8"/>
              <w:spacing w:after="0" w:line="240" w:lineRule="auto"/>
              <w:jc w:val="both"/>
              <w:rPr>
                <w:rFonts w:eastAsia="Times New Roman" w:cs="Calibri"/>
                <w:noProof/>
              </w:rPr>
            </w:pPr>
            <w:r>
              <w:rPr>
                <w:noProof/>
              </w:rPr>
              <w:t>Zagotavljanje in namestitev novih pametnih števcev (številnikov električne energije, ki beležijo podatke o porabi in so povezani s komunikacijskim omrežjem)</w:t>
            </w:r>
          </w:p>
        </w:tc>
      </w:tr>
      <w:tr w:rsidR="00F24946" w14:paraId="085247C8" w14:textId="77777777">
        <w:trPr>
          <w:trHeight w:val="300"/>
        </w:trPr>
        <w:tc>
          <w:tcPr>
            <w:tcW w:w="1135" w:type="dxa"/>
            <w:shd w:val="clear" w:color="auto" w:fill="C4EFCE"/>
            <w:vAlign w:val="center"/>
            <w:hideMark/>
          </w:tcPr>
          <w:p w14:paraId="4DAE842D" w14:textId="77777777" w:rsidR="00F24946" w:rsidRDefault="00613B06">
            <w:pPr>
              <w:pStyle w:val="P68B1DB1-Normal7"/>
              <w:spacing w:after="0" w:line="240" w:lineRule="auto"/>
              <w:jc w:val="center"/>
              <w:rPr>
                <w:rFonts w:eastAsia="Times New Roman" w:cs="Calibri"/>
                <w:noProof/>
              </w:rPr>
            </w:pPr>
            <w:r>
              <w:rPr>
                <w:noProof/>
              </w:rPr>
              <w:t>14.10</w:t>
            </w:r>
          </w:p>
        </w:tc>
        <w:tc>
          <w:tcPr>
            <w:tcW w:w="1276" w:type="dxa"/>
            <w:shd w:val="clear" w:color="auto" w:fill="C4EFCE"/>
            <w:noWrap/>
            <w:vAlign w:val="center"/>
            <w:hideMark/>
          </w:tcPr>
          <w:p w14:paraId="3B119B79" w14:textId="77777777" w:rsidR="00F24946" w:rsidRDefault="00613B06">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2D8644BA"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3077042" w14:textId="77777777" w:rsidR="00F24946" w:rsidRDefault="00613B06">
            <w:pPr>
              <w:pStyle w:val="P68B1DB1-Normal8"/>
              <w:spacing w:after="0" w:line="240" w:lineRule="auto"/>
              <w:jc w:val="center"/>
              <w:rPr>
                <w:rFonts w:eastAsia="Times New Roman" w:cs="Calibri"/>
                <w:noProof/>
              </w:rPr>
            </w:pPr>
            <w:r>
              <w:rPr>
                <w:noProof/>
              </w:rPr>
              <w:t xml:space="preserve">Zamenjava točk cestne razsvetljave </w:t>
            </w:r>
          </w:p>
        </w:tc>
        <w:tc>
          <w:tcPr>
            <w:tcW w:w="1275" w:type="dxa"/>
            <w:shd w:val="clear" w:color="auto" w:fill="C4EFCE"/>
            <w:noWrap/>
            <w:vAlign w:val="center"/>
            <w:hideMark/>
          </w:tcPr>
          <w:p w14:paraId="1F6A61E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3AB12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19AB4E5C"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5BE9D871" w14:textId="77777777" w:rsidR="00F24946" w:rsidRDefault="00613B06">
            <w:pPr>
              <w:pStyle w:val="P68B1DB1-Normal8"/>
              <w:spacing w:after="0" w:line="240" w:lineRule="auto"/>
              <w:jc w:val="center"/>
              <w:rPr>
                <w:rFonts w:eastAsia="Times New Roman" w:cs="Calibri"/>
                <w:noProof/>
              </w:rPr>
            </w:pPr>
            <w:r>
              <w:rPr>
                <w:noProof/>
              </w:rPr>
              <w:t>8 750</w:t>
            </w:r>
          </w:p>
        </w:tc>
        <w:tc>
          <w:tcPr>
            <w:tcW w:w="567" w:type="dxa"/>
            <w:shd w:val="clear" w:color="auto" w:fill="C4EFCE"/>
            <w:noWrap/>
            <w:vAlign w:val="center"/>
            <w:hideMark/>
          </w:tcPr>
          <w:p w14:paraId="352149A8"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9138D5E"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233918" w14:textId="77777777" w:rsidR="00F24946" w:rsidRDefault="00613B06">
            <w:pPr>
              <w:pStyle w:val="P68B1DB1-Normal8"/>
              <w:spacing w:after="0" w:line="240" w:lineRule="auto"/>
              <w:jc w:val="both"/>
              <w:rPr>
                <w:rFonts w:eastAsia="Times New Roman" w:cs="Calibri"/>
                <w:noProof/>
              </w:rPr>
            </w:pPr>
            <w:r>
              <w:rPr>
                <w:noProof/>
              </w:rPr>
              <w:t>Zamenjava omrežja javne razsvetljave z nizkoenergijsko razsvetljavo LED in njenim sistemom upravljanja</w:t>
            </w:r>
          </w:p>
        </w:tc>
      </w:tr>
      <w:tr w:rsidR="00F24946" w14:paraId="49C49B34" w14:textId="77777777">
        <w:trPr>
          <w:trHeight w:val="630"/>
        </w:trPr>
        <w:tc>
          <w:tcPr>
            <w:tcW w:w="1135" w:type="dxa"/>
            <w:shd w:val="clear" w:color="auto" w:fill="C4EFCE"/>
            <w:vAlign w:val="center"/>
            <w:hideMark/>
          </w:tcPr>
          <w:p w14:paraId="57987303" w14:textId="77777777" w:rsidR="00F24946" w:rsidRDefault="00613B06">
            <w:pPr>
              <w:pStyle w:val="P68B1DB1-Normal7"/>
              <w:spacing w:after="0" w:line="240" w:lineRule="auto"/>
              <w:jc w:val="center"/>
              <w:rPr>
                <w:rFonts w:eastAsia="Times New Roman" w:cs="Calibri"/>
                <w:noProof/>
              </w:rPr>
            </w:pPr>
            <w:r>
              <w:rPr>
                <w:noProof/>
              </w:rPr>
              <w:t>14.11</w:t>
            </w:r>
          </w:p>
        </w:tc>
        <w:tc>
          <w:tcPr>
            <w:tcW w:w="1276" w:type="dxa"/>
            <w:shd w:val="clear" w:color="auto" w:fill="C4EFCE"/>
            <w:noWrap/>
            <w:vAlign w:val="center"/>
            <w:hideMark/>
          </w:tcPr>
          <w:p w14:paraId="0E810C24" w14:textId="77777777" w:rsidR="00F24946" w:rsidRDefault="00613B06">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07BB7096"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CDAE41D" w14:textId="77777777" w:rsidR="00F24946" w:rsidRDefault="00613B06">
            <w:pPr>
              <w:pStyle w:val="P68B1DB1-Normal8"/>
              <w:spacing w:after="0" w:line="240" w:lineRule="auto"/>
              <w:jc w:val="center"/>
              <w:rPr>
                <w:rFonts w:eastAsia="Times New Roman" w:cs="Calibri"/>
                <w:noProof/>
              </w:rPr>
            </w:pPr>
            <w:r>
              <w:rPr>
                <w:noProof/>
              </w:rPr>
              <w:t>Dodatna in obnovljena inštalirana geotermalna proizvodna zmogljivost</w:t>
            </w:r>
          </w:p>
        </w:tc>
        <w:tc>
          <w:tcPr>
            <w:tcW w:w="1275" w:type="dxa"/>
            <w:shd w:val="clear" w:color="auto" w:fill="C4EFCE"/>
            <w:noWrap/>
            <w:vAlign w:val="center"/>
            <w:hideMark/>
          </w:tcPr>
          <w:p w14:paraId="346DFA29"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22D7A0"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25B70213"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8D74A92" w14:textId="77777777" w:rsidR="00F24946" w:rsidRDefault="00613B06">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7654C1AA" w14:textId="3DD4D71C"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2C969610" w14:textId="294D2D88"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615578BD" w14:textId="77777777" w:rsidR="00F24946" w:rsidRDefault="00613B06">
            <w:pPr>
              <w:pStyle w:val="P68B1DB1-Normal8"/>
              <w:spacing w:after="0" w:line="240" w:lineRule="auto"/>
              <w:jc w:val="both"/>
              <w:rPr>
                <w:rFonts w:eastAsia="Times New Roman" w:cs="Calibri"/>
                <w:noProof/>
              </w:rPr>
            </w:pPr>
            <w:r>
              <w:rPr>
                <w:noProof/>
              </w:rPr>
              <w:t xml:space="preserve">Povečanje zmogljivosti za proizvodnjo električne energije iz obnovljivih virov, zlasti geotermalne energije. Dodatna zmogljivost (12 MW) se namesti v geotermalni obrat Pico Alto in geotermalni obrat Pico Vermelho. </w:t>
            </w:r>
          </w:p>
          <w:p w14:paraId="2807AEAB" w14:textId="570B2349" w:rsidR="00F24946" w:rsidRDefault="00613B06">
            <w:pPr>
              <w:pStyle w:val="P68B1DB1-Normal8"/>
              <w:spacing w:after="0" w:line="240" w:lineRule="auto"/>
              <w:jc w:val="both"/>
              <w:rPr>
                <w:rFonts w:eastAsia="Times New Roman" w:cs="Calibri"/>
                <w:noProof/>
              </w:rPr>
            </w:pPr>
            <w:r>
              <w:rPr>
                <w:noProof/>
              </w:rPr>
              <w:t>S prenovo geotermalne elektrarne Ribeira Grande se vzpostavijo tri nove geotermalne vrtine, učinkovitejša proizvodna enota z močjo 5 MW pa nadomesti obstoječe proizvodne enote 2 x 2,5 MW.</w:t>
            </w:r>
          </w:p>
        </w:tc>
      </w:tr>
      <w:tr w:rsidR="00F24946" w14:paraId="6EB81417" w14:textId="77777777">
        <w:trPr>
          <w:trHeight w:val="430"/>
        </w:trPr>
        <w:tc>
          <w:tcPr>
            <w:tcW w:w="1135" w:type="dxa"/>
            <w:shd w:val="clear" w:color="auto" w:fill="C4EFCE"/>
            <w:vAlign w:val="center"/>
            <w:hideMark/>
          </w:tcPr>
          <w:p w14:paraId="3405F6EB" w14:textId="77777777" w:rsidR="00F24946" w:rsidRDefault="00613B06">
            <w:pPr>
              <w:pStyle w:val="P68B1DB1-Normal7"/>
              <w:spacing w:after="0" w:line="240" w:lineRule="auto"/>
              <w:jc w:val="center"/>
              <w:rPr>
                <w:rFonts w:eastAsia="Times New Roman" w:cs="Calibri"/>
                <w:noProof/>
              </w:rPr>
            </w:pPr>
            <w:r>
              <w:rPr>
                <w:noProof/>
              </w:rPr>
              <w:t>14.12</w:t>
            </w:r>
          </w:p>
        </w:tc>
        <w:tc>
          <w:tcPr>
            <w:tcW w:w="1276" w:type="dxa"/>
            <w:shd w:val="clear" w:color="auto" w:fill="C4EFCE"/>
            <w:noWrap/>
            <w:vAlign w:val="center"/>
            <w:hideMark/>
          </w:tcPr>
          <w:p w14:paraId="63DE5821" w14:textId="77777777" w:rsidR="00F24946" w:rsidRDefault="00613B06">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63E7E41F"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2755F2" w14:textId="77777777" w:rsidR="00F24946" w:rsidRDefault="00613B06">
            <w:pPr>
              <w:pStyle w:val="P68B1DB1-Normal8"/>
              <w:spacing w:after="0" w:line="240" w:lineRule="auto"/>
              <w:jc w:val="center"/>
              <w:rPr>
                <w:rFonts w:eastAsia="Times New Roman" w:cs="Calibri"/>
                <w:noProof/>
              </w:rPr>
            </w:pPr>
            <w:r>
              <w:rPr>
                <w:noProof/>
              </w:rPr>
              <w:t>Dodatna proizvodnja električne energije iz obnovljivih virov v Corvu</w:t>
            </w:r>
          </w:p>
        </w:tc>
        <w:tc>
          <w:tcPr>
            <w:tcW w:w="1275" w:type="dxa"/>
            <w:shd w:val="clear" w:color="auto" w:fill="C4EFCE"/>
            <w:noWrap/>
            <w:vAlign w:val="center"/>
            <w:hideMark/>
          </w:tcPr>
          <w:p w14:paraId="4A191934"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FE8B622" w14:textId="77777777" w:rsidR="00F24946" w:rsidRDefault="00613B06">
            <w:pPr>
              <w:pStyle w:val="P68B1DB1-Normal8"/>
              <w:spacing w:after="0" w:line="240" w:lineRule="auto"/>
              <w:jc w:val="center"/>
              <w:rPr>
                <w:rFonts w:eastAsia="Times New Roman" w:cs="Calibri"/>
                <w:noProof/>
              </w:rPr>
            </w:pPr>
            <w:r>
              <w:rPr>
                <w:noProof/>
              </w:rPr>
              <w:t>kW</w:t>
            </w:r>
          </w:p>
        </w:tc>
        <w:tc>
          <w:tcPr>
            <w:tcW w:w="992" w:type="dxa"/>
            <w:shd w:val="clear" w:color="auto" w:fill="C4EFCE"/>
            <w:noWrap/>
            <w:vAlign w:val="center"/>
            <w:hideMark/>
          </w:tcPr>
          <w:p w14:paraId="5DA012D0"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0FE94F2" w14:textId="77777777" w:rsidR="00F24946" w:rsidRDefault="00613B06">
            <w:pPr>
              <w:pStyle w:val="P68B1DB1-Normal8"/>
              <w:spacing w:after="0" w:line="240" w:lineRule="auto"/>
              <w:jc w:val="center"/>
              <w:rPr>
                <w:rFonts w:eastAsia="Times New Roman" w:cs="Calibri"/>
                <w:noProof/>
              </w:rPr>
            </w:pPr>
            <w:r>
              <w:rPr>
                <w:noProof/>
              </w:rPr>
              <w:t>850</w:t>
            </w:r>
          </w:p>
        </w:tc>
        <w:tc>
          <w:tcPr>
            <w:tcW w:w="567" w:type="dxa"/>
            <w:shd w:val="clear" w:color="auto" w:fill="C4EFCE"/>
            <w:noWrap/>
            <w:vAlign w:val="center"/>
            <w:hideMark/>
          </w:tcPr>
          <w:p w14:paraId="21A4EA86" w14:textId="10D88483"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4EC5CBA7" w14:textId="5D6061B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522AF9F" w14:textId="5591984C" w:rsidR="00F24946" w:rsidRDefault="00613B06">
            <w:pPr>
              <w:pStyle w:val="P68B1DB1-Normal8"/>
              <w:spacing w:after="0" w:line="240" w:lineRule="auto"/>
              <w:jc w:val="both"/>
              <w:rPr>
                <w:rFonts w:eastAsia="Times New Roman" w:cs="Calibri"/>
                <w:noProof/>
              </w:rPr>
            </w:pPr>
            <w:r>
              <w:rPr>
                <w:noProof/>
              </w:rPr>
              <w:t>Povečanje inštalirane zmogljivosti za proizvodnjo električne energije iz obnovljivih virov na otoku Corvo z namestitvijo fotovoltaične in vetrne elektrarne.</w:t>
            </w:r>
          </w:p>
        </w:tc>
      </w:tr>
      <w:tr w:rsidR="00F24946" w14:paraId="4BF28A70" w14:textId="77777777">
        <w:trPr>
          <w:trHeight w:val="640"/>
        </w:trPr>
        <w:tc>
          <w:tcPr>
            <w:tcW w:w="1135" w:type="dxa"/>
            <w:shd w:val="clear" w:color="auto" w:fill="C4EFCE"/>
            <w:vAlign w:val="center"/>
            <w:hideMark/>
          </w:tcPr>
          <w:p w14:paraId="26E7B270" w14:textId="77777777" w:rsidR="00F24946" w:rsidRDefault="00613B06">
            <w:pPr>
              <w:pStyle w:val="P68B1DB1-Normal7"/>
              <w:spacing w:after="0" w:line="240" w:lineRule="auto"/>
              <w:jc w:val="center"/>
              <w:rPr>
                <w:rFonts w:eastAsia="Times New Roman" w:cs="Calibri"/>
                <w:noProof/>
              </w:rPr>
            </w:pPr>
            <w:r>
              <w:rPr>
                <w:noProof/>
              </w:rPr>
              <w:t>14.13</w:t>
            </w:r>
          </w:p>
        </w:tc>
        <w:tc>
          <w:tcPr>
            <w:tcW w:w="1276" w:type="dxa"/>
            <w:shd w:val="clear" w:color="auto" w:fill="C4EFCE"/>
            <w:noWrap/>
            <w:vAlign w:val="center"/>
            <w:hideMark/>
          </w:tcPr>
          <w:p w14:paraId="21B544BC" w14:textId="77777777" w:rsidR="00F24946" w:rsidRDefault="00613B06">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21AB62A"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5CB493E" w14:textId="77777777" w:rsidR="00F24946" w:rsidRDefault="00613B06">
            <w:pPr>
              <w:pStyle w:val="P68B1DB1-Normal8"/>
              <w:spacing w:after="0" w:line="240" w:lineRule="auto"/>
              <w:jc w:val="center"/>
              <w:rPr>
                <w:rFonts w:eastAsia="Times New Roman" w:cs="Calibri"/>
                <w:noProof/>
              </w:rPr>
            </w:pPr>
            <w:r>
              <w:rPr>
                <w:noProof/>
              </w:rPr>
              <w:t>Novi baterijski sistemi za shranjevanje energije in sistemi upravljanja z energijo v ARA</w:t>
            </w:r>
          </w:p>
        </w:tc>
        <w:tc>
          <w:tcPr>
            <w:tcW w:w="1275" w:type="dxa"/>
            <w:shd w:val="clear" w:color="auto" w:fill="C4EFCE"/>
            <w:noWrap/>
            <w:vAlign w:val="center"/>
            <w:hideMark/>
          </w:tcPr>
          <w:p w14:paraId="32C59D26"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22A9B89"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79DC3B8"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A6A215E" w14:textId="77777777" w:rsidR="00F24946" w:rsidRDefault="00613B06">
            <w:pPr>
              <w:pStyle w:val="P68B1DB1-Normal8"/>
              <w:spacing w:after="0" w:line="240" w:lineRule="auto"/>
              <w:jc w:val="center"/>
              <w:rPr>
                <w:rFonts w:eastAsia="Times New Roman" w:cs="Calibri"/>
                <w:noProof/>
              </w:rPr>
            </w:pPr>
            <w:r>
              <w:rPr>
                <w:noProof/>
              </w:rPr>
              <w:t>20</w:t>
            </w:r>
          </w:p>
        </w:tc>
        <w:tc>
          <w:tcPr>
            <w:tcW w:w="567" w:type="dxa"/>
            <w:shd w:val="clear" w:color="auto" w:fill="C4EFCE"/>
            <w:noWrap/>
            <w:vAlign w:val="center"/>
            <w:hideMark/>
          </w:tcPr>
          <w:p w14:paraId="748EDD79" w14:textId="4D8C8E40"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27D3725B" w14:textId="243A03A5" w:rsidR="00F24946" w:rsidRDefault="00613B06">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75D6C939" w14:textId="77777777" w:rsidR="00F24946" w:rsidRDefault="00613B06">
            <w:pPr>
              <w:pStyle w:val="P68B1DB1-Normal8"/>
              <w:spacing w:after="0" w:line="240" w:lineRule="auto"/>
              <w:jc w:val="both"/>
              <w:rPr>
                <w:rFonts w:eastAsia="Times New Roman" w:cs="Calibri"/>
                <w:noProof/>
              </w:rPr>
            </w:pPr>
            <w:r>
              <w:rPr>
                <w:noProof/>
              </w:rPr>
              <w:t>Namestitev novih baterijskih sistemov za shranjevanje energije in sistemov upravljanja z energijo na šestih otokih, da se omogoči večje vključevanje obnovljivih virov energije ob hkratnem zagotavljanju zanesljivosti oskrbe in kakovosti storitev z razponom moči med 20 MW in 30 MW skupaj. ·</w:t>
            </w:r>
          </w:p>
        </w:tc>
      </w:tr>
      <w:tr w:rsidR="00F24946" w14:paraId="1056362A" w14:textId="77777777">
        <w:trPr>
          <w:trHeight w:val="430"/>
        </w:trPr>
        <w:tc>
          <w:tcPr>
            <w:tcW w:w="1135" w:type="dxa"/>
            <w:shd w:val="clear" w:color="auto" w:fill="C4EFCE"/>
            <w:vAlign w:val="center"/>
            <w:hideMark/>
          </w:tcPr>
          <w:p w14:paraId="32B5D8E8" w14:textId="77777777" w:rsidR="00F24946" w:rsidRDefault="00613B06">
            <w:pPr>
              <w:pStyle w:val="P68B1DB1-Normal7"/>
              <w:spacing w:after="0" w:line="240" w:lineRule="auto"/>
              <w:jc w:val="center"/>
              <w:rPr>
                <w:rFonts w:eastAsia="Times New Roman" w:cs="Calibri"/>
                <w:noProof/>
              </w:rPr>
            </w:pPr>
            <w:r>
              <w:rPr>
                <w:noProof/>
              </w:rPr>
              <w:t>14.14</w:t>
            </w:r>
          </w:p>
        </w:tc>
        <w:tc>
          <w:tcPr>
            <w:tcW w:w="1276" w:type="dxa"/>
            <w:shd w:val="clear" w:color="auto" w:fill="C4EFCE"/>
            <w:noWrap/>
            <w:vAlign w:val="center"/>
            <w:hideMark/>
          </w:tcPr>
          <w:p w14:paraId="054F1D8B" w14:textId="77777777" w:rsidR="00F24946" w:rsidRDefault="00613B06">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72D082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9DC164" w14:textId="77777777" w:rsidR="00F24946" w:rsidRDefault="00613B06">
            <w:pPr>
              <w:pStyle w:val="P68B1DB1-Normal8"/>
              <w:spacing w:after="0" w:line="240" w:lineRule="auto"/>
              <w:jc w:val="center"/>
              <w:rPr>
                <w:rFonts w:eastAsia="Times New Roman" w:cs="Calibri"/>
                <w:noProof/>
              </w:rPr>
            </w:pPr>
            <w:r>
              <w:rPr>
                <w:noProof/>
              </w:rPr>
              <w:t>Namestitev majhnih fotonapetostnih elektrarn za lokalno proizvodnjo in porabo električne energije</w:t>
            </w:r>
          </w:p>
        </w:tc>
        <w:tc>
          <w:tcPr>
            <w:tcW w:w="1275" w:type="dxa"/>
            <w:shd w:val="clear" w:color="auto" w:fill="C4EFCE"/>
            <w:noWrap/>
            <w:vAlign w:val="center"/>
            <w:hideMark/>
          </w:tcPr>
          <w:p w14:paraId="3010E64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35F208A" w14:textId="77777777" w:rsidR="00F24946" w:rsidRDefault="00613B06">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43701371"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DA6B091" w14:textId="1611D817" w:rsidR="00F24946" w:rsidRDefault="00613B06">
            <w:pPr>
              <w:pStyle w:val="P68B1DB1-Normal8"/>
              <w:spacing w:after="0" w:line="240" w:lineRule="auto"/>
              <w:jc w:val="center"/>
              <w:rPr>
                <w:rFonts w:eastAsia="Times New Roman" w:cs="Calibri"/>
                <w:noProof/>
              </w:rPr>
            </w:pPr>
            <w:r>
              <w:rPr>
                <w:noProof/>
              </w:rPr>
              <w:t>11,2</w:t>
            </w:r>
          </w:p>
        </w:tc>
        <w:tc>
          <w:tcPr>
            <w:tcW w:w="567" w:type="dxa"/>
            <w:shd w:val="clear" w:color="auto" w:fill="C4EFCE"/>
            <w:noWrap/>
            <w:vAlign w:val="center"/>
            <w:hideMark/>
          </w:tcPr>
          <w:p w14:paraId="3ED06E56"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D25B3E7"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A739CE2" w14:textId="77777777" w:rsidR="00F24946" w:rsidRDefault="00613B06">
            <w:pPr>
              <w:pStyle w:val="P68B1DB1-Normal8"/>
              <w:spacing w:after="0" w:line="240" w:lineRule="auto"/>
              <w:jc w:val="both"/>
              <w:rPr>
                <w:rFonts w:eastAsia="Times New Roman" w:cs="Calibri"/>
                <w:noProof/>
              </w:rPr>
            </w:pPr>
            <w:r>
              <w:rPr>
                <w:noProof/>
              </w:rPr>
              <w:t>Namestitev novih inštaliranih zmogljivosti električne energije z vlaganjem v razpršene fotovoltaične naprave majhnih enot, predvsem za lastno porabo, pri čemer se predpostavlja, da upravičenci ne bodo sofinancirali.</w:t>
            </w:r>
          </w:p>
        </w:tc>
      </w:tr>
    </w:tbl>
    <w:p w14:paraId="5A094B69" w14:textId="77777777" w:rsidR="00F24946" w:rsidRDefault="00F24946">
      <w:pPr>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276"/>
          <w:headerReference w:type="default" r:id="rId277"/>
          <w:footerReference w:type="even" r:id="rId278"/>
          <w:footerReference w:type="default" r:id="rId279"/>
          <w:headerReference w:type="first" r:id="rId280"/>
          <w:footerReference w:type="first" r:id="rId281"/>
          <w:pgSz w:w="16839" w:h="11907" w:orient="landscape"/>
          <w:pgMar w:top="1134" w:right="1134" w:bottom="1134" w:left="1134" w:header="567" w:footer="567" w:gutter="0"/>
          <w:cols w:space="720"/>
          <w:docGrid w:linePitch="360"/>
        </w:sectPr>
      </w:pPr>
    </w:p>
    <w:p w14:paraId="319EDBBA" w14:textId="77777777" w:rsidR="00F24946" w:rsidRDefault="00613B06">
      <w:pPr>
        <w:pStyle w:val="P68B1DB1-Normal3"/>
        <w:keepNext/>
        <w:spacing w:before="40" w:after="0" w:line="259" w:lineRule="auto"/>
        <w:ind w:left="130" w:firstLine="720"/>
        <w:jc w:val="both"/>
        <w:outlineLvl w:val="1"/>
        <w:rPr>
          <w:rFonts w:eastAsiaTheme="minorEastAsia" w:cs="Times New Roman"/>
          <w:smallCaps/>
          <w:noProof/>
        </w:rPr>
      </w:pPr>
      <w:r>
        <w:rPr>
          <w:noProof/>
        </w:rPr>
        <w:t>O.</w:t>
      </w:r>
      <w:r>
        <w:rPr>
          <w:smallCaps/>
          <w:noProof/>
        </w:rPr>
        <w:t>KOMPONENTA  1</w:t>
      </w:r>
      <w:r>
        <w:rPr>
          <w:noProof/>
        </w:rPr>
        <w:t>5</w:t>
      </w:r>
      <w:r>
        <w:rPr>
          <w:smallCaps/>
          <w:noProof/>
        </w:rPr>
        <w:t>:</w:t>
      </w:r>
      <w:r>
        <w:rPr>
          <w:noProof/>
        </w:rPr>
        <w:t xml:space="preserve"> Trajnostna mobilnost </w:t>
      </w:r>
    </w:p>
    <w:p w14:paraId="36604D95" w14:textId="77777777" w:rsidR="00F24946" w:rsidRDefault="00613B06">
      <w:pPr>
        <w:pStyle w:val="P68B1DB1-Normal4"/>
        <w:spacing w:before="40" w:after="0" w:line="259" w:lineRule="auto"/>
        <w:jc w:val="both"/>
        <w:rPr>
          <w:rFonts w:eastAsiaTheme="minorEastAsia" w:cs="Times New Roman"/>
          <w:noProof/>
        </w:rPr>
      </w:pPr>
      <w:r>
        <w:rPr>
          <w:noProof/>
        </w:rPr>
        <w:t>Ta komponenta portugalskega načrta za okrevanje in odpornost obravnava več izzivov v prometnem sektorju: potreba po zmanjšanju emisij toplogrednih plinov in onesnaževal, potreba po zmanjšanju odvisnosti od osebnega avtomobila in potreba po zagotavljanju boljše socialne kohezije na mestnih območjih.</w:t>
      </w:r>
    </w:p>
    <w:p w14:paraId="278D0CE5" w14:textId="77777777" w:rsidR="00F24946" w:rsidRDefault="00613B06">
      <w:pPr>
        <w:pStyle w:val="P68B1DB1-Normal4"/>
        <w:spacing w:before="40" w:after="0" w:line="259" w:lineRule="auto"/>
        <w:jc w:val="both"/>
        <w:rPr>
          <w:rFonts w:eastAsiaTheme="minorEastAsia" w:cs="Times New Roman"/>
          <w:noProof/>
        </w:rPr>
      </w:pPr>
      <w:r>
        <w:rPr>
          <w:noProof/>
        </w:rPr>
        <w:t xml:space="preserve">Cilj te komponente je zmanjšati emisije in okrepiti javni prevoz z razširitvijo omrežja, povečanjem njegove dostopnosti in krepitvijo zmogljivosti za načrtovanje javnega prevoza. Pričakuje se, da bo to privedlo do večjega števila uporabnikov javnega prevoza, spodbudilo prehod z zasebnih avtomobilov na javni prevoz ter spodbudilo boljše upravljanje prometa in zmogljivosti načrtovanja. V ta namen ta element sestavljajo reforme in naložbe, ki spodbujajo trajnostni javni prevoz z razširitvijo podzemne železnice v Lizboni in Portu, izgradnjo sistema lahke železnice v Lizboni, hitrim avtobusnim tranzitnim sistemom v Portu in nakupom brezemisijskih avtobusov za javni prevoz. </w:t>
      </w:r>
    </w:p>
    <w:p w14:paraId="693476C5" w14:textId="77777777" w:rsidR="00F24946" w:rsidRDefault="00613B06">
      <w:pPr>
        <w:pStyle w:val="P68B1DB1-Normal4"/>
        <w:spacing w:before="40" w:after="0" w:line="259" w:lineRule="auto"/>
        <w:jc w:val="both"/>
        <w:rPr>
          <w:rFonts w:eastAsiaTheme="minorEastAsia" w:cs="Times New Roman"/>
          <w:noProof/>
        </w:rPr>
      </w:pPr>
      <w:r>
        <w:rPr>
          <w:noProof/>
        </w:rPr>
        <w:t>Komponenta prispeva k obravnavi priporočila za posamezne države o osredotočanju naložb na zeleni prehod (priporočilo za posamezno državo št. 3 2020).</w:t>
      </w:r>
    </w:p>
    <w:p w14:paraId="1CBD4BA5" w14:textId="77777777" w:rsidR="00F24946" w:rsidRDefault="00613B06">
      <w:pPr>
        <w:pStyle w:val="P68B1DB1-Normal4"/>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250BB7E2" w14:textId="77777777" w:rsidR="00F24946" w:rsidRDefault="00F24946">
      <w:pPr>
        <w:spacing w:before="40" w:after="0" w:line="259" w:lineRule="auto"/>
        <w:jc w:val="both"/>
        <w:rPr>
          <w:rFonts w:ascii="Times New Roman" w:eastAsiaTheme="minorEastAsia" w:hAnsi="Times New Roman" w:cs="Times New Roman"/>
          <w:noProof/>
          <w:sz w:val="24"/>
        </w:rPr>
      </w:pPr>
    </w:p>
    <w:p w14:paraId="4D9A22C1" w14:textId="77777777" w:rsidR="00F24946" w:rsidRDefault="00613B06">
      <w:pPr>
        <w:pStyle w:val="P68B1DB1-Normal3"/>
        <w:spacing w:before="40" w:after="0" w:line="259" w:lineRule="auto"/>
        <w:ind w:left="130" w:firstLine="720"/>
        <w:jc w:val="both"/>
        <w:outlineLvl w:val="1"/>
        <w:rPr>
          <w:rFonts w:eastAsiaTheme="minorEastAsia" w:cs="Times New Roman"/>
          <w:i/>
          <w:noProof/>
        </w:rPr>
      </w:pPr>
      <w:r>
        <w:rPr>
          <w:noProof/>
        </w:rPr>
        <w:t xml:space="preserve">O.1. </w:t>
      </w:r>
      <w:r>
        <w:rPr>
          <w:noProof/>
        </w:rPr>
        <w:tab/>
        <w:t>Opis reform in naložb za nepovratno finančno podporo</w:t>
      </w:r>
    </w:p>
    <w:p w14:paraId="2D343529"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 xml:space="preserve">Reforma TC-r30: Reforma prometnega ekosistema </w:t>
      </w:r>
    </w:p>
    <w:p w14:paraId="46E820B7" w14:textId="77777777" w:rsidR="00F24946" w:rsidRDefault="00613B06">
      <w:pPr>
        <w:pStyle w:val="P68B1DB1-Normal4"/>
        <w:spacing w:before="40" w:after="0" w:line="259" w:lineRule="auto"/>
        <w:jc w:val="both"/>
        <w:rPr>
          <w:rFonts w:eastAsiaTheme="minorEastAsia" w:cs="Times New Roman"/>
          <w:noProof/>
        </w:rPr>
      </w:pPr>
      <w:r>
        <w:rPr>
          <w:noProof/>
        </w:rPr>
        <w:t>Cilj reforme je okrepiti organe javnega prevoza, njihove zmogljivosti in znanja ter tako povečati njihovo sposobnost za boljše načrtovanje prometnih sistemov, ki jih upravljajo, in povečati uporabo javnega prevoza. Spodbuja krepitev zmogljivosti organov javnega prevoza s podporo za nakup orodij za načrtovanje in upravljanje prometnih sistemov, novih digitalnih rešitev, ki olajšujejo uporabo javnega prevoza, ter podpore za posodobitev sistemov izdajanja vozovnic in spremljanje operacij. Organe za upravljanje prevoza podpira pri pripravi, sklenitvi in izvajanju pogodb o javnih storitvah potniškega prevoza na vseh metropolitanskih območjih (AM) in medobčinskih skupnostih (CIM) v skladu z Uredbo (ES) št. 1370/2007 Evropskega parlamenta in Sveta z dne 23. oktobra 2007 o javnih storitvah železniškega in cestnega potniškega prevoza ter o razveljavitvi uredb Sveta (EGS) št. 1191/69 in 1107/70. Izboljša pogoje dostopa do javnega prevoza z izvajanjem programov za znižane tarife (</w:t>
      </w:r>
      <w:r>
        <w:rPr>
          <w:i/>
          <w:noProof/>
        </w:rPr>
        <w:t>Programa de Apoio à Redução do Tarifário dos Transportes Públicos</w:t>
      </w:r>
      <w:r>
        <w:rPr>
          <w:noProof/>
        </w:rPr>
        <w:t>, PART) ter boljšimi in podnebju prijaznejšimi prevoznimi storitvami (</w:t>
      </w:r>
      <w:r>
        <w:rPr>
          <w:i/>
          <w:noProof/>
        </w:rPr>
        <w:t>Programa de Apoio à Densificação e Reforço da Oferta de Transporte Público</w:t>
      </w:r>
      <w:r>
        <w:rPr>
          <w:noProof/>
        </w:rPr>
        <w:t>, PROTransP) in izvajanjem davčnih ukrepov v korist uporabnikov javnega prevoza, kot je davčni odbitek davka na dodano vrednost, povezanega z nakupom mesečnih vozovnic za javni prevoz.</w:t>
      </w:r>
    </w:p>
    <w:p w14:paraId="523BD682" w14:textId="77777777" w:rsidR="00F24946" w:rsidRDefault="00613B06">
      <w:pPr>
        <w:pStyle w:val="P68B1DB1-Normal4"/>
        <w:spacing w:before="40" w:after="0" w:line="259" w:lineRule="auto"/>
        <w:jc w:val="both"/>
        <w:rPr>
          <w:rFonts w:eastAsiaTheme="minorEastAsia" w:cs="Times New Roman"/>
          <w:noProof/>
        </w:rPr>
      </w:pPr>
      <w:r>
        <w:rPr>
          <w:noProof/>
        </w:rPr>
        <w:t>Reforma se zaključi do 31. decembra 2023.</w:t>
      </w:r>
    </w:p>
    <w:p w14:paraId="5CA124BF" w14:textId="77777777" w:rsidR="00F24946" w:rsidRDefault="00613B06">
      <w:pPr>
        <w:pStyle w:val="P68B1DB1-Normal5"/>
        <w:widowControl w:val="0"/>
        <w:spacing w:before="240" w:after="0" w:line="259" w:lineRule="auto"/>
        <w:ind w:left="851"/>
        <w:jc w:val="both"/>
        <w:outlineLvl w:val="2"/>
        <w:rPr>
          <w:rFonts w:eastAsiaTheme="minorEastAsia" w:cs="Times New Roman"/>
          <w:noProof/>
        </w:rPr>
      </w:pPr>
      <w:r>
        <w:rPr>
          <w:noProof/>
        </w:rPr>
        <w:t xml:space="preserve">Naložba TC-C15-i01: Razširitev omrežja podzemne železnice v Lizboni – rdeča črta do Alcântara </w:t>
      </w:r>
    </w:p>
    <w:p w14:paraId="2D0BA654" w14:textId="77777777" w:rsidR="00F24946" w:rsidRDefault="00613B06">
      <w:pPr>
        <w:pStyle w:val="P68B1DB1-Normal4"/>
        <w:widowControl w:val="0"/>
        <w:spacing w:before="40" w:after="0" w:line="259" w:lineRule="auto"/>
        <w:jc w:val="both"/>
        <w:rPr>
          <w:rFonts w:eastAsiaTheme="minorEastAsia" w:cs="Times New Roman"/>
          <w:noProof/>
        </w:rPr>
      </w:pPr>
      <w:r>
        <w:rPr>
          <w:noProof/>
        </w:rPr>
        <w:t>Cilj ukrepa je povečati privlačnost javnega prevoza v Lizboni in privabiti več uporabnikov s širitvijo omrežja podzemne železnice.</w:t>
      </w:r>
    </w:p>
    <w:p w14:paraId="32F8B06B" w14:textId="77777777" w:rsidR="00F24946" w:rsidRDefault="00613B06">
      <w:pPr>
        <w:pStyle w:val="P68B1DB1-Normal4"/>
        <w:widowControl w:val="0"/>
        <w:spacing w:before="40" w:after="0" w:line="259" w:lineRule="auto"/>
        <w:jc w:val="both"/>
        <w:rPr>
          <w:rFonts w:eastAsiaTheme="minorEastAsia" w:cs="Times New Roman"/>
          <w:noProof/>
        </w:rPr>
      </w:pPr>
      <w:r>
        <w:rPr>
          <w:noProof/>
        </w:rPr>
        <w:t xml:space="preserve">Naložba zajema razširitev omrežja podzemne železnice v Lizboni na Alcântara, s čimer se omrežju dodajo 3,7 km in štiri postaje. To bo preoblikovalo Alcântara v pomemben nov prometni vmesnik, ki zagotavlja povezavo med omrežjem podzemne železnice in primestnimi železniškimi storitvami. </w:t>
      </w:r>
    </w:p>
    <w:p w14:paraId="0994D2CA" w14:textId="3517EDB9" w:rsidR="00F24946" w:rsidRDefault="00613B06">
      <w:pPr>
        <w:pStyle w:val="P68B1DB1-Normal4"/>
        <w:widowControl w:val="0"/>
        <w:spacing w:before="40" w:after="0" w:line="259" w:lineRule="auto"/>
        <w:jc w:val="both"/>
        <w:rPr>
          <w:rFonts w:eastAsiaTheme="minorEastAsia" w:cs="Times New Roman"/>
          <w:noProof/>
        </w:rPr>
      </w:pPr>
      <w:r>
        <w:rPr>
          <w:noProof/>
        </w:rPr>
        <w:t>Naložba se izvede do 30. junija 2026.</w:t>
      </w:r>
    </w:p>
    <w:p w14:paraId="2D6741A9"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TC-C15-i02: Razširitev mreže podzemne železnice Porto – Casa da Música-Santo Ovídio</w:t>
      </w:r>
    </w:p>
    <w:p w14:paraId="6D4EC5A9"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povečati privlačnost javnega prevoza v Portu in privabiti več uporabnikov. Njegov cilj je razširiti ozemeljsko pokritost omrežja podzemne železnice in obravnavati probleme prezasedenosti osi Porto-Vila Nova de Gaia.</w:t>
      </w:r>
    </w:p>
    <w:p w14:paraId="0201D95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Naložba zajema razširitev omrežja podzemne železnice v Portu z izgradnjo nove 6,74-kilometrske dvotirne proge z 8 novimi postajami med krajem Boavista/Casa da Música v Portu in novo postajo v kraju Santo Ovídio (vmesnik s progo Amarela) v Vili Nova de Gaia. </w:t>
      </w:r>
    </w:p>
    <w:p w14:paraId="1BFC66BB" w14:textId="4078E263"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3600650C" w14:textId="0045A331"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Naložba TC-C15-i04: Hitri avtobusni prevoz Boavista – Império </w:t>
      </w:r>
    </w:p>
    <w:p w14:paraId="483142D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ukrepa je povečati privlačnost javnega prevoza v Portu in privabiti več uporabnikov. Njegov cilj je zmanjšati emisije toplogrednih plinov in onesnaževal ter spodbuditi prehod s cest na druge oblike prevoza. </w:t>
      </w:r>
    </w:p>
    <w:p w14:paraId="24DD3461" w14:textId="2E7E71C1" w:rsidR="00F24946" w:rsidRDefault="00613B06">
      <w:pPr>
        <w:pStyle w:val="P68B1DB1-Normal4"/>
        <w:keepNext/>
        <w:spacing w:before="40" w:after="0" w:line="259" w:lineRule="auto"/>
        <w:jc w:val="both"/>
        <w:rPr>
          <w:rFonts w:eastAsiaTheme="minorEastAsia" w:cs="Times New Roman"/>
          <w:noProof/>
        </w:rPr>
      </w:pPr>
      <w:r>
        <w:rPr>
          <w:noProof/>
        </w:rPr>
        <w:t xml:space="preserve">Ta naložba zajema vzpostavitev novega avtobusnega sistema hitrega tranzita (ki je namenjen predvsem avtobusom) s hitrostjo 3,8 km in 7 postajami med Praça do Império in Praça Mouzinho de Albuquerque v Portu, ki zagotavlja povezavo z omrežjem podzemne železnice Porto. Avtobusni hitri tranzitni sistem se upravlja z brezemisijskimi avtobusi (električnimi ali vodikovimi). </w:t>
      </w:r>
    </w:p>
    <w:p w14:paraId="552F28A8" w14:textId="54BD3E6B" w:rsidR="00F24946" w:rsidRDefault="00613B06">
      <w:pPr>
        <w:pStyle w:val="P68B1DB1-Normal4"/>
        <w:keepNext/>
        <w:spacing w:before="40" w:after="0" w:line="259" w:lineRule="auto"/>
        <w:jc w:val="both"/>
        <w:rPr>
          <w:rFonts w:eastAsiaTheme="minorEastAsia" w:cs="Times New Roman"/>
          <w:noProof/>
        </w:rPr>
      </w:pPr>
      <w:r>
        <w:rPr>
          <w:noProof/>
        </w:rPr>
        <w:t>Naložba se izvede do 30. septembra 2024.</w:t>
      </w:r>
    </w:p>
    <w:p w14:paraId="0D379072"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TC-C15-i05: Razogljičenje javnega prevoza</w:t>
      </w:r>
    </w:p>
    <w:p w14:paraId="27AD2FF8"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ukrepa je obnoviti in razogljičiti vozni park javnega prevoza na Portugalskem z zagotavljanjem brezemisijskih avtobusov. </w:t>
      </w:r>
    </w:p>
    <w:p w14:paraId="3A160CAB" w14:textId="7B1069C1" w:rsidR="00F24946" w:rsidRDefault="00613B06">
      <w:pPr>
        <w:pStyle w:val="P68B1DB1-Normal4"/>
        <w:keepNext/>
        <w:spacing w:before="40" w:after="0" w:line="259" w:lineRule="auto"/>
        <w:jc w:val="both"/>
        <w:rPr>
          <w:rFonts w:eastAsiaTheme="minorEastAsia" w:cs="Times New Roman"/>
          <w:noProof/>
        </w:rPr>
      </w:pPr>
      <w:r>
        <w:rPr>
          <w:noProof/>
        </w:rPr>
        <w:t xml:space="preserve">Naložba vključuje finančno podporo za nakup 145 brezemisijskih (električnih ali vodikovih) avtobusov za javni prevoz in infrastrukture za polnjenje za njihovo delovanje. Podpora se zagotovi v obliki nepovratnih nepovratnih sredstev za razliko med stroški nakupa brezemisijskega (električnega ali vodikovega) avtobusa in dizelskih vozil (Euro VI). Avtobusi se uporabljajo za opravljanje storitev javnega potniškega prevoza na podlagi pogodb o izvajanju javne službe na metropolitanskih območjih Lizbone in Porta. </w:t>
      </w:r>
    </w:p>
    <w:p w14:paraId="30E9508A"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2023.</w:t>
      </w:r>
    </w:p>
    <w:p w14:paraId="3EA4262B" w14:textId="17791992" w:rsidR="00F24946" w:rsidRDefault="00613B06">
      <w:pPr>
        <w:pStyle w:val="P68B1DB1-Normal5"/>
        <w:keepNext/>
        <w:spacing w:before="240" w:after="0" w:line="259" w:lineRule="auto"/>
        <w:ind w:left="851"/>
        <w:jc w:val="both"/>
        <w:outlineLvl w:val="2"/>
        <w:rPr>
          <w:rFonts w:eastAsiaTheme="minorEastAsia" w:cs="Times New Roman"/>
          <w:noProof/>
        </w:rPr>
      </w:pPr>
      <w:bookmarkStart w:id="28" w:name="_Toc137472463"/>
      <w:r>
        <w:rPr>
          <w:noProof/>
        </w:rPr>
        <w:t>Naložba TC-C15-i06: Digitalizacija železniškega prometa</w:t>
      </w:r>
      <w:bookmarkEnd w:id="28"/>
    </w:p>
    <w:p w14:paraId="3A592227" w14:textId="2C1D33A4" w:rsidR="00F24946" w:rsidRDefault="00613B06">
      <w:pPr>
        <w:pStyle w:val="P68B1DB1-Normal4"/>
        <w:spacing w:before="40" w:after="0" w:line="259" w:lineRule="auto"/>
        <w:jc w:val="both"/>
        <w:rPr>
          <w:rFonts w:cs="Times New Roman"/>
          <w:noProof/>
        </w:rPr>
      </w:pPr>
      <w:r>
        <w:rPr>
          <w:noProof/>
        </w:rPr>
        <w:t>Cilj te naložbe je zagotoviti, da bo severna proga nacionalnega železniškega omrežja (RFN) združljiva z novo železniško progo za visoke hitrosti (LAV) z zamenjavo sistemov elektronske signalizacije. To naj bi izboljšalo interoperabilnost RFN z enotnim evropskim železniškim območjem.</w:t>
      </w:r>
    </w:p>
    <w:p w14:paraId="0880068A" w14:textId="3E3F8752" w:rsidR="00F24946" w:rsidRDefault="00613B06">
      <w:pPr>
        <w:pStyle w:val="P68B1DB1-Normal4"/>
        <w:spacing w:before="40" w:after="0" w:line="259" w:lineRule="auto"/>
        <w:jc w:val="both"/>
        <w:rPr>
          <w:rFonts w:cs="Times New Roman"/>
          <w:noProof/>
        </w:rPr>
      </w:pPr>
      <w:r>
        <w:rPr>
          <w:noProof/>
        </w:rPr>
        <w:t>Ta naložba zajema zamenjavo sistemov elektronske signalizacije na postajah Campolide-Cintura, Oriente, Alverca in Azambuja, ki pokrivajo 20 km železniških prog na metropolitanskem območju Lizbone.</w:t>
      </w:r>
    </w:p>
    <w:p w14:paraId="3287A3D7" w14:textId="77777777" w:rsidR="00F24946" w:rsidRDefault="00613B06">
      <w:pPr>
        <w:pStyle w:val="P68B1DB1-Normal4"/>
        <w:spacing w:before="40" w:after="0" w:line="259" w:lineRule="auto"/>
        <w:jc w:val="both"/>
        <w:rPr>
          <w:rFonts w:cs="Times New Roman"/>
          <w:noProof/>
        </w:rPr>
      </w:pPr>
      <w:r>
        <w:rPr>
          <w:noProof/>
        </w:rPr>
        <w:t>Naložba se izvede do 30. junija 2026.</w:t>
      </w:r>
    </w:p>
    <w:p w14:paraId="39B0B8B1"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62B6A681" w14:textId="65744CBC"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p>
    <w:p w14:paraId="141E7B95"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O.2. </w:t>
      </w:r>
      <w:r>
        <w:rPr>
          <w:noProof/>
        </w:rPr>
        <w:tab/>
        <w:t>Mejniki, cilji, kazalniki in časovni razpored za spremljanje in izvajanje nepovratne finančne podpore Naslednje;</w:t>
      </w:r>
    </w:p>
    <w:p w14:paraId="7077B900"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F24946" w14:paraId="7CC6D94E"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C0125D8"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315983A"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E7DAADC" w14:textId="22191D45"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6107FD4" w14:textId="77777777" w:rsidR="00F24946" w:rsidRDefault="00613B06">
            <w:pPr>
              <w:pStyle w:val="P68B1DB1-Normal6"/>
              <w:spacing w:after="0" w:line="240" w:lineRule="auto"/>
              <w:jc w:val="center"/>
              <w:rPr>
                <w:rFonts w:eastAsia="Times New Roman" w:cs="Times New Roman"/>
                <w:noProof/>
              </w:rPr>
            </w:pPr>
            <w:r>
              <w:rPr>
                <w:noProof/>
              </w:rPr>
              <w:t>Ime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204D3E9"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3E428110"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85E208D"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E137D9D"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68581FC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38B8D7A"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BF832C"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180096" w14:textId="61D5DCDC" w:rsidR="00F24946" w:rsidRDefault="00F24946">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DB268C" w14:textId="77777777" w:rsidR="00F24946" w:rsidRDefault="00F24946">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2E62C192" w14:textId="77777777" w:rsidR="00F24946" w:rsidRDefault="00F24946">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A8C97F"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46BD3D"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7D6BE88"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81423"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096D69" w14:textId="77777777" w:rsidR="00F24946" w:rsidRDefault="00613B06">
            <w:pPr>
              <w:pStyle w:val="P68B1DB1-Normal6"/>
              <w:spacing w:after="0" w:line="240" w:lineRule="auto"/>
              <w:jc w:val="center"/>
              <w:rPr>
                <w:rFonts w:eastAsia="Times New Roman" w:cs="Times New Roman"/>
                <w:noProof/>
              </w:rPr>
            </w:pPr>
            <w:r>
              <w:rPr>
                <w:noProof/>
              </w:rPr>
              <w:t>Leto</w:t>
            </w:r>
          </w:p>
        </w:tc>
        <w:tc>
          <w:tcPr>
            <w:tcW w:w="4395" w:type="dxa"/>
            <w:vMerge/>
            <w:tcBorders>
              <w:top w:val="single" w:sz="4" w:space="0" w:color="auto"/>
              <w:bottom w:val="single" w:sz="4" w:space="0" w:color="auto"/>
              <w:right w:val="single" w:sz="4" w:space="0" w:color="auto"/>
            </w:tcBorders>
            <w:vAlign w:val="center"/>
            <w:hideMark/>
          </w:tcPr>
          <w:p w14:paraId="4EB74829" w14:textId="77777777" w:rsidR="00F24946" w:rsidRDefault="00F24946">
            <w:pPr>
              <w:spacing w:after="0" w:line="240" w:lineRule="auto"/>
              <w:rPr>
                <w:rFonts w:ascii="Times New Roman" w:eastAsia="Times New Roman" w:hAnsi="Times New Roman" w:cs="Times New Roman"/>
                <w:b/>
                <w:noProof/>
                <w:sz w:val="18"/>
              </w:rPr>
            </w:pPr>
          </w:p>
        </w:tc>
      </w:tr>
      <w:tr w:rsidR="00F24946" w14:paraId="50AD3AE2"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7C77800" w14:textId="5F17094A" w:rsidR="00F24946" w:rsidRDefault="00613B06">
            <w:pPr>
              <w:pStyle w:val="P68B1DB1-Normal7"/>
              <w:spacing w:after="0" w:line="240" w:lineRule="auto"/>
              <w:jc w:val="center"/>
              <w:rPr>
                <w:rFonts w:eastAsia="Times New Roman" w:cs="Calibri"/>
                <w:noProof/>
              </w:rPr>
            </w:pPr>
            <w:r>
              <w:rPr>
                <w:noProof/>
              </w:rPr>
              <w:t>15.1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534AA6" w14:textId="77777777" w:rsidR="00F24946" w:rsidRDefault="00613B06">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863BA6A"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4F354DE" w14:textId="77777777" w:rsidR="00F24946" w:rsidRDefault="00613B06">
            <w:pPr>
              <w:pStyle w:val="P68B1DB1-Normal8"/>
              <w:spacing w:after="0" w:line="240" w:lineRule="auto"/>
              <w:jc w:val="center"/>
              <w:rPr>
                <w:rFonts w:eastAsia="Times New Roman" w:cs="Calibri"/>
                <w:noProof/>
              </w:rPr>
            </w:pPr>
            <w:r>
              <w:rPr>
                <w:noProof/>
              </w:rPr>
              <w:t>Podpis pogodbe za razširitev lizbonskega omrežja Metro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0B92C0" w14:textId="77777777" w:rsidR="00F24946" w:rsidRDefault="00613B06">
            <w:pPr>
              <w:pStyle w:val="P68B1DB1-Normal8"/>
              <w:spacing w:after="0" w:line="240" w:lineRule="auto"/>
              <w:jc w:val="center"/>
              <w:rPr>
                <w:rFonts w:eastAsia="Times New Roman" w:cs="Calibri"/>
                <w:noProof/>
              </w:rPr>
            </w:pPr>
            <w:r>
              <w:rPr>
                <w:noProof/>
              </w:rPr>
              <w:t>Podpis pogodbe za razširitev lizbonskega omrežja Metro</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09C23E"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6D8CFA"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FC64576"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4639643" w14:textId="3FB61DFB" w:rsidR="00F24946" w:rsidRDefault="00613B06">
            <w:pPr>
              <w:pStyle w:val="P68B1DB1-Normal8"/>
              <w:spacing w:after="0" w:line="240" w:lineRule="auto"/>
              <w:jc w:val="center"/>
              <w:rPr>
                <w:rFonts w:eastAsia="Times New Roman" w:cs="Calibr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B884C5F" w14:textId="48A8EC3E" w:rsidR="00F24946" w:rsidRDefault="00613B06">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6E6D604" w14:textId="77777777" w:rsidR="00F24946" w:rsidRDefault="00613B06">
            <w:pPr>
              <w:pStyle w:val="P68B1DB1-Normal8"/>
              <w:spacing w:after="0" w:line="240" w:lineRule="auto"/>
              <w:jc w:val="both"/>
              <w:rPr>
                <w:rFonts w:eastAsia="Times New Roman" w:cs="Calibri"/>
                <w:noProof/>
              </w:rPr>
            </w:pPr>
            <w:r>
              <w:rPr>
                <w:noProof/>
              </w:rPr>
              <w:t xml:space="preserve">Podpis pogodbe o izvajanju projekta med javnimi organi in izvajalcem, izbranim v razpisnem postopku. Namen pogodbe je razširitev omrežja podzemne železnice v Lizboni (Red Line-Alcântara). </w:t>
            </w:r>
          </w:p>
        </w:tc>
      </w:tr>
      <w:tr w:rsidR="00F24946" w14:paraId="40BA7885"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0B8CB5E" w14:textId="0618E02F" w:rsidR="00F24946" w:rsidRDefault="00613B06">
            <w:pPr>
              <w:pStyle w:val="P68B1DB1-Normal7"/>
              <w:spacing w:after="0" w:line="240" w:lineRule="auto"/>
              <w:jc w:val="center"/>
              <w:rPr>
                <w:rFonts w:eastAsia="Times New Roman" w:cs="Calibri"/>
                <w:noProof/>
              </w:rPr>
            </w:pPr>
            <w:r>
              <w:rPr>
                <w:noProof/>
              </w:rPr>
              <w:t>15.2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5E91C3" w14:textId="77777777" w:rsidR="00F24946" w:rsidRDefault="00613B06">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30AE406"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3DA6929" w14:textId="77777777" w:rsidR="00F24946" w:rsidRDefault="00613B06">
            <w:pPr>
              <w:pStyle w:val="P68B1DB1-Normal8"/>
              <w:spacing w:after="0" w:line="240" w:lineRule="auto"/>
              <w:jc w:val="center"/>
              <w:rPr>
                <w:rFonts w:eastAsia="Times New Roman" w:cs="Calibri"/>
                <w:noProof/>
              </w:rPr>
            </w:pPr>
            <w:r>
              <w:rPr>
                <w:noProof/>
              </w:rPr>
              <w:t xml:space="preserve">Poročilo o napredku pri širitvi lizbonske mreže Metro </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D011F76" w14:textId="70D73D4F" w:rsidR="00F24946" w:rsidRDefault="00613B06">
            <w:pPr>
              <w:pStyle w:val="P68B1DB1-Normal8"/>
              <w:spacing w:after="0" w:line="240" w:lineRule="auto"/>
              <w:jc w:val="center"/>
              <w:rPr>
                <w:rFonts w:eastAsia="Times New Roman" w:cs="Calibri"/>
                <w:noProof/>
              </w:rPr>
            </w:pPr>
            <w:r>
              <w:rPr>
                <w:noProof/>
              </w:rPr>
              <w:t>Poročilo o napredku, v katerem je navedeno, da dela napredujejo v skladu s časovnim razporedom</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F20F358"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E244C04"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84EF25"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D75967" w14:textId="137BD9FF" w:rsidR="00F24946" w:rsidRDefault="00613B06">
            <w:pPr>
              <w:pStyle w:val="P68B1DB1-Normal8"/>
              <w:spacing w:after="0" w:line="240" w:lineRule="auto"/>
              <w:jc w:val="center"/>
              <w:rPr>
                <w:rFonts w:eastAsia="Times New Roman" w:cs="Calibri"/>
                <w:noProof/>
              </w:rPr>
            </w:pPr>
            <w:r>
              <w:rPr>
                <w:noProof/>
              </w:rPr>
              <w:t>ČETRTLETJE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78D7ABE" w14:textId="1166CC74" w:rsidR="00F24946" w:rsidRDefault="00613B06">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AA98F4" w14:textId="30667D2A" w:rsidR="00F24946" w:rsidRDefault="00613B06">
            <w:pPr>
              <w:pStyle w:val="P68B1DB1-Normal8"/>
              <w:spacing w:after="0" w:line="240" w:lineRule="auto"/>
              <w:jc w:val="both"/>
              <w:rPr>
                <w:rFonts w:eastAsia="Times New Roman" w:cs="Calibri"/>
                <w:noProof/>
              </w:rPr>
            </w:pPr>
            <w:r>
              <w:rPr>
                <w:noProof/>
              </w:rPr>
              <w:t>Razvoj del za širitev omrežja podzemne železnice v Lizboni in upoštevanje časovnega razporeda za njihovo izvedbo se merita z rednimi poročili o napredku skozi celotno izvedbo del. Vključuje oceno razvoja dela v skladu z načrtovanim časovnim razporedom, vključno z opredelitvijo že zaključenih dejavnosti, opredelitvijo dejavnosti, ki jih je treba izvesti, in analizo tveganja predlaganih rokov za izvedbo, po potrebi z načrtom za ublažitev in načrtom ukrepov ob nepredvidljivih dogodkih, da se zagotovi, da se pogodba zaključi v predlaganih rokih. Mejnik je dosežen, če je v poročilu o napredku navedeno, da dela v času mejnika napredujejo v skladu s časovnim razporedom.</w:t>
            </w:r>
          </w:p>
        </w:tc>
      </w:tr>
      <w:tr w:rsidR="00F24946" w14:paraId="21365F71"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AE62C7" w14:textId="77777777" w:rsidR="00F24946" w:rsidRDefault="00613B06">
            <w:pPr>
              <w:pStyle w:val="P68B1DB1-Normal7"/>
              <w:spacing w:after="0" w:line="240" w:lineRule="auto"/>
              <w:jc w:val="center"/>
              <w:rPr>
                <w:rFonts w:eastAsia="Times New Roman" w:cs="Calibri"/>
                <w:noProof/>
              </w:rPr>
            </w:pPr>
            <w:r>
              <w:rPr>
                <w:noProof/>
              </w:rPr>
              <w:t>15.3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104BAD" w14:textId="77777777" w:rsidR="00F24946" w:rsidRDefault="00613B06">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1340E7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51B537B" w14:textId="77777777" w:rsidR="00F24946" w:rsidRDefault="00613B06">
            <w:pPr>
              <w:pStyle w:val="P68B1DB1-Normal8"/>
              <w:spacing w:after="0" w:line="240" w:lineRule="auto"/>
              <w:jc w:val="center"/>
              <w:rPr>
                <w:rFonts w:eastAsia="Times New Roman" w:cs="Calibri"/>
                <w:noProof/>
              </w:rPr>
            </w:pPr>
            <w:r>
              <w:rPr>
                <w:noProof/>
              </w:rPr>
              <w:t>Dokončana širitev lizbonskega omrežja Metro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45E5945"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937FC3"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99318E"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0CFF" w14:textId="77777777" w:rsidR="00F24946" w:rsidRDefault="00613B06">
            <w:pPr>
              <w:pStyle w:val="P68B1DB1-Normal8"/>
              <w:spacing w:after="0" w:line="240" w:lineRule="auto"/>
              <w:jc w:val="center"/>
              <w:rPr>
                <w:rFonts w:eastAsia="Times New Roman" w:cs="Calibri"/>
                <w:noProof/>
              </w:rPr>
            </w:pPr>
            <w:r>
              <w:rPr>
                <w:noProof/>
              </w:rPr>
              <w:t>3,7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726894" w14:textId="2FBE3630" w:rsidR="00F24946" w:rsidRDefault="00613B06">
            <w:pPr>
              <w:pStyle w:val="P68B1DB1-Normal8"/>
              <w:spacing w:after="0" w:line="240" w:lineRule="auto"/>
              <w:jc w:val="center"/>
              <w:rPr>
                <w:rFonts w:eastAsia="Times New Roman" w:cs="Calibri"/>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722DCB8" w14:textId="2F31A42F" w:rsidR="00F24946" w:rsidRDefault="00613B06">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7A4859" w14:textId="77777777" w:rsidR="00F24946" w:rsidRDefault="00613B06">
            <w:pPr>
              <w:pStyle w:val="P68B1DB1-Normal8"/>
              <w:spacing w:after="0" w:line="240" w:lineRule="auto"/>
              <w:jc w:val="both"/>
              <w:rPr>
                <w:rFonts w:eastAsia="Times New Roman" w:cs="Calibri"/>
                <w:noProof/>
              </w:rPr>
            </w:pPr>
            <w:r>
              <w:rPr>
                <w:noProof/>
              </w:rPr>
              <w:t>Dolžina gradbenih del, zaključenih za razširitev omrežja podzemne železnice v Lizboni (3,3 km v predoru in 0,4 km v viaduktu) s širitvijo rdeče črte do Alcântara. Podaljšana linija podzemne železnice je pripravljena na takojšnje delovanje načrtovanih prevoznih storitev.</w:t>
            </w:r>
          </w:p>
        </w:tc>
      </w:tr>
      <w:tr w:rsidR="00F24946" w14:paraId="0A9DA7D4"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DF8351D" w14:textId="77777777" w:rsidR="00F24946" w:rsidRDefault="00613B06">
            <w:pPr>
              <w:pStyle w:val="P68B1DB1-Normal7"/>
              <w:spacing w:after="0" w:line="240" w:lineRule="auto"/>
              <w:jc w:val="center"/>
              <w:rPr>
                <w:rFonts w:eastAsia="Times New Roman" w:cs="Calibri"/>
                <w:noProof/>
              </w:rPr>
            </w:pPr>
            <w:r>
              <w:rPr>
                <w:noProof/>
              </w:rPr>
              <w:t>15.4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1A62D0" w14:textId="77777777" w:rsidR="00F24946" w:rsidRDefault="00613B06">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D4DB82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9D997C" w14:textId="77777777" w:rsidR="00F24946" w:rsidRDefault="00613B06">
            <w:pPr>
              <w:pStyle w:val="P68B1DB1-Normal8"/>
              <w:spacing w:after="0" w:line="240" w:lineRule="auto"/>
              <w:jc w:val="center"/>
              <w:rPr>
                <w:rFonts w:eastAsia="Times New Roman" w:cs="Calibri"/>
                <w:noProof/>
              </w:rPr>
            </w:pPr>
            <w:r>
              <w:rPr>
                <w:noProof/>
              </w:rPr>
              <w:t>Podpis pogodbe za razširitev omrežja Porto Metro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161F9D" w14:textId="77777777" w:rsidR="00F24946" w:rsidRDefault="00613B06">
            <w:pPr>
              <w:pStyle w:val="P68B1DB1-Normal8"/>
              <w:spacing w:after="0" w:line="240" w:lineRule="auto"/>
              <w:jc w:val="center"/>
              <w:rPr>
                <w:rFonts w:eastAsia="Times New Roman" w:cs="Calibri"/>
                <w:noProof/>
              </w:rPr>
            </w:pPr>
            <w:r>
              <w:rPr>
                <w:noProof/>
              </w:rPr>
              <w:t>Podpis pogodbe za razširitev omrežja Porto Metro</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C77D4A"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1E3CA6"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09920F"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6352D8E" w14:textId="1E746343" w:rsidR="00F24946" w:rsidRDefault="00613B06">
            <w:pPr>
              <w:pStyle w:val="P68B1DB1-Normal8"/>
              <w:spacing w:after="0" w:line="240" w:lineRule="auto"/>
              <w:jc w:val="center"/>
              <w:rPr>
                <w:rFonts w:eastAsia="Times New Roman" w:cs="Calibr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216DD7" w14:textId="77777777" w:rsidR="00F24946" w:rsidRDefault="00613B06">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8EFE" w14:textId="77777777" w:rsidR="00F24946" w:rsidRDefault="00613B06">
            <w:pPr>
              <w:pStyle w:val="P68B1DB1-Normal8"/>
              <w:spacing w:after="0" w:line="240" w:lineRule="auto"/>
              <w:jc w:val="both"/>
              <w:rPr>
                <w:rFonts w:eastAsia="Times New Roman" w:cs="Calibri"/>
                <w:noProof/>
              </w:rPr>
            </w:pPr>
            <w:r>
              <w:rPr>
                <w:noProof/>
              </w:rPr>
              <w:t xml:space="preserve">Podpis pogodbe o izvajanju projekta med javnimi organi in izvajalcem, izbranim v razpisnem postopku. Namen pogodbe je razširitev omrežja Porto Metro (Casa da Música-Santo Ovídio). </w:t>
            </w:r>
          </w:p>
        </w:tc>
      </w:tr>
      <w:tr w:rsidR="00F24946" w14:paraId="46A67267"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D3C3147" w14:textId="45F98DA8" w:rsidR="00F24946" w:rsidRDefault="00613B06">
            <w:pPr>
              <w:pStyle w:val="P68B1DB1-Normal7"/>
              <w:spacing w:after="0" w:line="240" w:lineRule="auto"/>
              <w:jc w:val="center"/>
              <w:rPr>
                <w:rFonts w:eastAsia="Times New Roman" w:cs="Calibri"/>
                <w:noProof/>
              </w:rPr>
            </w:pPr>
            <w:r>
              <w:rPr>
                <w:noProof/>
              </w:rPr>
              <w:t>15.5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93B52A6" w14:textId="77777777" w:rsidR="00F24946" w:rsidRDefault="00613B06">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3DE8CB0"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C8025F" w14:textId="77777777" w:rsidR="00F24946" w:rsidRDefault="00613B06">
            <w:pPr>
              <w:pStyle w:val="P68B1DB1-Normal8"/>
              <w:spacing w:after="0" w:line="240" w:lineRule="auto"/>
              <w:jc w:val="center"/>
              <w:rPr>
                <w:rFonts w:eastAsia="Times New Roman" w:cs="Calibri"/>
                <w:noProof/>
              </w:rPr>
            </w:pPr>
            <w:r>
              <w:rPr>
                <w:noProof/>
              </w:rPr>
              <w:t>Poročilo o napredku pri širitvi omrežja podzemne železnice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C676" w14:textId="56A25A06" w:rsidR="00F24946" w:rsidRDefault="00613B06">
            <w:pPr>
              <w:pStyle w:val="P68B1DB1-Normal8"/>
              <w:spacing w:after="0" w:line="240" w:lineRule="auto"/>
              <w:jc w:val="center"/>
              <w:rPr>
                <w:rFonts w:eastAsia="Times New Roman" w:cs="Calibri"/>
                <w:noProof/>
              </w:rPr>
            </w:pPr>
            <w:r>
              <w:rPr>
                <w:noProof/>
              </w:rPr>
              <w:t>Poročilo o napredku, v katerem je navedeno, da dela napredujejo v skladu s časovnim razporedom</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3D6F6F"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E8FBF8"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1742AA"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A657169" w14:textId="7210C00D" w:rsidR="00F24946" w:rsidRDefault="00613B06">
            <w:pPr>
              <w:pStyle w:val="P68B1DB1-Normal8"/>
              <w:spacing w:after="0" w:line="240" w:lineRule="auto"/>
              <w:jc w:val="center"/>
              <w:rPr>
                <w:rFonts w:eastAsia="Times New Roman" w:cs="Calibr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0BCBA83" w14:textId="77777777" w:rsidR="00F24946" w:rsidRDefault="00613B06">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C069C" w14:textId="2D1BCCAB" w:rsidR="00F24946" w:rsidRDefault="00613B06">
            <w:pPr>
              <w:pStyle w:val="P68B1DB1-Normal8"/>
              <w:spacing w:after="0" w:line="240" w:lineRule="auto"/>
              <w:jc w:val="both"/>
              <w:rPr>
                <w:rFonts w:eastAsia="Times New Roman" w:cs="Calibri"/>
                <w:noProof/>
              </w:rPr>
            </w:pPr>
            <w:r>
              <w:rPr>
                <w:noProof/>
              </w:rPr>
              <w:t>Razvoj del za razširitev omrežja Porto Metro in upoštevanje časovnega razporeda za njihovo izvedbo se merita z rednimi poročili o napredku skozi celotno izvedbo del. Vključuje oceno razvoja dela v skladu z načrtovanim časovnim razporedom, vključno z opredelitvijo že zaključenih dejavnosti, opredelitvijo dejavnosti, ki jih je treba izvesti, in analizo tveganja predlaganih rokov za izvedbo, po potrebi z načrtom za ublažitev in načrtom ukrepov ob nepredvidljivih dogodkih, da se zagotovi, da se pogodba zaključi v predlaganih rokih. Mejnik je dosežen, če je v poročilu o napredku navedeno, da dela v času mejnika napredujejo v skladu s časovnim razporedom.</w:t>
            </w:r>
          </w:p>
        </w:tc>
      </w:tr>
      <w:tr w:rsidR="00F24946" w14:paraId="69619D3F"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AA43" w14:textId="77777777" w:rsidR="00F24946" w:rsidRDefault="00613B06">
            <w:pPr>
              <w:pStyle w:val="P68B1DB1-Normal7"/>
              <w:spacing w:after="0" w:line="240" w:lineRule="auto"/>
              <w:jc w:val="center"/>
              <w:rPr>
                <w:rFonts w:eastAsia="Times New Roman" w:cs="Calibri"/>
                <w:noProof/>
              </w:rPr>
            </w:pPr>
            <w:r>
              <w:rPr>
                <w:noProof/>
              </w:rPr>
              <w:t>15.6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B3CC2C" w14:textId="77777777" w:rsidR="00F24946" w:rsidRDefault="00613B06">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AC62F7"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A5D734C" w14:textId="77777777" w:rsidR="00F24946" w:rsidRDefault="00613B06">
            <w:pPr>
              <w:pStyle w:val="P68B1DB1-Normal8"/>
              <w:spacing w:after="0" w:line="240" w:lineRule="auto"/>
              <w:jc w:val="center"/>
              <w:rPr>
                <w:rFonts w:eastAsia="Times New Roman" w:cs="Calibri"/>
                <w:noProof/>
              </w:rPr>
            </w:pPr>
            <w:r>
              <w:rPr>
                <w:noProof/>
              </w:rPr>
              <w:t>Dokončana širitev omrežja podzemne železnice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1D1514"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BEA4BD"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C2C5E4"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2EB6DC" w14:textId="77777777" w:rsidR="00F24946" w:rsidRDefault="00613B06">
            <w:pPr>
              <w:pStyle w:val="P68B1DB1-Normal8"/>
              <w:spacing w:after="0" w:line="240" w:lineRule="auto"/>
              <w:jc w:val="center"/>
              <w:rPr>
                <w:rFonts w:eastAsia="Times New Roman" w:cs="Calibri"/>
                <w:noProof/>
              </w:rPr>
            </w:pPr>
            <w:r>
              <w:rPr>
                <w:noProof/>
              </w:rPr>
              <w:t>6,7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229F9A8" w14:textId="07A4B434" w:rsidR="00F24946" w:rsidRDefault="00613B06">
            <w:pPr>
              <w:pStyle w:val="P68B1DB1-Normal8"/>
              <w:spacing w:after="0" w:line="240" w:lineRule="auto"/>
              <w:jc w:val="center"/>
              <w:rPr>
                <w:rFonts w:eastAsia="Times New Roman" w:cs="Calibri"/>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5B4C70" w14:textId="54A1DD92" w:rsidR="00F24946" w:rsidRDefault="00613B06">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C905D8D" w14:textId="77777777" w:rsidR="00F24946" w:rsidRDefault="00613B06">
            <w:pPr>
              <w:pStyle w:val="P68B1DB1-Normal8"/>
              <w:spacing w:after="0" w:line="240" w:lineRule="auto"/>
              <w:jc w:val="both"/>
              <w:rPr>
                <w:rFonts w:eastAsia="Times New Roman" w:cs="Calibri"/>
                <w:noProof/>
              </w:rPr>
            </w:pPr>
            <w:r>
              <w:rPr>
                <w:noProof/>
              </w:rPr>
              <w:t xml:space="preserve">Dolžina gradbenih del za razširitev omrežja Porto Metro z gradnjo nove proge med Casa da Música (Porto) in Santo Ovídio (Vila Nova de Gaia). Nova linija podzemne železnice je pripravljena na takojšnje delovanje načrtovanih prevoznih storitev. </w:t>
            </w:r>
          </w:p>
        </w:tc>
      </w:tr>
      <w:tr w:rsidR="00F24946" w14:paraId="79B5E05D" w14:textId="77777777">
        <w:trPr>
          <w:trHeight w:val="2398"/>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2A7FBF" w14:textId="77777777" w:rsidR="00F24946" w:rsidRDefault="00613B06">
            <w:pPr>
              <w:pStyle w:val="P68B1DB1-Normal7"/>
              <w:spacing w:after="0" w:line="240" w:lineRule="auto"/>
              <w:jc w:val="center"/>
              <w:rPr>
                <w:rFonts w:eastAsia="Times New Roman" w:cs="Calibri"/>
                <w:noProof/>
              </w:rPr>
            </w:pPr>
            <w:r>
              <w:rPr>
                <w:noProof/>
              </w:rPr>
              <w:t>15.10</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7379D6" w14:textId="77777777" w:rsidR="00F24946" w:rsidRDefault="00613B06">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15CA19"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F72C9A" w14:textId="77777777" w:rsidR="00F24946" w:rsidRDefault="00613B06">
            <w:pPr>
              <w:pStyle w:val="P68B1DB1-Normal8"/>
              <w:spacing w:after="0" w:line="240" w:lineRule="auto"/>
              <w:jc w:val="center"/>
              <w:rPr>
                <w:rFonts w:eastAsia="Times New Roman" w:cs="Calibri"/>
                <w:noProof/>
              </w:rPr>
            </w:pPr>
            <w:r>
              <w:rPr>
                <w:noProof/>
              </w:rPr>
              <w:t>Podpis pogodbe za izgradnjo avtobusne proge za hitri tranzit med Praça do Império in Praça Albuquerque Mouzinho v Portu</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276CBD1" w14:textId="77777777" w:rsidR="00F24946" w:rsidRDefault="00613B06">
            <w:pPr>
              <w:pStyle w:val="P68B1DB1-Normal8"/>
              <w:spacing w:after="0" w:line="240" w:lineRule="auto"/>
              <w:jc w:val="center"/>
              <w:rPr>
                <w:rFonts w:eastAsia="Times New Roman" w:cs="Calibri"/>
                <w:noProof/>
              </w:rPr>
            </w:pPr>
            <w:r>
              <w:rPr>
                <w:noProof/>
              </w:rPr>
              <w:t>Podpis pogodbe za izgradnjo hitre tranzitne proge med Praça do Império in Praça Albuquerque Mouzinho v Portu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75C96D"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BBD236D"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04CDB6"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D549309"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099AAE5" w14:textId="77777777" w:rsidR="00F24946" w:rsidRDefault="00613B06">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DD8DF" w14:textId="77777777" w:rsidR="00F24946" w:rsidRDefault="00613B06">
            <w:pPr>
              <w:pStyle w:val="P68B1DB1-Normal8"/>
              <w:spacing w:after="0" w:line="240" w:lineRule="auto"/>
              <w:jc w:val="both"/>
              <w:rPr>
                <w:rFonts w:eastAsia="Times New Roman" w:cs="Calibri"/>
                <w:noProof/>
              </w:rPr>
            </w:pPr>
            <w:r>
              <w:rPr>
                <w:noProof/>
              </w:rPr>
              <w:t xml:space="preserve">Podpis pogodbe o izvajanju projekta med javnimi organi in izvajalcem, izbranim v razpisnem postopku. Namen pogodbe je izgradnja avtobusne proge za hitri tranzit, ki povezuje Praça do Império in Praça Albuquerque Mouzinho v Portu. </w:t>
            </w:r>
          </w:p>
        </w:tc>
      </w:tr>
      <w:tr w:rsidR="00F24946" w14:paraId="7ADF5EB7"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16D4B91" w14:textId="77777777" w:rsidR="00F24946" w:rsidRDefault="00613B06">
            <w:pPr>
              <w:pStyle w:val="P68B1DB1-Normal7"/>
              <w:spacing w:after="0" w:line="240" w:lineRule="auto"/>
              <w:jc w:val="center"/>
              <w:rPr>
                <w:rFonts w:eastAsia="Times New Roman" w:cs="Calibri"/>
                <w:noProof/>
              </w:rPr>
            </w:pPr>
            <w:r>
              <w:rPr>
                <w:noProof/>
              </w:rPr>
              <w:t>15.11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8F8D636" w14:textId="77777777" w:rsidR="00F24946" w:rsidRDefault="00613B06">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3EBBF9"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BDF794" w14:textId="77777777" w:rsidR="00F24946" w:rsidRDefault="00613B06">
            <w:pPr>
              <w:pStyle w:val="P68B1DB1-Normal8"/>
              <w:spacing w:after="0" w:line="240" w:lineRule="auto"/>
              <w:jc w:val="center"/>
              <w:rPr>
                <w:rFonts w:eastAsia="Times New Roman" w:cs="Calibri"/>
                <w:noProof/>
              </w:rPr>
            </w:pPr>
            <w:r>
              <w:rPr>
                <w:noProof/>
              </w:rPr>
              <w:t>Dokončana gradnja avtobusne proge za hitri tranzit med Praça do Império in Praça Albuquerque Mouzinho v Portu</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4CFC47A"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B162BF" w14:textId="77777777" w:rsidR="00F24946" w:rsidRDefault="00613B06">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D261ED7"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79F5D8" w14:textId="77777777" w:rsidR="00F24946" w:rsidRDefault="00613B06">
            <w:pPr>
              <w:pStyle w:val="P68B1DB1-Normal8"/>
              <w:spacing w:after="0" w:line="240" w:lineRule="auto"/>
              <w:jc w:val="center"/>
              <w:rPr>
                <w:rFonts w:eastAsia="Times New Roman" w:cs="Calibri"/>
                <w:noProof/>
              </w:rPr>
            </w:pPr>
            <w:r>
              <w:rPr>
                <w:noProof/>
              </w:rPr>
              <w:t>3,8</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D95435" w14:textId="7708DDD6" w:rsidR="00F24946" w:rsidRDefault="00613B06">
            <w:pPr>
              <w:pStyle w:val="P68B1DB1-Normal8"/>
              <w:spacing w:after="0" w:line="240" w:lineRule="auto"/>
              <w:jc w:val="center"/>
              <w:rPr>
                <w:rFonts w:eastAsia="Times New Roman" w:cs="Calibri"/>
                <w:noProof/>
              </w:rPr>
            </w:pPr>
            <w:r>
              <w:rPr>
                <w:noProof/>
              </w:rPr>
              <w:t>Q3</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804F18" w14:textId="2A33460B" w:rsidR="00F24946" w:rsidRDefault="00613B06">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C671D64" w14:textId="77777777" w:rsidR="00F24946" w:rsidRDefault="00613B06">
            <w:pPr>
              <w:pStyle w:val="P68B1DB1-Normal8"/>
              <w:spacing w:after="0" w:line="240" w:lineRule="auto"/>
              <w:jc w:val="both"/>
              <w:rPr>
                <w:rFonts w:eastAsia="Times New Roman" w:cs="Calibri"/>
                <w:noProof/>
              </w:rPr>
            </w:pPr>
            <w:r>
              <w:rPr>
                <w:noProof/>
              </w:rPr>
              <w:t xml:space="preserve">Dolžina gradbenih del, opravljenih za avtobusno hitro tranzitno linijo, ki povezuje Praça do Império do Praça Albuquerque Mouzinho v Portu. Nova avtobusna hitra tranzitna linija je pripravljena na takojšnje delovanje načrtovanih prevoznih storitev. </w:t>
            </w:r>
          </w:p>
        </w:tc>
      </w:tr>
      <w:tr w:rsidR="00F24946" w14:paraId="167AB6D9" w14:textId="77777777">
        <w:trPr>
          <w:trHeight w:val="1871"/>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6418711" w14:textId="77777777" w:rsidR="00F24946" w:rsidRDefault="00613B06">
            <w:pPr>
              <w:pStyle w:val="P68B1DB1-Normal7"/>
              <w:spacing w:after="0" w:line="240" w:lineRule="auto"/>
              <w:jc w:val="center"/>
              <w:rPr>
                <w:rFonts w:eastAsia="Times New Roman" w:cs="Calibri"/>
                <w:noProof/>
              </w:rPr>
            </w:pPr>
            <w:r>
              <w:rPr>
                <w:noProof/>
              </w:rPr>
              <w:t>15.12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E7894A" w14:textId="77777777" w:rsidR="00F24946" w:rsidRDefault="00613B06">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F8ACE3A"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1641BE" w14:textId="77777777" w:rsidR="00F24946" w:rsidRDefault="00613B06">
            <w:pPr>
              <w:pStyle w:val="P68B1DB1-Normal8"/>
              <w:spacing w:after="0" w:line="240" w:lineRule="auto"/>
              <w:jc w:val="center"/>
              <w:rPr>
                <w:rFonts w:eastAsia="Times New Roman" w:cs="Calibri"/>
                <w:noProof/>
              </w:rPr>
            </w:pPr>
            <w:r>
              <w:rPr>
                <w:noProof/>
              </w:rPr>
              <w:t>Podpisana pogodba za nakup čistih avtobusov v okviru programa za razogljičenje javnega prevoza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FE4D21F" w14:textId="77777777" w:rsidR="00F24946" w:rsidRDefault="00613B06">
            <w:pPr>
              <w:pStyle w:val="P68B1DB1-Normal8"/>
              <w:spacing w:after="0" w:line="240" w:lineRule="auto"/>
              <w:jc w:val="center"/>
              <w:rPr>
                <w:rFonts w:eastAsia="Times New Roman" w:cs="Calibri"/>
                <w:noProof/>
              </w:rPr>
            </w:pPr>
            <w:r>
              <w:rPr>
                <w:noProof/>
              </w:rPr>
              <w:t>Podpisana pogodba za nakup 145 čistih avtobusov v okviru programa za razogljičenje javnega prevoza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85D964C"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95BD3CE"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D9326A"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700FA3"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148EE6" w14:textId="77777777" w:rsidR="00F24946" w:rsidRDefault="00613B06">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16BAC741" w14:textId="0C12CBAC" w:rsidR="00F24946" w:rsidRDefault="00613B06">
            <w:pPr>
              <w:pStyle w:val="P68B1DB1-Normal8"/>
              <w:spacing w:after="0" w:line="240" w:lineRule="auto"/>
              <w:jc w:val="both"/>
              <w:rPr>
                <w:rFonts w:eastAsia="Times New Roman" w:cs="Calibri"/>
                <w:noProof/>
              </w:rPr>
            </w:pPr>
            <w:r>
              <w:rPr>
                <w:noProof/>
              </w:rPr>
              <w:t>Podpis pogodbe med upravičenci in organom upravljanja na podlagi konkurenčnega razpisnega postopka, s katerim se zaveže k nakupu novih brezemisijskih avtobusov (električnih ali vodikovih) avtobusov.</w:t>
            </w:r>
          </w:p>
        </w:tc>
      </w:tr>
      <w:tr w:rsidR="00F24946" w14:paraId="48039201" w14:textId="77777777">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CC55914" w14:textId="77777777" w:rsidR="00F24946" w:rsidRDefault="00613B06">
            <w:pPr>
              <w:pStyle w:val="P68B1DB1-Normal7"/>
              <w:spacing w:after="0" w:line="240" w:lineRule="auto"/>
              <w:jc w:val="center"/>
              <w:rPr>
                <w:rFonts w:eastAsia="Times New Roman" w:cs="Calibri"/>
                <w:noProof/>
              </w:rPr>
            </w:pPr>
            <w:r>
              <w:rPr>
                <w:noProof/>
              </w:rPr>
              <w:t>15.13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9F74196" w14:textId="77777777" w:rsidR="00F24946" w:rsidRDefault="00613B06">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9BF1EE"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9D1A84" w14:textId="77777777" w:rsidR="00F24946" w:rsidRDefault="00613B06">
            <w:pPr>
              <w:pStyle w:val="P68B1DB1-Normal8"/>
              <w:spacing w:after="0" w:line="240" w:lineRule="auto"/>
              <w:jc w:val="center"/>
              <w:rPr>
                <w:rFonts w:eastAsia="Times New Roman" w:cs="Calibri"/>
                <w:noProof/>
              </w:rPr>
            </w:pPr>
            <w:r>
              <w:rPr>
                <w:noProof/>
              </w:rPr>
              <w:t>Nakup novih brezemisijskih avtobusov (električnih ali vodikovih) za javni prevoz</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00F18BD"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34DBE1"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CE4430B"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BECE405" w14:textId="77777777" w:rsidR="00F24946" w:rsidRDefault="00613B06">
            <w:pPr>
              <w:pStyle w:val="P68B1DB1-Normal8"/>
              <w:spacing w:after="0" w:line="240" w:lineRule="auto"/>
              <w:jc w:val="center"/>
              <w:rPr>
                <w:rFonts w:eastAsia="Times New Roman" w:cs="Calibri"/>
                <w:noProof/>
              </w:rPr>
            </w:pPr>
            <w:r>
              <w:rPr>
                <w:noProof/>
              </w:rPr>
              <w:t>145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9F48AA6"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7805CE" w14:textId="77777777" w:rsidR="00F24946" w:rsidRDefault="00613B06">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8838148" w14:textId="77777777" w:rsidR="00F24946" w:rsidRDefault="00613B06">
            <w:pPr>
              <w:pStyle w:val="P68B1DB1-Normal9"/>
              <w:spacing w:after="0" w:line="240" w:lineRule="auto"/>
              <w:jc w:val="both"/>
              <w:rPr>
                <w:rFonts w:eastAsia="Times New Roman" w:cs="Calibri"/>
                <w:noProof/>
                <w:sz w:val="16"/>
              </w:rPr>
            </w:pPr>
            <w:r>
              <w:rPr>
                <w:noProof/>
                <w:sz w:val="16"/>
              </w:rPr>
              <w:t>Število novih brezemisijskih avtobusov (električnih ali vodikovih) avtobusov, ki so bili kupljeni in delujejo</w:t>
            </w:r>
            <w:r>
              <w:rPr>
                <w:noProof/>
              </w:rPr>
              <w:t xml:space="preserve"> </w:t>
            </w:r>
            <w:r>
              <w:rPr>
                <w:noProof/>
                <w:sz w:val="16"/>
              </w:rPr>
              <w:t>za zagotavljanje storitev javnega potniškega prevoza na metropolitanskih območjih v Lizboni in Portu.</w:t>
            </w:r>
          </w:p>
        </w:tc>
      </w:tr>
      <w:tr w:rsidR="00F24946" w14:paraId="14807BD7"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050AF4" w14:textId="77777777" w:rsidR="00F24946" w:rsidRDefault="00613B06">
            <w:pPr>
              <w:pStyle w:val="P68B1DB1-Normal7"/>
              <w:spacing w:after="0" w:line="240" w:lineRule="auto"/>
              <w:jc w:val="center"/>
              <w:rPr>
                <w:rFonts w:eastAsia="Times New Roman" w:cs="Calibri"/>
                <w:noProof/>
              </w:rPr>
            </w:pPr>
            <w:r>
              <w:rPr>
                <w:noProof/>
              </w:rPr>
              <w:t>15.14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81FD44" w14:textId="77777777" w:rsidR="00F24946" w:rsidRDefault="00613B06">
            <w:pPr>
              <w:pStyle w:val="P68B1DB1-Normal8"/>
              <w:spacing w:after="0" w:line="240" w:lineRule="auto"/>
              <w:jc w:val="center"/>
              <w:rPr>
                <w:rFonts w:eastAsia="Times New Roman" w:cs="Calibri"/>
                <w:noProof/>
              </w:rPr>
            </w:pPr>
            <w:r>
              <w:rPr>
                <w:noProof/>
              </w:rPr>
              <w:t>TC-C15-r30</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DE169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1630B8" w14:textId="77777777" w:rsidR="00F24946" w:rsidRDefault="00613B06">
            <w:pPr>
              <w:pStyle w:val="P68B1DB1-Normal8"/>
              <w:spacing w:after="0" w:line="240" w:lineRule="auto"/>
              <w:jc w:val="center"/>
              <w:rPr>
                <w:rFonts w:eastAsia="Times New Roman" w:cs="Calibri"/>
                <w:noProof/>
              </w:rPr>
            </w:pPr>
            <w:r>
              <w:rPr>
                <w:noProof/>
              </w:rPr>
              <w:t>Podpisane pogodbe za storitve javnega potniškega prevoza na metropolitanskih območjih in medobčinskih skupnostih</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A57D8B6"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219E1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FBB1912" w14:textId="7777777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7BDA846" w14:textId="77777777" w:rsidR="00F24946" w:rsidRDefault="00613B06">
            <w:pPr>
              <w:pStyle w:val="P68B1DB1-Normal8"/>
              <w:spacing w:after="0" w:line="240" w:lineRule="auto"/>
              <w:jc w:val="center"/>
              <w:rPr>
                <w:rFonts w:eastAsia="Times New Roman" w:cs="Calibri"/>
                <w:noProof/>
              </w:rPr>
            </w:pPr>
            <w:r>
              <w:rPr>
                <w:noProof/>
              </w:rPr>
              <w:t>23</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ED4C04"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89ECF9" w14:textId="77777777" w:rsidR="00F24946" w:rsidRDefault="00613B06">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154FD26" w14:textId="77777777" w:rsidR="00F24946" w:rsidRDefault="00613B06">
            <w:pPr>
              <w:pStyle w:val="P68B1DB1-Normal8"/>
              <w:spacing w:after="0" w:line="240" w:lineRule="auto"/>
              <w:jc w:val="both"/>
              <w:rPr>
                <w:rFonts w:eastAsia="Times New Roman" w:cs="Calibri"/>
                <w:noProof/>
              </w:rPr>
            </w:pPr>
            <w:r>
              <w:rPr>
                <w:noProof/>
              </w:rPr>
              <w:t xml:space="preserve">Število organov za upravljanje prevoza s pogodbami, podpisanimi za vse javne storitve železniškega in cestnega potniškega prevoza ter prevoza po celinskih plovnih poteh v skladu z Uredbo (ES) št. 1370/2007. </w:t>
            </w:r>
          </w:p>
        </w:tc>
      </w:tr>
      <w:tr w:rsidR="00F24946" w14:paraId="47CBDF40"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09369F6D" w14:textId="4F312845" w:rsidR="00F24946" w:rsidRDefault="00613B06">
            <w:pPr>
              <w:pStyle w:val="P68B1DB1-Normal11"/>
              <w:spacing w:after="0" w:line="240" w:lineRule="auto"/>
              <w:jc w:val="center"/>
              <w:rPr>
                <w:rFonts w:eastAsia="Times New Roman"/>
                <w:noProof/>
              </w:rPr>
            </w:pPr>
            <w:r>
              <w:rPr>
                <w:noProof/>
              </w:rPr>
              <w:t>15.15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F8ECE66" w14:textId="2BE2CDE3" w:rsidR="00F24946" w:rsidRDefault="00613B06">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490E290" w14:textId="4326EEA4" w:rsidR="00F24946" w:rsidRDefault="00613B06">
            <w:pPr>
              <w:pStyle w:val="P68B1DB1-Normal12"/>
              <w:spacing w:after="0" w:line="240" w:lineRule="auto"/>
              <w:jc w:val="center"/>
              <w:rPr>
                <w:rFonts w:eastAsia="Times New Roman" w:cstheme="minorHAns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550A166" w14:textId="34BFD0E8" w:rsidR="00F24946" w:rsidRDefault="00613B06">
            <w:pPr>
              <w:pStyle w:val="P68B1DB1-Normal12"/>
              <w:spacing w:after="0" w:line="240" w:lineRule="auto"/>
              <w:jc w:val="center"/>
              <w:rPr>
                <w:rFonts w:eastAsia="Times New Roman" w:cstheme="minorHAnsi"/>
                <w:noProof/>
              </w:rPr>
            </w:pPr>
            <w:r>
              <w:rPr>
                <w:noProof/>
              </w:rPr>
              <w:t>Podpis pogodbe za sisteme elektronske signalizacije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14CC642" w14:textId="1FBE12E9" w:rsidR="00F24946" w:rsidRDefault="00613B06">
            <w:pPr>
              <w:pStyle w:val="P68B1DB1-Normal12"/>
              <w:spacing w:after="0" w:line="240" w:lineRule="auto"/>
              <w:jc w:val="center"/>
              <w:rPr>
                <w:rFonts w:eastAsia="Times New Roman" w:cstheme="minorHAnsi"/>
                <w:noProof/>
              </w:rPr>
            </w:pPr>
            <w:r>
              <w:rPr>
                <w:noProof/>
              </w:rPr>
              <w:t>Podpis pogodbe in objava na namenskem portalu</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95EA3B9" w14:textId="77777777" w:rsidR="00F24946" w:rsidRDefault="00F24946">
            <w:pPr>
              <w:spacing w:after="0" w:line="240" w:lineRule="auto"/>
              <w:jc w:val="center"/>
              <w:rPr>
                <w:rFonts w:eastAsia="Times New Roman" w:cstheme="minorHAns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EBBD090" w14:textId="77777777" w:rsidR="00F24946" w:rsidRDefault="00F24946">
            <w:pPr>
              <w:spacing w:after="0" w:line="240" w:lineRule="auto"/>
              <w:jc w:val="center"/>
              <w:rPr>
                <w:rFonts w:eastAsia="Times New Roman" w:cstheme="minorHAns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3D14C8" w14:textId="77777777" w:rsidR="00F24946" w:rsidRDefault="00F24946">
            <w:pPr>
              <w:spacing w:after="0" w:line="240" w:lineRule="auto"/>
              <w:jc w:val="center"/>
              <w:rPr>
                <w:rFonts w:eastAsia="Times New Roman" w:cstheme="minorHAns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5308DB" w14:textId="538F4A90" w:rsidR="00F24946" w:rsidRDefault="00613B06">
            <w:pPr>
              <w:pStyle w:val="P68B1DB1-Normal12"/>
              <w:spacing w:after="0" w:line="240" w:lineRule="auto"/>
              <w:jc w:val="center"/>
              <w:rPr>
                <w:rFonts w:eastAsia="Times New Roman" w:cstheme="minorHAnsi"/>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87AF58" w14:textId="3B2C4F41" w:rsidR="00F24946" w:rsidRDefault="00613B06">
            <w:pPr>
              <w:pStyle w:val="P68B1DB1-Normal12"/>
              <w:spacing w:after="0" w:line="240" w:lineRule="auto"/>
              <w:jc w:val="center"/>
              <w:rPr>
                <w:rFonts w:eastAsia="Times New Roman" w:cstheme="minorHAns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2C5EB17D" w14:textId="3D9B1E55" w:rsidR="00F24946" w:rsidRDefault="00613B06">
            <w:pPr>
              <w:pStyle w:val="P68B1DB1-Normal12"/>
              <w:spacing w:after="0" w:line="240" w:lineRule="auto"/>
              <w:rPr>
                <w:rFonts w:eastAsia="Times New Roman" w:cstheme="minorHAnsi"/>
                <w:noProof/>
              </w:rPr>
            </w:pPr>
            <w:r>
              <w:rPr>
                <w:noProof/>
              </w:rPr>
              <w:t xml:space="preserve">Podpis pogodbe o izvedbi projekta za zamenjavo sistemov elektronske signalizacije med javnimi organi in izvajalcem. </w:t>
            </w:r>
          </w:p>
        </w:tc>
      </w:tr>
      <w:tr w:rsidR="00F24946" w14:paraId="4095FC09"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309B65D6" w14:textId="131135B8" w:rsidR="00F24946" w:rsidRDefault="00613B06">
            <w:pPr>
              <w:pStyle w:val="P68B1DB1-Normal11"/>
              <w:spacing w:after="0" w:line="240" w:lineRule="auto"/>
              <w:jc w:val="center"/>
              <w:rPr>
                <w:rFonts w:eastAsia="Times New Roman"/>
                <w:noProof/>
              </w:rPr>
            </w:pPr>
            <w:r>
              <w:rPr>
                <w:noProof/>
              </w:rPr>
              <w:t>15.16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49E8EF1" w14:textId="16469D34" w:rsidR="00F24946" w:rsidRDefault="00613B06">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1DEA956" w14:textId="4D528CFF" w:rsidR="00F24946" w:rsidRDefault="00613B06">
            <w:pPr>
              <w:pStyle w:val="P68B1DB1-Normal12"/>
              <w:spacing w:after="0" w:line="240" w:lineRule="auto"/>
              <w:jc w:val="center"/>
              <w:rPr>
                <w:rFonts w:eastAsia="Times New Roman" w:cstheme="minorHAns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1336C3" w14:textId="72F7F910" w:rsidR="00F24946" w:rsidRDefault="00613B06">
            <w:pPr>
              <w:pStyle w:val="P68B1DB1-Normal12"/>
              <w:spacing w:after="0" w:line="240" w:lineRule="auto"/>
              <w:jc w:val="center"/>
              <w:rPr>
                <w:rFonts w:eastAsia="Times New Roman" w:cstheme="minorHAnsi"/>
                <w:noProof/>
              </w:rPr>
            </w:pPr>
            <w:r>
              <w:rPr>
                <w:noProof/>
              </w:rPr>
              <w:t>Železniške proge z zamenjanimi sistemi elektronske signalizacije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A28AD9C" w14:textId="77777777" w:rsidR="00F24946" w:rsidRDefault="00F24946">
            <w:pPr>
              <w:spacing w:after="0" w:line="240" w:lineRule="auto"/>
              <w:jc w:val="center"/>
              <w:rPr>
                <w:rFonts w:eastAsia="Times New Roman" w:cstheme="minorHAns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598FA30" w14:textId="2E1AC044" w:rsidR="00F24946" w:rsidRDefault="00613B06">
            <w:pPr>
              <w:pStyle w:val="P68B1DB1-Normal12"/>
              <w:spacing w:after="0" w:line="240" w:lineRule="auto"/>
              <w:jc w:val="center"/>
              <w:rPr>
                <w:rFonts w:eastAsia="Times New Roman" w:cstheme="minorHAns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8C2C5F8" w14:textId="534EC871" w:rsidR="00F24946" w:rsidRDefault="00613B06">
            <w:pPr>
              <w:pStyle w:val="P68B1DB1-Normal12"/>
              <w:spacing w:after="0" w:line="240" w:lineRule="auto"/>
              <w:jc w:val="center"/>
              <w:rPr>
                <w:rFonts w:eastAsia="Times New Roman" w:cstheme="minorHAns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31C6AF" w14:textId="106C8BCB" w:rsidR="00F24946" w:rsidRDefault="00613B06">
            <w:pPr>
              <w:pStyle w:val="P68B1DB1-Normal12"/>
              <w:spacing w:after="0" w:line="240" w:lineRule="auto"/>
              <w:jc w:val="center"/>
              <w:rPr>
                <w:rFonts w:eastAsia="Times New Roman" w:cstheme="minorHAnsi"/>
                <w:noProof/>
              </w:rPr>
            </w:pPr>
            <w:r>
              <w:rPr>
                <w:noProof/>
              </w:rPr>
              <w:t>20</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A010B4" w14:textId="2F3B9E13" w:rsidR="00F24946" w:rsidRDefault="00613B06">
            <w:pPr>
              <w:pStyle w:val="P68B1DB1-Normal12"/>
              <w:spacing w:after="0" w:line="240" w:lineRule="auto"/>
              <w:jc w:val="center"/>
              <w:rPr>
                <w:rFonts w:eastAsia="Times New Roman" w:cstheme="minorHAnsi"/>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2AD76CD" w14:textId="1D2C02A4" w:rsidR="00F24946" w:rsidRDefault="00613B06">
            <w:pPr>
              <w:pStyle w:val="P68B1DB1-Normal12"/>
              <w:spacing w:after="0" w:line="240" w:lineRule="auto"/>
              <w:jc w:val="center"/>
              <w:rPr>
                <w:rFonts w:eastAsia="Times New Roman" w:cstheme="minorHAns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3B34CCB" w14:textId="3C6E08D9" w:rsidR="00F24946" w:rsidRDefault="00613B06">
            <w:pPr>
              <w:pStyle w:val="P68B1DB1-Normal12"/>
              <w:spacing w:after="0" w:line="240" w:lineRule="auto"/>
              <w:jc w:val="both"/>
              <w:rPr>
                <w:rFonts w:eastAsia="Times New Roman" w:cstheme="minorHAnsi"/>
                <w:noProof/>
              </w:rPr>
            </w:pPr>
            <w:r>
              <w:rPr>
                <w:noProof/>
              </w:rPr>
              <w:t>Dolžina železniških prog z novimi sistemi elektronske signalizacije, nameščenimi na metropolitanskem območju Lizbone.</w:t>
            </w:r>
          </w:p>
        </w:tc>
      </w:tr>
    </w:tbl>
    <w:p w14:paraId="11A8F5DB" w14:textId="6735A646"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510498C1"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F3C01E3" w14:textId="763016D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O.3. Opis reform in naložb za posojilo</w:t>
      </w:r>
    </w:p>
    <w:p w14:paraId="1242CC49"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Naložba TC-C15-i03: Lahki železniški tranzit Odivelas – tovori </w:t>
      </w:r>
    </w:p>
    <w:p w14:paraId="27A3BE80" w14:textId="77777777" w:rsidR="00F24946" w:rsidRDefault="00613B06">
      <w:pPr>
        <w:pStyle w:val="P68B1DB1-Normal4"/>
        <w:keepNext/>
        <w:spacing w:before="40" w:after="0" w:line="259" w:lineRule="auto"/>
        <w:jc w:val="both"/>
        <w:rPr>
          <w:rFonts w:eastAsiaTheme="minorEastAsia" w:cs="Times New Roman"/>
          <w:noProof/>
        </w:rPr>
      </w:pPr>
      <w:r>
        <w:rPr>
          <w:noProof/>
        </w:rPr>
        <w:t>Cilj ukrepa je povečati privlačnost javnega prevoza v Lizboni in privabiti več uporabnikov. Trenutno prevladuje zasebni cestni promet med Louresom in Lizbono, kar povzroča znatne težave z emisijami toplogrednih plinov in onesnaževal ter zastoji. Cilj ukrepa je spodbuditi prehod z individualnega cestnega prevoza na javni prevoz.</w:t>
      </w:r>
    </w:p>
    <w:p w14:paraId="4FCFEDE5" w14:textId="481C3763" w:rsidR="00F24946" w:rsidRDefault="00613B06">
      <w:pPr>
        <w:pStyle w:val="P68B1DB1-Normal4"/>
        <w:keepNext/>
        <w:spacing w:before="40" w:after="0" w:line="259" w:lineRule="auto"/>
        <w:jc w:val="both"/>
        <w:rPr>
          <w:rFonts w:eastAsiaTheme="minorEastAsia" w:cs="Times New Roman"/>
          <w:noProof/>
        </w:rPr>
      </w:pPr>
      <w:r>
        <w:rPr>
          <w:noProof/>
        </w:rPr>
        <w:t xml:space="preserve">Naložba je sestavljena iz gradnje 11,5 km dolgega tranzitnega sistema lahke železnice, ki bo občino Loures povezal z omrežjem podzemne železnice v Lizboni. </w:t>
      </w:r>
    </w:p>
    <w:p w14:paraId="5F1D6AF1" w14:textId="7D85A9C0" w:rsidR="00F24946" w:rsidRDefault="00613B06">
      <w:pPr>
        <w:pStyle w:val="P68B1DB1-Normal4"/>
        <w:keepNext/>
        <w:spacing w:before="40" w:after="0" w:line="259" w:lineRule="auto"/>
        <w:ind w:left="130" w:firstLine="720"/>
        <w:jc w:val="both"/>
        <w:outlineLvl w:val="1"/>
        <w:rPr>
          <w:rFonts w:eastAsiaTheme="minorEastAsia" w:cs="Times New Roman"/>
          <w:b/>
          <w:noProof/>
          <w:u w:val="single"/>
        </w:rPr>
      </w:pPr>
      <w:r>
        <w:rPr>
          <w:noProof/>
        </w:rPr>
        <w:t>Naložba se izvede do 30. junija 2026.</w:t>
      </w:r>
    </w:p>
    <w:p w14:paraId="575ACA3D"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4CAD46C"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p>
    <w:p w14:paraId="03D3A8DE"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302B669C" w14:textId="17BC633A"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O.4. Mejniki, cilji, kazalniki in časovni razpored za spremljanje in izvajanje posojila</w:t>
      </w:r>
    </w:p>
    <w:p w14:paraId="635759ED"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F24946" w14:paraId="2F97F8D0"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21D3C2"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1C57A38"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EE676C"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027319" w14:textId="77777777" w:rsidR="00F24946" w:rsidRDefault="00613B06">
            <w:pPr>
              <w:pStyle w:val="P68B1DB1-Normal6"/>
              <w:spacing w:after="0" w:line="240" w:lineRule="auto"/>
              <w:jc w:val="center"/>
              <w:rPr>
                <w:rFonts w:eastAsia="Times New Roman" w:cs="Times New Roman"/>
                <w:noProof/>
              </w:rPr>
            </w:pPr>
            <w:r>
              <w:rPr>
                <w:noProof/>
              </w:rPr>
              <w:t>Ime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1067041"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F0D5637"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DB14555"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4BDC769"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6A79B94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310C2A"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ACA7D6"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F8AE5" w14:textId="77777777" w:rsidR="00F24946" w:rsidRDefault="00F24946">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037FB" w14:textId="77777777" w:rsidR="00F24946" w:rsidRDefault="00F24946">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532041EB" w14:textId="77777777" w:rsidR="00F24946" w:rsidRDefault="00F24946">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78DB4E2"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60F3C8"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75038A"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015B4B4"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C222A0" w14:textId="77777777" w:rsidR="00F24946" w:rsidRDefault="00613B06">
            <w:pPr>
              <w:pStyle w:val="P68B1DB1-Normal6"/>
              <w:spacing w:after="0" w:line="240" w:lineRule="auto"/>
              <w:jc w:val="center"/>
              <w:rPr>
                <w:rFonts w:eastAsia="Times New Roman" w:cs="Times New Roman"/>
                <w:noProof/>
              </w:rPr>
            </w:pPr>
            <w:r>
              <w:rPr>
                <w:noProof/>
              </w:rPr>
              <w:t>Leto</w:t>
            </w:r>
          </w:p>
        </w:tc>
        <w:tc>
          <w:tcPr>
            <w:tcW w:w="4395" w:type="dxa"/>
            <w:vMerge/>
            <w:tcBorders>
              <w:top w:val="single" w:sz="4" w:space="0" w:color="auto"/>
              <w:bottom w:val="single" w:sz="4" w:space="0" w:color="auto"/>
              <w:right w:val="single" w:sz="4" w:space="0" w:color="auto"/>
            </w:tcBorders>
            <w:vAlign w:val="center"/>
            <w:hideMark/>
          </w:tcPr>
          <w:p w14:paraId="01B727AD" w14:textId="77777777" w:rsidR="00F24946" w:rsidRDefault="00F24946">
            <w:pPr>
              <w:spacing w:after="0" w:line="240" w:lineRule="auto"/>
              <w:rPr>
                <w:rFonts w:ascii="Times New Roman" w:eastAsia="Times New Roman" w:hAnsi="Times New Roman" w:cs="Times New Roman"/>
                <w:b/>
                <w:noProof/>
                <w:sz w:val="18"/>
              </w:rPr>
            </w:pPr>
          </w:p>
        </w:tc>
      </w:tr>
      <w:tr w:rsidR="00F24946" w14:paraId="4EBA1B8E" w14:textId="77777777">
        <w:trPr>
          <w:trHeight w:val="85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17430DD4" w14:textId="3D8F77CB" w:rsidR="00F24946" w:rsidRDefault="00613B06">
            <w:pPr>
              <w:pStyle w:val="P68B1DB1-Normal7"/>
              <w:spacing w:after="0" w:line="240" w:lineRule="auto"/>
              <w:jc w:val="center"/>
              <w:rPr>
                <w:rFonts w:eastAsia="Times New Roman" w:cs="Calibri"/>
                <w:noProof/>
              </w:rPr>
            </w:pPr>
            <w:r>
              <w:rPr>
                <w:noProof/>
              </w:rPr>
              <w:t>15.7</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2763EAF" w14:textId="43F37C9D" w:rsidR="00F24946" w:rsidRDefault="00613B06">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4F69B0" w14:textId="6F007304"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A963B90" w14:textId="7F495470" w:rsidR="00F24946" w:rsidRDefault="00613B06">
            <w:pPr>
              <w:pStyle w:val="P68B1DB1-Normal8"/>
              <w:spacing w:after="0" w:line="240" w:lineRule="auto"/>
              <w:jc w:val="center"/>
              <w:rPr>
                <w:rFonts w:eastAsia="Times New Roman" w:cs="Calibri"/>
                <w:noProof/>
              </w:rPr>
            </w:pPr>
            <w:r>
              <w:rPr>
                <w:noProof/>
              </w:rPr>
              <w:t>Podpis pogodbe za gradnjo železniške proge Light Rail Transitway med Odivelasom in Louresom</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077DDBE" w14:textId="3B3953C9" w:rsidR="00F24946" w:rsidRDefault="00613B06">
            <w:pPr>
              <w:pStyle w:val="P68B1DB1-Normal8"/>
              <w:spacing w:after="0" w:line="240" w:lineRule="auto"/>
              <w:jc w:val="center"/>
              <w:rPr>
                <w:rFonts w:eastAsia="Times New Roman" w:cs="Calibri"/>
                <w:noProof/>
              </w:rPr>
            </w:pPr>
            <w:r>
              <w:rPr>
                <w:noProof/>
              </w:rPr>
              <w:t>Podpis pogodbe za gradnjo železniške proge Light Rail Transitway med Odivelasom in Louresom</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18295CC"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9B96970"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90E9541"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F8099FF" w14:textId="21500CAE" w:rsidR="00F24946" w:rsidRDefault="00613B06">
            <w:pPr>
              <w:pStyle w:val="P68B1DB1-Normal8"/>
              <w:spacing w:after="0" w:line="240" w:lineRule="auto"/>
              <w:jc w:val="center"/>
              <w:rPr>
                <w:rFonts w:eastAsia="Times New Roman" w:cs="Calibri"/>
                <w:noProof/>
              </w:rPr>
            </w:pPr>
            <w:r>
              <w:rPr>
                <w:noProof/>
              </w:rPr>
              <w:t>ČETRTLETJE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3A09061" w14:textId="0BCE3452" w:rsidR="00F24946" w:rsidRDefault="00613B06">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1CFDF65" w14:textId="783876D7" w:rsidR="00F24946" w:rsidRDefault="00613B06">
            <w:pPr>
              <w:pStyle w:val="P68B1DB1-Normal8"/>
              <w:spacing w:after="0" w:line="240" w:lineRule="auto"/>
              <w:jc w:val="both"/>
              <w:rPr>
                <w:rFonts w:eastAsia="Times New Roman" w:cs="Calibri"/>
                <w:noProof/>
              </w:rPr>
            </w:pPr>
            <w:r>
              <w:rPr>
                <w:noProof/>
              </w:rPr>
              <w:t xml:space="preserve">Podpis pogodbe o izvajanju projekta med javnimi organi in izvajalcem, izbranim v razpisnem postopku. Namen pogodbe je gradnja železniške proge Light Rail Transitway med Odivelasom in Louresom. </w:t>
            </w:r>
          </w:p>
        </w:tc>
      </w:tr>
      <w:tr w:rsidR="00F24946" w14:paraId="2C0CA749" w14:textId="77777777">
        <w:trPr>
          <w:trHeight w:val="2527"/>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54BFE5C9" w14:textId="29341BA1" w:rsidR="00F24946" w:rsidRDefault="00613B06">
            <w:pPr>
              <w:pStyle w:val="P68B1DB1-Normal7"/>
              <w:spacing w:after="0" w:line="240" w:lineRule="auto"/>
              <w:jc w:val="center"/>
              <w:rPr>
                <w:rFonts w:eastAsia="Times New Roman" w:cs="Calibri"/>
                <w:noProof/>
              </w:rPr>
            </w:pPr>
            <w:r>
              <w:rPr>
                <w:noProof/>
              </w:rPr>
              <w:t>15.8</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DF29A2" w14:textId="4F14BD57" w:rsidR="00F24946" w:rsidRDefault="00613B06">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4D0EFB" w14:textId="69B081E1" w:rsidR="00F24946" w:rsidRDefault="00613B06">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4498EF" w14:textId="33737552" w:rsidR="00F24946" w:rsidRDefault="00613B06">
            <w:pPr>
              <w:pStyle w:val="P68B1DB1-Normal8"/>
              <w:spacing w:after="0" w:line="240" w:lineRule="auto"/>
              <w:jc w:val="center"/>
              <w:rPr>
                <w:rFonts w:eastAsia="Times New Roman" w:cs="Calibri"/>
                <w:noProof/>
              </w:rPr>
            </w:pPr>
            <w:r>
              <w:rPr>
                <w:noProof/>
              </w:rPr>
              <w:t>Poročilo o napredku pri gradnji železniške proge Light Rail Transitway med Odivelasom in Louresom</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9ABFC70" w14:textId="6F68A9CC" w:rsidR="00F24946" w:rsidRDefault="00613B06">
            <w:pPr>
              <w:pStyle w:val="P68B1DB1-Normal8"/>
              <w:spacing w:after="0" w:line="240" w:lineRule="auto"/>
              <w:jc w:val="center"/>
              <w:rPr>
                <w:rFonts w:eastAsia="Times New Roman" w:cs="Calibri"/>
                <w:noProof/>
              </w:rPr>
            </w:pPr>
            <w:r>
              <w:rPr>
                <w:noProof/>
              </w:rPr>
              <w:t>Poročilo o napredku, v katerem je navedeno, da dela napredujejo v skladu s časovnim razporedom</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0038F1" w14:textId="77777777" w:rsidR="00F24946" w:rsidRDefault="00F24946">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419550BD" w14:textId="77777777" w:rsidR="00F24946" w:rsidRDefault="00F24946">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8473EAD" w14:textId="77777777" w:rsidR="00F24946" w:rsidRDefault="00F24946">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3C286D" w14:textId="1D46DD3D" w:rsidR="00F24946" w:rsidRDefault="00613B06">
            <w:pPr>
              <w:pStyle w:val="P68B1DB1-Normal8"/>
              <w:spacing w:after="0" w:line="240" w:lineRule="auto"/>
              <w:jc w:val="center"/>
              <w:rPr>
                <w:rFonts w:eastAsia="Times New Roman" w:cs="Calibri"/>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EE78C35" w14:textId="00B9F427" w:rsidR="00F24946" w:rsidRDefault="00613B06">
            <w:pPr>
              <w:pStyle w:val="P68B1DB1-Normal8"/>
              <w:spacing w:after="0" w:line="240" w:lineRule="auto"/>
              <w:jc w:val="center"/>
              <w:rPr>
                <w:rFonts w:eastAsia="Times New Roman" w:cs="Calibri"/>
                <w:noProof/>
              </w:rPr>
            </w:pPr>
            <w:r>
              <w:rPr>
                <w:noProof/>
              </w:rPr>
              <w:t>2025</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33FA7FFC" w14:textId="633FF37D" w:rsidR="00F24946" w:rsidRDefault="00613B06">
            <w:pPr>
              <w:pStyle w:val="P68B1DB1-Normal8"/>
              <w:spacing w:after="0" w:line="240" w:lineRule="auto"/>
              <w:jc w:val="both"/>
              <w:rPr>
                <w:rFonts w:eastAsia="Times New Roman" w:cs="Calibri"/>
                <w:noProof/>
              </w:rPr>
            </w:pPr>
            <w:r>
              <w:rPr>
                <w:noProof/>
              </w:rPr>
              <w:t>Razvoj del za gradnjo železniške proge Light Rail Transitway med Odivelasom in Louresom ter skladnost s časovnim razporedom za njihovo izvedbo se merita z rednimi poročili o napredku skozi celotno izvedbo del. Vključuje oceno razvoja dela v skladu z načrtovanim časovnim razporedom, vključno z opredelitvijo že zaključenih dejavnosti, opredelitvijo dejavnosti, ki jih je treba izvesti, in analizo tveganja predlaganih rokov za izvedbo, po potrebi z načrtom za ublažitev in načrtom ukrepov ob nepredvidljivih dogodkih, da se zagotovi, da se pogodba zaključi v predlaganih rokih. Mejnik je dosežen, če je v poročilu o napredku navedeno, da dela v času mejnika napredujejo v skladu s časovnim razporedom.</w:t>
            </w:r>
          </w:p>
        </w:tc>
      </w:tr>
      <w:tr w:rsidR="00F24946" w14:paraId="5ACB540A" w14:textId="77777777">
        <w:trPr>
          <w:trHeight w:val="64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7C7A72F5" w14:textId="276CF2CE" w:rsidR="00F24946" w:rsidRDefault="00613B06">
            <w:pPr>
              <w:pStyle w:val="P68B1DB1-Normal7"/>
              <w:spacing w:after="0" w:line="240" w:lineRule="auto"/>
              <w:jc w:val="center"/>
              <w:rPr>
                <w:rFonts w:eastAsia="Times New Roman" w:cs="Calibri"/>
                <w:noProof/>
              </w:rPr>
            </w:pPr>
            <w:r>
              <w:rPr>
                <w:noProof/>
              </w:rPr>
              <w:t>15.9</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99203D" w14:textId="19AB8DFF" w:rsidR="00F24946" w:rsidRDefault="00613B06">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7661C3" w14:textId="65733C36" w:rsidR="00F24946" w:rsidRDefault="00613B06">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1911FA7" w14:textId="10D9D5E3" w:rsidR="00F24946" w:rsidRDefault="00613B06">
            <w:pPr>
              <w:pStyle w:val="P68B1DB1-Normal8"/>
              <w:spacing w:after="0" w:line="240" w:lineRule="auto"/>
              <w:jc w:val="center"/>
              <w:rPr>
                <w:rFonts w:eastAsia="Times New Roman" w:cs="Calibri"/>
                <w:noProof/>
              </w:rPr>
            </w:pPr>
            <w:r>
              <w:rPr>
                <w:noProof/>
              </w:rPr>
              <w:t>Dokončana gradnja železniške tranzitne proge med Odivelasom in Louresom</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781649" w14:textId="77777777" w:rsidR="00F24946" w:rsidRDefault="00F24946">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4FBAABA" w14:textId="0FEF1905" w:rsidR="00F24946" w:rsidRDefault="00613B06">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5D1663D" w14:textId="629F8717" w:rsidR="00F24946" w:rsidRDefault="00613B06">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D4C315A" w14:textId="78D81EC8" w:rsidR="00F24946" w:rsidRDefault="00613B06">
            <w:pPr>
              <w:pStyle w:val="P68B1DB1-Normal8"/>
              <w:spacing w:after="0" w:line="240" w:lineRule="auto"/>
              <w:jc w:val="center"/>
              <w:rPr>
                <w:rFonts w:eastAsia="Times New Roman" w:cs="Calibri"/>
                <w:noProof/>
              </w:rPr>
            </w:pPr>
            <w:r>
              <w:rPr>
                <w:noProof/>
              </w:rPr>
              <w:t>11.5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F0E1D2A" w14:textId="1621DBB7" w:rsidR="00F24946" w:rsidRDefault="00613B06">
            <w:pPr>
              <w:pStyle w:val="P68B1DB1-Normal8"/>
              <w:spacing w:after="0" w:line="240" w:lineRule="auto"/>
              <w:jc w:val="center"/>
              <w:rPr>
                <w:rFonts w:eastAsia="Times New Roman" w:cs="Calibri"/>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B81BB6F" w14:textId="2BF6C0A4" w:rsidR="00F24946" w:rsidRDefault="00613B06">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B006FBB" w14:textId="239AB1DE" w:rsidR="00F24946" w:rsidRDefault="00613B06">
            <w:pPr>
              <w:pStyle w:val="P68B1DB1-Normal8"/>
              <w:spacing w:after="0" w:line="240" w:lineRule="auto"/>
              <w:jc w:val="both"/>
              <w:rPr>
                <w:rFonts w:eastAsia="Times New Roman" w:cs="Calibri"/>
                <w:noProof/>
              </w:rPr>
            </w:pPr>
            <w:r>
              <w:rPr>
                <w:noProof/>
              </w:rPr>
              <w:t xml:space="preserve">Dolžina gradbenih del, zaključenih za tranzitno progo lahke železnice za povezavo Loures z lizbonsko mrežo Metro v Odivelasu. Nova tranzitna proga lahke železnice je pripravljena na takojšnje izvajanje načrtovanih prevoznih storitev. </w:t>
            </w:r>
          </w:p>
        </w:tc>
      </w:tr>
    </w:tbl>
    <w:p w14:paraId="0B3D7BA5"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5D80F2C0"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3B5D196"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3311E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19EC9F83" w14:textId="1B8178D1"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KOMPONENTA 16: Podjetja 4.0</w:t>
      </w:r>
    </w:p>
    <w:p w14:paraId="25B02CF9" w14:textId="77777777" w:rsidR="00F24946" w:rsidRDefault="00613B06">
      <w:pPr>
        <w:pStyle w:val="P68B1DB1-Normal4"/>
        <w:keepNext/>
        <w:spacing w:before="40" w:after="0" w:line="259" w:lineRule="auto"/>
        <w:jc w:val="both"/>
        <w:rPr>
          <w:rFonts w:eastAsiaTheme="minorEastAsia" w:cs="Times New Roman"/>
          <w:noProof/>
        </w:rPr>
      </w:pPr>
      <w:r>
        <w:rPr>
          <w:noProof/>
        </w:rPr>
        <w:t>Komponenta obravnava izzive, povezane z nizko digitalizacijo podjetij. Glede na rezultate indeksa digitalnega gospodarstva in družbe (DESI 2020) se Portugalska uvršča na</w:t>
      </w:r>
      <w:r>
        <w:rPr>
          <w:noProof/>
          <w:vertAlign w:val="superscript"/>
        </w:rPr>
        <w:t>19. mesto</w:t>
      </w:r>
      <w:r>
        <w:rPr>
          <w:noProof/>
        </w:rPr>
        <w:t xml:space="preserve"> v EU in pod povprečjem EU. Najbolj krhke razsežnosti na Portugalskem so razsežnosti „Human Capital“ in „Uporaba internetnih storitev“ ter nekatere razsežnosti „integrirajočih digitalnih tehnologij“, ki odražajo omejitve digitalne zmogljivosti in uspešnosti podjetij. </w:t>
      </w:r>
    </w:p>
    <w:p w14:paraId="72BA11C3" w14:textId="673C874D" w:rsidR="00F24946" w:rsidRDefault="00613B06">
      <w:pPr>
        <w:pStyle w:val="P68B1DB1-Normal4"/>
        <w:keepNext/>
        <w:spacing w:before="40" w:after="0" w:line="259" w:lineRule="auto"/>
        <w:jc w:val="both"/>
        <w:rPr>
          <w:rFonts w:eastAsiaTheme="minorEastAsia" w:cs="Times New Roman"/>
          <w:noProof/>
        </w:rPr>
      </w:pPr>
      <w:r>
        <w:rPr>
          <w:noProof/>
        </w:rPr>
        <w:t>Cilji komponente so usmerjeni v poslovni sektor, zlasti MSP in njihove zaposlene, z naložbami za pospešitev digitalnega prehoda, ki jih dopolnjuje krepitev digitalnih znanj in spretnosti zaposlene delovne sile. Naložbe predvidevajo naslednje ukrepe:</w:t>
      </w:r>
    </w:p>
    <w:p w14:paraId="674866B7" w14:textId="34492028" w:rsidR="00F24946" w:rsidRDefault="00613B06">
      <w:pPr>
        <w:pStyle w:val="P68B1DB1-Normal4"/>
        <w:keepNext/>
        <w:numPr>
          <w:ilvl w:val="0"/>
          <w:numId w:val="32"/>
        </w:numPr>
        <w:spacing w:before="40" w:after="160" w:line="259" w:lineRule="auto"/>
        <w:contextualSpacing/>
        <w:jc w:val="both"/>
        <w:rPr>
          <w:rFonts w:eastAsiaTheme="minorEastAsia" w:cs="Times New Roman"/>
          <w:noProof/>
        </w:rPr>
      </w:pPr>
      <w:r>
        <w:rPr>
          <w:noProof/>
        </w:rPr>
        <w:t>Krepitev digitalnih spretnosti zaposlenih in delovno sposobnega prebivalstva;</w:t>
      </w:r>
    </w:p>
    <w:p w14:paraId="5F996481" w14:textId="77777777" w:rsidR="00F24946" w:rsidRDefault="00613B06">
      <w:pPr>
        <w:pStyle w:val="P68B1DB1-Normal4"/>
        <w:keepNext/>
        <w:numPr>
          <w:ilvl w:val="0"/>
          <w:numId w:val="32"/>
        </w:numPr>
        <w:spacing w:before="40" w:after="160" w:line="259" w:lineRule="auto"/>
        <w:contextualSpacing/>
        <w:jc w:val="both"/>
        <w:rPr>
          <w:rFonts w:eastAsiaTheme="minorEastAsia" w:cs="Times New Roman"/>
          <w:noProof/>
        </w:rPr>
      </w:pPr>
      <w:r>
        <w:rPr>
          <w:noProof/>
        </w:rPr>
        <w:t>Posodobitev poslovnega modela podjetij in njihovih proizvodnih procesov, vključno z digitalizacijo poteka dela, kot so poslovno upravljanje, inovativni izdelki in izdajanje računov;</w:t>
      </w:r>
    </w:p>
    <w:p w14:paraId="1AB18387" w14:textId="77777777" w:rsidR="00F24946" w:rsidRDefault="00613B06">
      <w:pPr>
        <w:pStyle w:val="P68B1DB1-Normal4"/>
        <w:keepNext/>
        <w:numPr>
          <w:ilvl w:val="0"/>
          <w:numId w:val="32"/>
        </w:numPr>
        <w:spacing w:before="40" w:after="160" w:line="259" w:lineRule="auto"/>
        <w:contextualSpacing/>
        <w:jc w:val="both"/>
        <w:rPr>
          <w:rFonts w:eastAsiaTheme="minorEastAsia" w:cs="Times New Roman"/>
          <w:noProof/>
        </w:rPr>
      </w:pPr>
      <w:r>
        <w:rPr>
          <w:noProof/>
        </w:rPr>
        <w:t>Vzpostavitev novih digitalnih tržnih kanalov za proizvode in storitve;</w:t>
      </w:r>
    </w:p>
    <w:p w14:paraId="270FA3A4" w14:textId="77777777" w:rsidR="00F24946" w:rsidRDefault="00613B06">
      <w:pPr>
        <w:pStyle w:val="P68B1DB1-Normal4"/>
        <w:keepNext/>
        <w:numPr>
          <w:ilvl w:val="0"/>
          <w:numId w:val="32"/>
        </w:numPr>
        <w:spacing w:before="40" w:after="160" w:line="259" w:lineRule="auto"/>
        <w:contextualSpacing/>
        <w:jc w:val="both"/>
        <w:rPr>
          <w:rFonts w:eastAsiaTheme="minorEastAsia" w:cs="Times New Roman"/>
          <w:noProof/>
        </w:rPr>
      </w:pPr>
      <w:r>
        <w:rPr>
          <w:noProof/>
        </w:rPr>
        <w:t>Inovacije in vključevanje naprednih digitalnih tehnologij v poslovni model podjetij; in</w:t>
      </w:r>
    </w:p>
    <w:p w14:paraId="1E059D00" w14:textId="77777777" w:rsidR="00F24946" w:rsidRDefault="00613B06">
      <w:pPr>
        <w:pStyle w:val="P68B1DB1-Normal4"/>
        <w:keepNext/>
        <w:numPr>
          <w:ilvl w:val="0"/>
          <w:numId w:val="32"/>
        </w:numPr>
        <w:spacing w:before="40" w:after="160" w:line="259" w:lineRule="auto"/>
        <w:contextualSpacing/>
        <w:jc w:val="both"/>
        <w:rPr>
          <w:rFonts w:eastAsiaTheme="minorEastAsia" w:cs="Times New Roman"/>
          <w:noProof/>
        </w:rPr>
      </w:pPr>
      <w:r>
        <w:rPr>
          <w:noProof/>
        </w:rPr>
        <w:t>Spodbujanje digitalnega podjetništva.</w:t>
      </w:r>
    </w:p>
    <w:p w14:paraId="5864DB58" w14:textId="77777777" w:rsidR="00F24946" w:rsidRDefault="00613B06">
      <w:pPr>
        <w:pStyle w:val="P68B1DB1-Normal4"/>
        <w:spacing w:after="0" w:line="240" w:lineRule="auto"/>
        <w:ind w:left="60"/>
        <w:jc w:val="both"/>
        <w:textAlignment w:val="baseline"/>
        <w:rPr>
          <w:rFonts w:eastAsiaTheme="minorEastAsia" w:cs="Times New Roman"/>
          <w:noProof/>
        </w:rPr>
      </w:pPr>
      <w:r>
        <w:rPr>
          <w:noProof/>
        </w:rPr>
        <w:t>Komponenta podpira obravnavanje priporočil za posamezne države v zvezi s podporo uporabi digitalnih tehnologij, zagotavljanjem enakega dostopa do kakovostnega izobraževanja in usposabljanja, spodbujanjem konkurenčnosti podjetij ter podpiranjem zaposlovanja in dajanjem prednosti ukrepom za ohranjanje delovnih mest (priporočilo za posamezno državo št. 2 2020). Komponenta podpira tudi obravnavanje priporočil za posamezne države za izboljšanje ravni znanj in spretnosti prebivalstva, zlasti njihove digitalne pismenosti, vključno z izboljšanjem ustreznosti izobraževanja odraslih glede na potrebe trga dela (priporočilo za posamezno državo št. 2 iz leta 2019) in osredotočanju naložb na digitalni prehod (priporočilo za posamezno državo št. 3 iz leta 2020).</w:t>
      </w:r>
    </w:p>
    <w:p w14:paraId="303FB0B6" w14:textId="77777777" w:rsidR="00F24946" w:rsidRDefault="00613B06">
      <w:pPr>
        <w:pStyle w:val="P68B1DB1-Normal4"/>
        <w:spacing w:before="40" w:after="0" w:line="259" w:lineRule="auto"/>
        <w:ind w:left="130" w:firstLine="720"/>
        <w:jc w:val="both"/>
        <w:outlineLvl w:val="1"/>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166B059E" w14:textId="77777777" w:rsidR="00F24946" w:rsidRDefault="00F24946">
      <w:pPr>
        <w:spacing w:before="40" w:after="0" w:line="259" w:lineRule="auto"/>
        <w:ind w:left="130" w:firstLine="720"/>
        <w:jc w:val="both"/>
        <w:outlineLvl w:val="1"/>
        <w:rPr>
          <w:rFonts w:ascii="Times New Roman" w:eastAsiaTheme="minorEastAsia" w:hAnsi="Times New Roman" w:cs="Times New Roman"/>
          <w:noProof/>
          <w:sz w:val="24"/>
        </w:rPr>
      </w:pPr>
    </w:p>
    <w:p w14:paraId="22C34D86"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P.1. Opis reform in naložb za nepovratno finančno podporo</w:t>
      </w:r>
    </w:p>
    <w:p w14:paraId="3981E054"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Reforma TD-r31: Digitalni prehod poslovnega okolja</w:t>
      </w:r>
    </w:p>
    <w:p w14:paraId="4687B767" w14:textId="77777777" w:rsidR="00F24946" w:rsidRDefault="00613B06">
      <w:pPr>
        <w:pStyle w:val="P68B1DB1-Normal4"/>
        <w:spacing w:before="40" w:after="0" w:line="259" w:lineRule="auto"/>
        <w:jc w:val="both"/>
        <w:rPr>
          <w:rFonts w:eastAsiaTheme="minorEastAsia" w:cs="Times New Roman"/>
          <w:noProof/>
        </w:rPr>
      </w:pPr>
      <w:r>
        <w:rPr>
          <w:noProof/>
        </w:rPr>
        <w:t xml:space="preserve">Cilj ukrepa je okrepiti rast poslovnega okolja, da bi postalo digitalno konkurenčnejše in odpornejše v sedanjih svetovnih gospodarskih in socialnih razmerah. Ta reforma je del širšega akcijskega načrta za digitalni prehod, ki ga je Portugalska sprejela aprila 2020. </w:t>
      </w:r>
    </w:p>
    <w:p w14:paraId="5F93CFCB" w14:textId="77777777" w:rsidR="00F24946" w:rsidRDefault="00613B06">
      <w:pPr>
        <w:pStyle w:val="P68B1DB1-Normal4"/>
        <w:spacing w:before="40" w:after="0" w:line="259" w:lineRule="auto"/>
        <w:jc w:val="both"/>
        <w:rPr>
          <w:rFonts w:eastAsiaTheme="minorEastAsia" w:cs="Times New Roman"/>
          <w:noProof/>
        </w:rPr>
      </w:pPr>
      <w:r>
        <w:rPr>
          <w:noProof/>
        </w:rPr>
        <w:t>Reforma je sestavljena iz naslednjih elementov:</w:t>
      </w:r>
    </w:p>
    <w:p w14:paraId="449795BB" w14:textId="77777777" w:rsidR="00F24946" w:rsidRDefault="00613B06">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Pregled formatativne vsebine, vključene v nacionalni katalog kvalifikacij, zlasti v zvezi z digitalnimi znanji in spretnostmi za uporabo v poklicnem okviru. Ta prenova je usklajena z najnovejšim tehnološkim razvojem in najnujnejšimi potrebami podjetij v različnih gospodarskih sektorjih. V ta namen bodo lahko od leta 2021 na voljo nove poti usposabljanja in kratkotrajni tečaji usposabljanja.</w:t>
      </w:r>
    </w:p>
    <w:p w14:paraId="065811DC" w14:textId="77777777" w:rsidR="00F24946" w:rsidRDefault="00613B06">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Vzpostavitev pravnega in regulativnega okvira, potrebnega za ustvarjanje digitalnih pečatov na področjih kibernetske varnosti, zasebnosti, trajnostnosti in uporabnosti. Ta okvir in spodbujanje digitalnega zaupanja sta predpogoj za izvajanje naložb v digitalne žige, predvidene v tej komponenti.</w:t>
      </w:r>
    </w:p>
    <w:p w14:paraId="7BB1E01D" w14:textId="77777777" w:rsidR="00F24946" w:rsidRDefault="00613B06">
      <w:pPr>
        <w:pStyle w:val="P68B1DB1-Normal4"/>
        <w:spacing w:before="40" w:after="0" w:line="259" w:lineRule="auto"/>
        <w:jc w:val="both"/>
        <w:rPr>
          <w:rFonts w:eastAsiaTheme="minorEastAsia" w:cs="Times New Roman"/>
          <w:noProof/>
        </w:rPr>
      </w:pPr>
      <w:r>
        <w:rPr>
          <w:noProof/>
        </w:rPr>
        <w:t xml:space="preserve">Reforma se izvede do 31. marca 2022. </w:t>
      </w:r>
    </w:p>
    <w:p w14:paraId="71EFA567"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TD-C16-i01: Digitalna krepitev vloge podjetij</w:t>
      </w:r>
    </w:p>
    <w:p w14:paraId="11A95DC7" w14:textId="74636A6E" w:rsidR="00F24946" w:rsidRDefault="00613B06">
      <w:pPr>
        <w:pStyle w:val="P68B1DB1-Normal4"/>
        <w:spacing w:before="40" w:after="0" w:line="259" w:lineRule="auto"/>
        <w:jc w:val="both"/>
        <w:rPr>
          <w:rFonts w:eastAsiaTheme="minorEastAsia" w:cs="Times New Roman"/>
          <w:noProof/>
        </w:rPr>
      </w:pPr>
      <w:r>
        <w:rPr>
          <w:noProof/>
        </w:rPr>
        <w:t>Cilji ukrepa so povečati digitalna znanja in spretnosti delovno sposobnega prebivalstva, vključno z zaposlenimi in vodstvenimi delavci, s posebnim poudarkom na podjetjih v industrijskem, trgovinskem, storitvenem, turističnem in kmetijskem sektorju, da bi povečali število digitalno usposobljenih delavcev ter izboljšali konkurenčnost in odpornost podjetij, s čimer bi prispevali tudi k ohranjanju in ustvarjanju delovnih mest. Te naložbe bodo prispevale k povečanju števila kvalificiranih delovnih mest v obstoječih podjetjih in spodbudile ustanavljanje novih podjetij.</w:t>
      </w:r>
    </w:p>
    <w:p w14:paraId="297F4A6D" w14:textId="77777777" w:rsidR="00F24946" w:rsidRDefault="00613B06">
      <w:pPr>
        <w:pStyle w:val="P68B1DB1-Normal4"/>
        <w:spacing w:before="40" w:after="0" w:line="259" w:lineRule="auto"/>
        <w:jc w:val="both"/>
        <w:rPr>
          <w:rFonts w:eastAsiaTheme="minorEastAsia" w:cs="Times New Roman"/>
          <w:noProof/>
        </w:rPr>
      </w:pPr>
      <w:r>
        <w:rPr>
          <w:noProof/>
        </w:rPr>
        <w:t>Naložbo sestavljata dva medsebojno povezana programa usposabljanja, ki se vzpostavita za odpravo vrzeli v digitalnih znanjih in spretnostih delavcev (zaposlenih in vodstvenih delavcev) ter podjetij. Pričakuje se, da bodo naložbe vplivale na nove politike in prispevale k razvoju vseživljenjskega poklicnega znanja in spretnosti ter praks usposabljanja. Pričakuje se tudi, da bodo naložbe izboljšale sposobnost podjetij, da se soočijo z izzivi in izkoristijo priložnosti, ki jih prinaša tehnologija. Ukrepa sta:</w:t>
      </w:r>
    </w:p>
    <w:p w14:paraId="1356F4BE" w14:textId="24F6FE3D" w:rsidR="00F24946" w:rsidRDefault="00613B06">
      <w:pPr>
        <w:pStyle w:val="P68B1DB1-Normal4"/>
        <w:keepNext/>
        <w:numPr>
          <w:ilvl w:val="0"/>
          <w:numId w:val="48"/>
        </w:numPr>
        <w:spacing w:before="40" w:after="160" w:line="259" w:lineRule="auto"/>
        <w:contextualSpacing/>
        <w:jc w:val="both"/>
        <w:rPr>
          <w:rFonts w:eastAsiaTheme="minorEastAsia" w:cs="Times New Roman"/>
          <w:noProof/>
        </w:rPr>
      </w:pPr>
      <w:r>
        <w:rPr>
          <w:noProof/>
        </w:rPr>
        <w:t>Akademija Portugal Digital: na voljo celotnemu delovno sposobnemu prebivalstvu, s ciljem doseči 500000 diagnostike digitalnih znanj in spretnosti ter 125000 udeležencev v spletnem, kombiniranem in osebnem usposabljanju na področju digitalnih znanj in spretnosti. To vključuje tudi vzpostavitev 50 ad hoc MOOC, ki bo na voljo na spletni platformi.</w:t>
      </w:r>
    </w:p>
    <w:p w14:paraId="09F7D8E5" w14:textId="328442CD" w:rsidR="00F24946" w:rsidRDefault="00613B06">
      <w:pPr>
        <w:pStyle w:val="P68B1DB1-Normal4"/>
        <w:keepNext/>
        <w:numPr>
          <w:ilvl w:val="0"/>
          <w:numId w:val="48"/>
        </w:numPr>
        <w:spacing w:before="40" w:after="160" w:line="259" w:lineRule="auto"/>
        <w:contextualSpacing/>
        <w:jc w:val="both"/>
        <w:rPr>
          <w:rFonts w:eastAsiaTheme="minorEastAsia" w:cs="Times New Roman"/>
          <w:noProof/>
        </w:rPr>
      </w:pPr>
      <w:r>
        <w:rPr>
          <w:noProof/>
        </w:rPr>
        <w:t>Zaposlovanje + digitalno leto 2025: cilj je 200000 udeležencem ponuditi globlje spletno, osebno ali kombinirano usposabljanje na področju digitalnih znanj in spretnosti</w:t>
      </w:r>
    </w:p>
    <w:p w14:paraId="044881B1"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septembra 2025.</w:t>
      </w:r>
    </w:p>
    <w:p w14:paraId="6CA41520"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TD-C16-i02: Digitalni prehod podjetij</w:t>
      </w:r>
    </w:p>
    <w:p w14:paraId="6DCB64CF" w14:textId="77777777" w:rsidR="00F24946" w:rsidRDefault="00613B06">
      <w:pPr>
        <w:pStyle w:val="P68B1DB1-Normal4"/>
        <w:spacing w:before="40" w:after="0" w:line="259" w:lineRule="auto"/>
        <w:jc w:val="both"/>
        <w:rPr>
          <w:rFonts w:eastAsiaTheme="minorEastAsia" w:cs="Times New Roman"/>
          <w:noProof/>
        </w:rPr>
      </w:pPr>
      <w:r>
        <w:rPr>
          <w:noProof/>
        </w:rPr>
        <w:t xml:space="preserve">Cilj ukrepa je prispevati k preoblikovanju poslovnih modelov portugalskih MSP in njihovi digitalizaciji. To je zlasti pomembno glede na dejstvo, da v portugalskem gospodarstvu prevladujejo predvsem mikropodjetja, ki so manj digitalno dejavna kot večja podjetja. Cilj naložbe je torej z vključevanjem MSP v digitalizacijo podjetij preoblikovati poslovni model portugalskega gospodarstva ter prispevati k večji konkurenčnosti in odpornosti. </w:t>
      </w:r>
    </w:p>
    <w:p w14:paraId="2EE74087" w14:textId="77777777" w:rsidR="00F24946" w:rsidRDefault="00613B06">
      <w:pPr>
        <w:pStyle w:val="P68B1DB1-Normal4"/>
        <w:spacing w:before="40" w:after="0" w:line="259" w:lineRule="auto"/>
        <w:jc w:val="both"/>
        <w:rPr>
          <w:rFonts w:eastAsiaTheme="minorEastAsia" w:cs="Times New Roman"/>
          <w:noProof/>
        </w:rPr>
      </w:pPr>
      <w:r>
        <w:rPr>
          <w:noProof/>
        </w:rPr>
        <w:t>Naložba je sestavljena iz štirih skupin ukrepov:</w:t>
      </w:r>
    </w:p>
    <w:p w14:paraId="78A34119" w14:textId="7D7B529F"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„Nacionalno omrežje za preskusne naprave“: cilj vzpostavitve nacionalnega omrežja za preskusne naprave je bil ustvariti pogoje za podjetja za razvoj in preskušanje novih izdelkov in storitev ter pospešiti proces digitalne preobrazbe, bodisi s fizično opremo in opremo za preskušanje infrastrukture ali virtualnimi/digitalnimi simulatorji. Cilj je vzpostaviti 30 infrastruktur preskusne postelje in preskusiti vsaj 3000 pilotnih proizvodov ali storitev.</w:t>
      </w:r>
    </w:p>
    <w:p w14:paraId="2A0555EB" w14:textId="2B9E5CCC"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Digitalno poslovanje: program za digitalizacijo MSP, s poudarkom na mikropodjetjih v komercialnem sektorju, za aktiviranje njihovih digitalnih kanalov trgovanja, vključitev tehnologije v poslovne modele in dematerializacijo procesov s strankami in dobavitelji z uporabo informacijskih in komunikacijskih tehnologij. Zajema tri projekte: I) „pospeševalci digitalne trgovine“ z ustanovitvijo 25 lokalnih, regionalnih ali sektorskih pospeševalcev (subjektov, ki zagotavljajo mentorstvo, mentorstvo, finančno podporo zagonskim podjetjem in MSP za pomoč pri njihovi rasti) in sistemom finančnih spodbud za digitalizacijo poslovnih modelov MSP (cilj je 25000 MSP); II) „soseščine digitalne trgovine“, ki podpirajo digitalizacijo (z lokalnimi platformami za e-trgovanje in dostavo) 75 nakupovalnih območij v mestnih središčih, primestnih ali podeželskih območjih, da bi okrepili ta območja ter spodbujali teritorialno kohezijo in lokalno gospodarstvo; III) „Mednacionalizacija prek e-trgovanja“ za pomoč podjetjem pri razvoju novih prodajnih poti v tujini prek spletne prodaje.</w:t>
      </w:r>
    </w:p>
    <w:p w14:paraId="29BDD956" w14:textId="77777777"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 xml:space="preserve">Podpora digitalnemu prehodu poslovnih modelov: Mentorstvo 4.0, program za podporo podjetjem pri uvajanju naprednih digitalnih tehnologij. </w:t>
      </w:r>
    </w:p>
    <w:p w14:paraId="73477E39" w14:textId="77777777"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Podjetništvo: z ukrepi, kot je i) „Voucher for Start-ups – New Green and Digital Products“, program bonov, namenjen podpori zagonskim podjetjem, ki želijo razviti digitalne in okolju prijazne poslovne modele; II) „Krepitev nacionalne podjetniške strukture – Startup Portugal“ z naložbami v kartiranje zagonskega okolja, da se opredelijo izzivi in rešitve, povezani s podjetniško agendo in izvajanjem ustreznih akcijskih načrtov; in iii) „zagonski inkubatorji/pospeševalci“ za podporo inkubatorjem in pospeševalcem pri njihovem razvoju, vključno s sprejetjem nove digitalne tehnologije, izboljšanje virov, ki so jim na voljo, ter krepitev njihovega znanja in zmogljivosti za podporo zagonskim podjetjem z digitalnimi poslovnimi modeli.</w:t>
      </w:r>
    </w:p>
    <w:p w14:paraId="18C24393" w14:textId="77777777" w:rsidR="00F24946" w:rsidRDefault="00613B06">
      <w:pPr>
        <w:pStyle w:val="P68B1DB1-Normal4"/>
        <w:keepNext/>
        <w:spacing w:before="40" w:after="0" w:line="259" w:lineRule="auto"/>
        <w:jc w:val="both"/>
        <w:rPr>
          <w:rFonts w:eastAsiaTheme="minorEastAsia" w:cs="Times New Roman"/>
          <w:noProof/>
        </w:rPr>
      </w:pPr>
      <w:r>
        <w:rPr>
          <w:noProof/>
        </w:rPr>
        <w:t>Za finančne instrumente v okviru ukrepa „pospeševalci digitalne trgovine“, ki zagotavlja finančno podporo in finančne spodbude, da se zagotovi skladnost ukrepa s tehničnimi smernicami, da se ne škoduje bistveno (2021/C58/01), pravni sporazum med portugalskimi organi in pooblaščenim subjektom ali finančnim posrednikom, pristojnim za finančni instrument, in poznejšo naložbeno politiko finančnega instrumenta:</w:t>
      </w:r>
    </w:p>
    <w:p w14:paraId="6FA72369" w14:textId="77777777"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zahteva uporabo tehničnih smernic Komisije o preverjanju trajnostnosti za sklad InvestEU; in</w:t>
      </w:r>
    </w:p>
    <w:p w14:paraId="7A065825" w14:textId="77777777"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iz upravičenosti izključi naslednji seznam dejavnosti in sredstev: dejavnosti in sredstva, povezana s fosilnimi gorivi, vključno z nadaljnjo uporabo</w:t>
      </w:r>
      <w:r>
        <w:rPr>
          <w:noProof/>
        </w:rPr>
        <w:footnoteReference w:id="52"/>
      </w:r>
      <w:r>
        <w:rPr>
          <w:noProof/>
        </w:rPr>
        <w:t>; II) dejavnosti in sredstva v okviru sistema EU za trgovanje z emisijami (ETS), s katerimi se dosegajo predvidene emisije toplogrednih plinov, ki niso nižje od ustreznih referenčnih vrednosti</w:t>
      </w:r>
      <w:r>
        <w:rPr>
          <w:noProof/>
        </w:rPr>
        <w:footnoteReference w:id="53"/>
      </w:r>
      <w:r>
        <w:rPr>
          <w:noProof/>
        </w:rPr>
        <w:t>; III) dejavnosti in sredstva, povezana z odlagališči odpadkov, sežigalnicami</w:t>
      </w:r>
      <w:r>
        <w:rPr>
          <w:noProof/>
        </w:rPr>
        <w:footnoteReference w:id="54"/>
      </w:r>
      <w:r>
        <w:rPr>
          <w:noProof/>
        </w:rPr>
        <w:t xml:space="preserve"> in napravami za mehansko-biološko obdelavo</w:t>
      </w:r>
      <w:r>
        <w:rPr>
          <w:noProof/>
        </w:rPr>
        <w:footnoteReference w:id="55"/>
      </w:r>
      <w:r>
        <w:rPr>
          <w:noProof/>
        </w:rPr>
        <w:t>; ter iv) dejavnosti in sredstva, pri katerih lahko dolgoročno odstranjevanje odpadkov škoduje okolju; in</w:t>
      </w:r>
    </w:p>
    <w:p w14:paraId="6BD38B90" w14:textId="77777777" w:rsidR="00F24946" w:rsidRDefault="00613B06">
      <w:pPr>
        <w:pStyle w:val="P68B1DB1-Normal4"/>
        <w:keepNext/>
        <w:numPr>
          <w:ilvl w:val="0"/>
          <w:numId w:val="33"/>
        </w:numPr>
        <w:spacing w:before="40" w:after="160" w:line="259" w:lineRule="auto"/>
        <w:contextualSpacing/>
        <w:jc w:val="both"/>
        <w:rPr>
          <w:rFonts w:eastAsiaTheme="minorEastAsia" w:cs="Times New Roman"/>
          <w:noProof/>
        </w:rPr>
      </w:pPr>
      <w:r>
        <w:rPr>
          <w:noProof/>
        </w:rPr>
        <w:t>zahteva, da pooblaščeni subjekt/finančni posrednik preveri pravno skladnost projektov z ustrezno okoljsko zakonodajo EU in nacionalno okoljsko zakonodajo za vse transakcije, vključno s tistimi, ki so izvzeti iz preverjanja trajnostnosti.</w:t>
      </w:r>
    </w:p>
    <w:p w14:paraId="2D9DFB3D" w14:textId="77777777" w:rsidR="00F24946" w:rsidRDefault="00613B06">
      <w:pPr>
        <w:pStyle w:val="P68B1DB1-Normal4"/>
        <w:keepNext/>
        <w:spacing w:before="40" w:after="0" w:line="259" w:lineRule="auto"/>
        <w:jc w:val="both"/>
        <w:rPr>
          <w:rFonts w:eastAsiaTheme="minorEastAsia" w:cs="Times New Roman"/>
          <w:noProof/>
          <w:highlight w:val="green"/>
        </w:rPr>
      </w:pPr>
      <w:r>
        <w:rPr>
          <w:noProof/>
        </w:rPr>
        <w:t>Za zagotovitev, da je ukrep skladen s tehničnimi smernicami za načelo, da se ne škoduje bistveno (2021/C58/01), merila za upravičenost iz razpisnih pogojev za prihodnje razpise za projekte izključujejo naslednji seznam dejavnosti: dejavnosti, povezane s fosilnimi gorivi, vključno z nadaljnjo uporabo</w:t>
      </w:r>
      <w:r>
        <w:rPr>
          <w:noProof/>
        </w:rPr>
        <w:footnoteReference w:id="56"/>
      </w:r>
      <w:r>
        <w:rPr>
          <w:noProof/>
        </w:rPr>
        <w:t>; II) dejavnosti v okviru sistema EU za trgovanje z emisijami (ETS), s katerimi se dosegajo predvidene emisije toplogrednih plinov, ki niso nižje od ustreznih referenčnih vrednosti</w:t>
      </w:r>
      <w:r>
        <w:rPr>
          <w:noProof/>
        </w:rPr>
        <w:footnoteReference w:id="57"/>
      </w:r>
      <w:r>
        <w:rPr>
          <w:noProof/>
        </w:rPr>
        <w:t>; III) dejavnosti, povezane z odlagališči odpadkov, sežigalnicami</w:t>
      </w:r>
      <w:r>
        <w:rPr>
          <w:noProof/>
        </w:rPr>
        <w:footnoteReference w:id="58"/>
      </w:r>
      <w:r>
        <w:rPr>
          <w:noProof/>
        </w:rPr>
        <w:t xml:space="preserve"> in napravami za mehansko-biološko obdelavo</w:t>
      </w:r>
      <w:r>
        <w:rPr>
          <w:noProof/>
        </w:rPr>
        <w:footnoteReference w:id="59"/>
      </w:r>
      <w:r>
        <w:rPr>
          <w:noProof/>
        </w:rPr>
        <w:t>; in iv) dejavnosti, pri katerih lahko dolgoročno odstranjevanje odpadkov škoduje okolju. Poleg tega se zahteva, da se lahko izberejo samo dejavnosti, ki so skladne z ustrezno okoljsko zakonodajo EU in nacionalno okoljsko zakonodajo.</w:t>
      </w:r>
    </w:p>
    <w:p w14:paraId="5BF7FFC2"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septembra 2025.</w:t>
      </w:r>
    </w:p>
    <w:p w14:paraId="541BAAE3" w14:textId="77777777" w:rsidR="00F24946" w:rsidRDefault="00613B06">
      <w:pPr>
        <w:pStyle w:val="P68B1DB1-Normal5"/>
        <w:spacing w:before="240" w:after="0" w:line="259" w:lineRule="auto"/>
        <w:ind w:left="851"/>
        <w:jc w:val="both"/>
        <w:outlineLvl w:val="2"/>
        <w:rPr>
          <w:rFonts w:eastAsiaTheme="minorEastAsia" w:cs="Times New Roman"/>
          <w:noProof/>
        </w:rPr>
      </w:pPr>
      <w:r>
        <w:rPr>
          <w:noProof/>
        </w:rPr>
        <w:t>Naložba TD-C16-i03: katalizator za digitalni prehod podjetij</w:t>
      </w:r>
    </w:p>
    <w:p w14:paraId="4477B881" w14:textId="77777777" w:rsidR="00F24946" w:rsidRDefault="00613B06">
      <w:pPr>
        <w:pStyle w:val="P68B1DB1-Normal4"/>
        <w:spacing w:before="40" w:after="0" w:line="259" w:lineRule="auto"/>
        <w:jc w:val="both"/>
        <w:rPr>
          <w:rFonts w:eastAsiaTheme="minorEastAsia" w:cs="Times New Roman"/>
          <w:noProof/>
        </w:rPr>
      </w:pPr>
      <w:r>
        <w:rPr>
          <w:noProof/>
        </w:rPr>
        <w:t>Cilji ukrepa so prispevati k digitalnemu in okoljskemu prehodu družbe in podjetij.</w:t>
      </w:r>
    </w:p>
    <w:p w14:paraId="3FEE183C" w14:textId="77777777" w:rsidR="00F24946" w:rsidRDefault="00613B06">
      <w:pPr>
        <w:pStyle w:val="P68B1DB1-Normal4"/>
        <w:spacing w:before="40" w:after="0" w:line="259" w:lineRule="auto"/>
        <w:jc w:val="both"/>
        <w:rPr>
          <w:rFonts w:eastAsiaTheme="minorEastAsia" w:cs="Times New Roman"/>
          <w:noProof/>
        </w:rPr>
      </w:pPr>
      <w:r>
        <w:rPr>
          <w:noProof/>
        </w:rPr>
        <w:t>Naložba je sestavljena iz naslednjih treh ukrepov:</w:t>
      </w:r>
    </w:p>
    <w:p w14:paraId="2C249ACD" w14:textId="77777777" w:rsidR="00F24946" w:rsidRDefault="00613B06">
      <w:pPr>
        <w:pStyle w:val="P68B1DB1-Normal4"/>
        <w:keepNext/>
        <w:numPr>
          <w:ilvl w:val="0"/>
          <w:numId w:val="34"/>
        </w:numPr>
        <w:spacing w:before="40" w:after="160" w:line="259" w:lineRule="auto"/>
        <w:contextualSpacing/>
        <w:jc w:val="both"/>
        <w:rPr>
          <w:rFonts w:eastAsiaTheme="minorEastAsia" w:cs="Times New Roman"/>
          <w:noProof/>
        </w:rPr>
      </w:pPr>
      <w:r>
        <w:rPr>
          <w:noProof/>
        </w:rPr>
        <w:t>„Dematerializacija izdajanja računov“ s projektom za zmanjšanje uporabe papirja prek platforme za pošiljanje digitalnih računov;</w:t>
      </w:r>
    </w:p>
    <w:p w14:paraId="13537E9F" w14:textId="77777777" w:rsidR="00F24946" w:rsidRDefault="00613B06">
      <w:pPr>
        <w:pStyle w:val="P68B1DB1-Normal4"/>
        <w:keepNext/>
        <w:numPr>
          <w:ilvl w:val="0"/>
          <w:numId w:val="34"/>
        </w:numPr>
        <w:spacing w:before="40" w:after="160" w:line="259" w:lineRule="auto"/>
        <w:contextualSpacing/>
        <w:jc w:val="both"/>
        <w:rPr>
          <w:rFonts w:eastAsiaTheme="minorEastAsia" w:cs="Times New Roman"/>
          <w:noProof/>
        </w:rPr>
      </w:pPr>
      <w:r>
        <w:rPr>
          <w:noProof/>
        </w:rPr>
        <w:t>„Kibernetska varnost, zasebnost, uporabnost in certificiranje trajnostnosti“ – naložba v: oblikovanje štirih novih pečatov za kibernetsko varnost, zasebnost, uporabnost in trajnostnost; vzpostavitev platform, ki podpirajo komunikacijo med vsemi partnerji in subjekti, vključenimi v postopek (ter ustvarjanje postopkovnih podatkov, pomembnih za spremljanje programa); kampanjo za razširjanje pobude in krepitev vloge organov za ugotavljanje skladnosti ali tehničnih organov za ugotavljanje skladnosti, ki podpirajo pečate certificiranja na navedenih področjih; in</w:t>
      </w:r>
    </w:p>
    <w:p w14:paraId="052D4C91" w14:textId="7B1A0935" w:rsidR="00F24946" w:rsidRDefault="00613B06">
      <w:pPr>
        <w:pStyle w:val="P68B1DB1-Normal4"/>
        <w:keepNext/>
        <w:numPr>
          <w:ilvl w:val="0"/>
          <w:numId w:val="34"/>
        </w:numPr>
        <w:spacing w:before="40" w:after="160" w:line="259" w:lineRule="auto"/>
        <w:contextualSpacing/>
        <w:jc w:val="both"/>
        <w:rPr>
          <w:rFonts w:eastAsiaTheme="minorEastAsia" w:cs="Times New Roman"/>
          <w:noProof/>
        </w:rPr>
      </w:pPr>
      <w:r>
        <w:rPr>
          <w:noProof/>
        </w:rPr>
        <w:t>Vozlišča za digitalne inovacije: storitev za podporo podjetjem in subjektom javne uprave, da postanejo konkurenčnejši na digitalnem področju, da bi z avtomatizacijo ali vključevanjem prelomnih tehnologij izboljšali svoje proizvodne procese. Ta naložba bo okrepila in dopolnila omrežje, ki se že razvija v okviru programa za digitalno Evropo, da bi dosegla skupno 16 vozlišč za digitalne inovacije s sedežem na Portugalskem.</w:t>
      </w:r>
    </w:p>
    <w:p w14:paraId="35DF0FFF" w14:textId="77777777" w:rsidR="00F24946" w:rsidRDefault="00613B06">
      <w:pPr>
        <w:pStyle w:val="P68B1DB1-Normal4"/>
        <w:spacing w:before="40" w:after="0" w:line="259" w:lineRule="auto"/>
        <w:jc w:val="both"/>
        <w:rPr>
          <w:rFonts w:eastAsiaTheme="minorEastAsia" w:cs="Times New Roman"/>
          <w:noProof/>
        </w:rPr>
      </w:pPr>
      <w:r>
        <w:rPr>
          <w:noProof/>
        </w:rPr>
        <w:t>Za razpise, povezane z vzpostavitvijo vozlišč za digitalne inovacije, in za izbor upravičencev, ki jih podpirajo vozlišča za digitalne inovacije, da se zagotovi, da je ukrep skladen s tehničnimi smernicami za načelo, da se ne škoduje bistveno (2021/C58/01), merila za upravičenost iz opisa pristojnosti za prihodnje razpise za projekte izključujejo naslednji seznam dejavnosti: dejavnosti, povezane s fosilnimi gorivi, vključno z nadaljnjo uporabo</w:t>
      </w:r>
      <w:r>
        <w:rPr>
          <w:noProof/>
        </w:rPr>
        <w:footnoteReference w:id="60"/>
      </w:r>
      <w:r>
        <w:rPr>
          <w:noProof/>
        </w:rPr>
        <w:t>; II) dejavnosti v okviru sistema EU za trgovanje z emisijami (ETS), s katerimi se dosegajo predvidene emisije toplogrednih plinov, ki niso nižje od ustreznih referenčnih vrednosti</w:t>
      </w:r>
      <w:r>
        <w:rPr>
          <w:noProof/>
        </w:rPr>
        <w:footnoteReference w:id="61"/>
      </w:r>
      <w:r>
        <w:rPr>
          <w:noProof/>
        </w:rPr>
        <w:t>; III) dejavnosti, povezane z odlagališči odpadkov, sežigalnicami</w:t>
      </w:r>
      <w:r>
        <w:rPr>
          <w:noProof/>
        </w:rPr>
        <w:footnoteReference w:id="62"/>
      </w:r>
      <w:r>
        <w:rPr>
          <w:noProof/>
        </w:rPr>
        <w:t xml:space="preserve"> in napravami za mehansko-biološko obdelavo</w:t>
      </w:r>
      <w:r>
        <w:rPr>
          <w:noProof/>
        </w:rPr>
        <w:footnoteReference w:id="63"/>
      </w:r>
      <w:r>
        <w:rPr>
          <w:noProof/>
        </w:rPr>
        <w:t>; in iv) dejavnosti, pri katerih lahko dolgoročno odstranjevanje odpadkov škoduje okolju. Poleg tega se zahteva, da se lahko izberejo samo dejavnosti, ki so skladne z ustrezno okoljsko zakonodajo EU in nacionalno okoljsko zakonodajo.</w:t>
      </w:r>
    </w:p>
    <w:p w14:paraId="0B19FF08" w14:textId="77777777" w:rsidR="00F24946" w:rsidRDefault="00613B06">
      <w:pPr>
        <w:pStyle w:val="P68B1DB1-Normal4"/>
        <w:spacing w:before="40" w:after="0" w:line="259" w:lineRule="auto"/>
        <w:jc w:val="both"/>
        <w:rPr>
          <w:rFonts w:eastAsiaTheme="minorEastAsia" w:cs="Times New Roman"/>
          <w:noProof/>
        </w:rPr>
      </w:pPr>
      <w:r>
        <w:rPr>
          <w:noProof/>
        </w:rPr>
        <w:t>Naložba se izvede do 31. decembra 2025.</w:t>
      </w:r>
    </w:p>
    <w:p w14:paraId="5085FC73" w14:textId="1BD6ADCA" w:rsidR="00F24946" w:rsidRDefault="00613B06">
      <w:pPr>
        <w:pStyle w:val="P68B1DB1-Normal5"/>
        <w:spacing w:before="240" w:after="0" w:line="259" w:lineRule="auto"/>
        <w:ind w:left="851"/>
        <w:jc w:val="both"/>
        <w:outlineLvl w:val="2"/>
        <w:rPr>
          <w:rFonts w:eastAsiaTheme="minorEastAsia" w:cs="Times New Roman"/>
          <w:noProof/>
        </w:rPr>
      </w:pPr>
      <w:r>
        <w:rPr>
          <w:noProof/>
        </w:rPr>
        <w:t xml:space="preserve">Naložba TD-C16-i04: </w:t>
      </w:r>
      <w:bookmarkStart w:id="29" w:name="_Toc137472467"/>
      <w:r>
        <w:rPr>
          <w:noProof/>
        </w:rPr>
        <w:t>Industrijo 4.0</w:t>
      </w:r>
      <w:bookmarkEnd w:id="29"/>
    </w:p>
    <w:p w14:paraId="3F32B16D" w14:textId="77777777" w:rsidR="00F24946" w:rsidRDefault="00613B06">
      <w:pPr>
        <w:pStyle w:val="P68B1DB1-Normal4"/>
        <w:spacing w:after="0"/>
        <w:jc w:val="both"/>
        <w:rPr>
          <w:rFonts w:cs="Times New Roman"/>
          <w:noProof/>
        </w:rPr>
      </w:pPr>
      <w:r>
        <w:rPr>
          <w:noProof/>
        </w:rPr>
        <w:t xml:space="preserve">Cilj ukrepov je podpreti industrijske raziskave, eksperimentalni razvoj, organizacijske in procesne inovacijske projekte, spodbujati digitalno preobrazbo podjetij in posledično izboljšati njihovo okoljsko trajnostnost. </w:t>
      </w:r>
    </w:p>
    <w:p w14:paraId="16CD80C9" w14:textId="77233703" w:rsidR="00F24946" w:rsidRDefault="00613B06">
      <w:pPr>
        <w:pStyle w:val="P68B1DB1-Normal4"/>
        <w:spacing w:after="0"/>
        <w:jc w:val="both"/>
        <w:rPr>
          <w:rFonts w:cs="Times New Roman"/>
          <w:noProof/>
        </w:rPr>
      </w:pPr>
      <w:r>
        <w:rPr>
          <w:noProof/>
        </w:rPr>
        <w:t>Ta ukrep podpira 200 naložbenih projektov, ki spadajo na vsaj eno od naslednjih področij delovanja:</w:t>
      </w:r>
    </w:p>
    <w:p w14:paraId="64D25EDB" w14:textId="77777777" w:rsidR="00F24946" w:rsidRDefault="00613B06">
      <w:pPr>
        <w:pStyle w:val="P68B1DB1-Normal4"/>
        <w:spacing w:after="0"/>
        <w:ind w:left="720"/>
        <w:jc w:val="both"/>
        <w:rPr>
          <w:rFonts w:cs="Times New Roman"/>
          <w:noProof/>
        </w:rPr>
      </w:pPr>
      <w:r>
        <w:rPr>
          <w:noProof/>
        </w:rPr>
        <w:t>1.</w:t>
      </w:r>
      <w:r>
        <w:rPr>
          <w:noProof/>
        </w:rPr>
        <w:tab/>
        <w:t>Digitalni prehod operativnih procesov, vključno s proizvodnjo ter logističnim upravljanjem in načrtovanjem.</w:t>
      </w:r>
    </w:p>
    <w:p w14:paraId="758DEE78" w14:textId="77777777" w:rsidR="00F24946" w:rsidRDefault="00613B06">
      <w:pPr>
        <w:pStyle w:val="P68B1DB1-Normal4"/>
        <w:spacing w:after="0"/>
        <w:ind w:left="720"/>
        <w:jc w:val="both"/>
        <w:rPr>
          <w:rFonts w:cs="Times New Roman"/>
          <w:noProof/>
        </w:rPr>
      </w:pPr>
      <w:r>
        <w:rPr>
          <w:noProof/>
        </w:rPr>
        <w:t>2.</w:t>
      </w:r>
      <w:r>
        <w:rPr>
          <w:noProof/>
        </w:rPr>
        <w:tab/>
        <w:t>Rešitve za napredno shranjevanje, upravljanje in obdelavo podatkov.</w:t>
      </w:r>
    </w:p>
    <w:p w14:paraId="6102558C" w14:textId="77777777" w:rsidR="00F24946" w:rsidRDefault="00613B06">
      <w:pPr>
        <w:pStyle w:val="P68B1DB1-Normal4"/>
        <w:spacing w:after="0"/>
        <w:ind w:left="720"/>
        <w:jc w:val="both"/>
        <w:rPr>
          <w:rFonts w:cs="Times New Roman"/>
          <w:noProof/>
        </w:rPr>
      </w:pPr>
      <w:r>
        <w:rPr>
          <w:noProof/>
        </w:rPr>
        <w:t>3.</w:t>
      </w:r>
      <w:r>
        <w:rPr>
          <w:noProof/>
        </w:rPr>
        <w:tab/>
        <w:t>Rešitve umetne inteligence, ki se uporabljajo v proizvodnem procesu.</w:t>
      </w:r>
    </w:p>
    <w:p w14:paraId="3198C1B0" w14:textId="729CD56A" w:rsidR="00F24946" w:rsidRDefault="00613B06">
      <w:pPr>
        <w:spacing w:after="0"/>
        <w:ind w:left="720"/>
        <w:jc w:val="both"/>
        <w:rPr>
          <w:rFonts w:ascii="Times New Roman" w:hAnsi="Times New Roman" w:cs="Times New Roman"/>
          <w:noProof/>
          <w:sz w:val="24"/>
        </w:rPr>
      </w:pPr>
      <w:r>
        <w:rPr>
          <w:rFonts w:ascii="Times New Roman" w:hAnsi="Times New Roman"/>
          <w:noProof/>
          <w:sz w:val="24"/>
        </w:rPr>
        <w:t>4.</w:t>
      </w:r>
      <w:r>
        <w:rPr>
          <w:noProof/>
        </w:rPr>
        <w:tab/>
      </w:r>
      <w:r>
        <w:rPr>
          <w:rFonts w:ascii="Times New Roman" w:hAnsi="Times New Roman"/>
          <w:noProof/>
          <w:sz w:val="24"/>
        </w:rPr>
        <w:t>Digitalne predstavitve in virtualno modeliranje (digitalni dvojčki), simulacija in industrijsko modeliranje.</w:t>
      </w:r>
    </w:p>
    <w:p w14:paraId="4C4B5102" w14:textId="77777777" w:rsidR="00F24946" w:rsidRDefault="00613B06">
      <w:pPr>
        <w:pStyle w:val="P68B1DB1-Normal4"/>
        <w:spacing w:after="0"/>
        <w:ind w:left="720"/>
        <w:jc w:val="both"/>
        <w:rPr>
          <w:rFonts w:cs="Times New Roman"/>
          <w:noProof/>
        </w:rPr>
      </w:pPr>
      <w:r>
        <w:rPr>
          <w:noProof/>
        </w:rPr>
        <w:t>5.</w:t>
      </w:r>
      <w:r>
        <w:rPr>
          <w:noProof/>
        </w:rPr>
        <w:tab/>
        <w:t>Proizvodnja skic in aditivov.</w:t>
      </w:r>
    </w:p>
    <w:p w14:paraId="006F8BED" w14:textId="77777777" w:rsidR="00F24946" w:rsidRDefault="00613B06">
      <w:pPr>
        <w:pStyle w:val="P68B1DB1-Normal4"/>
        <w:spacing w:after="0"/>
        <w:ind w:left="720"/>
        <w:jc w:val="both"/>
        <w:rPr>
          <w:rFonts w:cs="Times New Roman"/>
          <w:noProof/>
        </w:rPr>
      </w:pPr>
      <w:r>
        <w:rPr>
          <w:noProof/>
        </w:rPr>
        <w:t>6.</w:t>
      </w:r>
      <w:r>
        <w:rPr>
          <w:noProof/>
        </w:rPr>
        <w:tab/>
        <w:t>Projekti razširjene resničnosti, virtualna resničnost in umetna vizija, ki se uporabljajo v procesih.</w:t>
      </w:r>
    </w:p>
    <w:p w14:paraId="5257C08A" w14:textId="77777777" w:rsidR="00F24946" w:rsidRDefault="00613B06">
      <w:pPr>
        <w:pStyle w:val="P68B1DB1-Normal4"/>
        <w:spacing w:after="0"/>
        <w:ind w:left="720"/>
        <w:jc w:val="both"/>
        <w:rPr>
          <w:rFonts w:cs="Times New Roman"/>
          <w:noProof/>
        </w:rPr>
      </w:pPr>
      <w:r>
        <w:rPr>
          <w:noProof/>
        </w:rPr>
        <w:t>7.</w:t>
      </w:r>
      <w:r>
        <w:rPr>
          <w:noProof/>
        </w:rPr>
        <w:tab/>
        <w:t>Sodelovalna in kognitivna robotika, vmesnik človek-stroj, sistemi kibernetske fizike.</w:t>
      </w:r>
    </w:p>
    <w:p w14:paraId="0B8245E1" w14:textId="26E5916E" w:rsidR="00F24946" w:rsidRDefault="00613B06">
      <w:pPr>
        <w:spacing w:after="0"/>
        <w:ind w:left="720"/>
        <w:jc w:val="both"/>
        <w:rPr>
          <w:rFonts w:ascii="Times New Roman" w:hAnsi="Times New Roman" w:cs="Times New Roman"/>
          <w:noProof/>
          <w:sz w:val="24"/>
        </w:rPr>
      </w:pPr>
      <w:r>
        <w:rPr>
          <w:rFonts w:ascii="Times New Roman" w:hAnsi="Times New Roman"/>
          <w:noProof/>
          <w:sz w:val="24"/>
        </w:rPr>
        <w:t>8.</w:t>
      </w:r>
      <w:r>
        <w:rPr>
          <w:noProof/>
        </w:rPr>
        <w:tab/>
      </w:r>
      <w:r>
        <w:rPr>
          <w:rFonts w:ascii="Times New Roman" w:hAnsi="Times New Roman"/>
          <w:noProof/>
          <w:sz w:val="24"/>
        </w:rPr>
        <w:t>Senzorji in napredna elektronika, internet stvari, rešitve v oblaku in robovi.</w:t>
      </w:r>
    </w:p>
    <w:p w14:paraId="1FBF7C37" w14:textId="77777777" w:rsidR="00F24946" w:rsidRDefault="00613B06">
      <w:pPr>
        <w:pStyle w:val="P68B1DB1-Normal4"/>
        <w:spacing w:after="0"/>
        <w:ind w:left="720"/>
        <w:jc w:val="both"/>
        <w:rPr>
          <w:rFonts w:cs="Times New Roman"/>
          <w:noProof/>
        </w:rPr>
      </w:pPr>
      <w:r>
        <w:rPr>
          <w:noProof/>
        </w:rPr>
        <w:t>9.</w:t>
      </w:r>
      <w:r>
        <w:rPr>
          <w:noProof/>
        </w:rPr>
        <w:tab/>
        <w:t>Omrežne, komunikacijske in napredne računalniške infrastrukture, povezane s procesi.</w:t>
      </w:r>
    </w:p>
    <w:p w14:paraId="100D1BA8" w14:textId="77777777" w:rsidR="00F24946" w:rsidRDefault="00613B06">
      <w:pPr>
        <w:pStyle w:val="P68B1DB1-Normal4"/>
        <w:spacing w:after="0"/>
        <w:ind w:left="720"/>
        <w:jc w:val="both"/>
        <w:rPr>
          <w:rFonts w:cs="Times New Roman"/>
          <w:noProof/>
        </w:rPr>
      </w:pPr>
      <w:r>
        <w:rPr>
          <w:noProof/>
        </w:rPr>
        <w:t>10.</w:t>
      </w:r>
      <w:r>
        <w:rPr>
          <w:noProof/>
        </w:rPr>
        <w:tab/>
        <w:t>Inovativna programska oprema, interoperabilnost sistemov.</w:t>
      </w:r>
    </w:p>
    <w:p w14:paraId="61EAAF0E" w14:textId="09B532F8" w:rsidR="00F24946" w:rsidRDefault="00613B06">
      <w:pPr>
        <w:pStyle w:val="P68B1DB1-Normal4"/>
        <w:spacing w:after="0"/>
        <w:jc w:val="both"/>
        <w:rPr>
          <w:rFonts w:cs="Times New Roman"/>
          <w:noProof/>
        </w:rPr>
      </w:pPr>
      <w:r>
        <w:rPr>
          <w:noProof/>
        </w:rPr>
        <w:t>Za zagotovitev, da je ukrep skladen s tehničnimi smernicami za načelo, da se ne škoduje bistveno (2021/C58/01), merila za upravičenost iz razpisnih pogojev za prihodnje razpise za projekte izključujejo naslednji seznam dejavnosti: dejavnosti, povezane s fosilnimi gorivi, vključno z nadaljnjo uporabo</w:t>
      </w:r>
      <w:r>
        <w:rPr>
          <w:noProof/>
        </w:rPr>
        <w:footnoteReference w:id="64"/>
      </w:r>
      <w:r>
        <w:rPr>
          <w:noProof/>
        </w:rPr>
        <w:t>; II) dejavnosti v okviru sistema EU za trgovanje z emisijami (ETS), s katerimi se dosegajo predvidene emisije toplogrednih plinov, ki niso nižje od ustreznih referenčnih vrednosti</w:t>
      </w:r>
      <w:r>
        <w:rPr>
          <w:noProof/>
        </w:rPr>
        <w:footnoteReference w:id="65"/>
      </w:r>
      <w:r>
        <w:rPr>
          <w:noProof/>
        </w:rPr>
        <w:t>; III) dejavnosti, povezane z odlagališči odpadkov, sežigalnicami</w:t>
      </w:r>
      <w:r>
        <w:rPr>
          <w:noProof/>
        </w:rPr>
        <w:footnoteReference w:id="66"/>
      </w:r>
      <w:r>
        <w:rPr>
          <w:noProof/>
        </w:rPr>
        <w:t xml:space="preserve"> in napravami za mehansko-biološko obdelavo</w:t>
      </w:r>
      <w:r>
        <w:rPr>
          <w:noProof/>
        </w:rPr>
        <w:footnoteReference w:id="67"/>
      </w:r>
      <w:r>
        <w:rPr>
          <w:noProof/>
        </w:rPr>
        <w:t>. Poleg tega se zahteva, da se lahko izberejo samo dejavnosti, ki so skladne z ustrezno okoljsko zakonodajo EU in nacionalno okoljsko zakonodajo.</w:t>
      </w:r>
    </w:p>
    <w:p w14:paraId="6102D899" w14:textId="33A71017" w:rsidR="00F24946" w:rsidRDefault="00613B06">
      <w:pPr>
        <w:pStyle w:val="P68B1DB1-Normal4"/>
        <w:jc w:val="both"/>
        <w:rPr>
          <w:rFonts w:cs="Times New Roman"/>
          <w:noProof/>
        </w:rPr>
      </w:pPr>
      <w:r>
        <w:rPr>
          <w:noProof/>
        </w:rPr>
        <w:t>Naložba se izvede do 31. decembra 2025.</w:t>
      </w:r>
    </w:p>
    <w:p w14:paraId="0DED3033" w14:textId="15D5D742" w:rsidR="00F24946" w:rsidRDefault="00613B06">
      <w:pPr>
        <w:pStyle w:val="P68B1DB1-Heading214"/>
        <w:spacing w:before="240"/>
        <w:rPr>
          <w:noProof/>
        </w:rPr>
      </w:pPr>
      <w:bookmarkStart w:id="30" w:name="_Toc137472468"/>
      <w:r>
        <w:rPr>
          <w:noProof/>
        </w:rPr>
        <w:t>Naložba TD-C16-i05-RAA: Digitalna zmogljivost in preoblikovanje podjetij na Azorih</w:t>
      </w:r>
      <w:bookmarkEnd w:id="30"/>
    </w:p>
    <w:p w14:paraId="5F5ED56A" w14:textId="77777777" w:rsidR="00F24946" w:rsidRDefault="00613B06">
      <w:pPr>
        <w:pStyle w:val="P68B1DB1-Normal4"/>
        <w:spacing w:before="40" w:after="0" w:line="22" w:lineRule="atLeast"/>
        <w:jc w:val="both"/>
        <w:rPr>
          <w:rFonts w:cs="Times New Roman"/>
          <w:noProof/>
        </w:rPr>
      </w:pPr>
      <w:r>
        <w:rPr>
          <w:noProof/>
        </w:rPr>
        <w:t>Cilji ukrepa so financiranje vzpostavitve sistema spodbud za digitalni prehod za podjetja na Azorih ter računalniške in omrežne opreme ter razširitve znanstvenih in tehnoloških parkov Azorov.</w:t>
      </w:r>
    </w:p>
    <w:p w14:paraId="542E28E3" w14:textId="77777777" w:rsidR="00F24946" w:rsidRDefault="00613B06">
      <w:pPr>
        <w:pStyle w:val="P68B1DB1-Normal4"/>
        <w:spacing w:before="40" w:after="0" w:line="22" w:lineRule="atLeast"/>
        <w:jc w:val="both"/>
        <w:rPr>
          <w:rFonts w:cs="Times New Roman"/>
          <w:noProof/>
        </w:rPr>
      </w:pPr>
      <w:r>
        <w:rPr>
          <w:noProof/>
        </w:rPr>
        <w:t>Namen sistema spodbud za digitalni prehod podjetij je podpreti regionalna podjetja pri prilagajanju in vključevanju digitalnih tehnologij, med drugim z ukrepi, osredotočenimi na upravljanje, e-trgovanje, orodja za avtomatizacijo, krepitev kibernetske varnosti, umetno inteligenco in internet stvari.</w:t>
      </w:r>
    </w:p>
    <w:p w14:paraId="09E35D17" w14:textId="77777777" w:rsidR="00F24946" w:rsidRDefault="00613B06">
      <w:pPr>
        <w:pStyle w:val="P68B1DB1-Normal4"/>
        <w:spacing w:before="40" w:after="0" w:line="22" w:lineRule="atLeast"/>
        <w:jc w:val="both"/>
        <w:rPr>
          <w:rFonts w:cs="Times New Roman"/>
          <w:noProof/>
        </w:rPr>
      </w:pPr>
      <w:r>
        <w:rPr>
          <w:noProof/>
        </w:rPr>
        <w:t>Namen naložbe v znanstvene in tehnološke parke Azorov (Nonagon in Terinov) je podpreti logistične in tehnološke pogoje podjetniškega ekosistema v regiji. Cilj te naložbe je prispevati k razvoju gospodarstva, ki temelji na tehnologiji, v strateških sektorjih, omogočiti strokovno znanje ter izboljšati kakovost in zanesljivost storitev, ki jih zagotavljajo ti parki.</w:t>
      </w:r>
    </w:p>
    <w:p w14:paraId="5A449590" w14:textId="77777777" w:rsidR="00F24946" w:rsidRDefault="00613B06">
      <w:pPr>
        <w:pStyle w:val="P68B1DB1-Normal4"/>
        <w:spacing w:before="40" w:after="0" w:line="22" w:lineRule="atLeast"/>
        <w:jc w:val="both"/>
        <w:rPr>
          <w:rFonts w:cs="Times New Roman"/>
          <w:noProof/>
        </w:rPr>
      </w:pPr>
      <w:r>
        <w:rPr>
          <w:noProof/>
        </w:rPr>
        <w:t>Sistem spodbud za digitalni prehod podjetij temelji na treh področjih ukrepanja, upravičeni projekti pa prispevajo k vsaj enemu od njih:</w:t>
      </w:r>
    </w:p>
    <w:p w14:paraId="142AA256" w14:textId="77777777" w:rsidR="00F24946" w:rsidRDefault="00613B06">
      <w:pPr>
        <w:pStyle w:val="ListParagraph"/>
        <w:keepNext w:val="0"/>
        <w:numPr>
          <w:ilvl w:val="0"/>
          <w:numId w:val="74"/>
        </w:numPr>
        <w:spacing w:before="40" w:after="0" w:line="22" w:lineRule="atLeast"/>
        <w:rPr>
          <w:noProof/>
        </w:rPr>
      </w:pPr>
      <w:r>
        <w:rPr>
          <w:noProof/>
        </w:rPr>
        <w:t>Področje ukrepanja 1 – podpora regionalnim podjetjem pri prilagajanju in vključevanju digitalnih tehnologij, ki povečujejo konkurenčnost, izboljšujejo produktivnost, spodbujajo inovacije in zmanjšujejo stroške poslovnih procesov.</w:t>
      </w:r>
    </w:p>
    <w:p w14:paraId="42A27BBC" w14:textId="77777777" w:rsidR="00F24946" w:rsidRDefault="00613B06">
      <w:pPr>
        <w:pStyle w:val="ListParagraph"/>
        <w:keepNext w:val="0"/>
        <w:numPr>
          <w:ilvl w:val="0"/>
          <w:numId w:val="74"/>
        </w:numPr>
        <w:spacing w:before="40" w:after="0" w:line="22" w:lineRule="atLeast"/>
        <w:rPr>
          <w:noProof/>
        </w:rPr>
      </w:pPr>
      <w:r>
        <w:rPr>
          <w:noProof/>
        </w:rPr>
        <w:t>Področje ukrepanja 2 – da se azorskim podjetjem omogoči uporaba specializiranih svetovalnih storitev za izvajanje metodologij za pospešitev poslovnih procesov in kibernetsko varnost.</w:t>
      </w:r>
    </w:p>
    <w:p w14:paraId="6E71A181" w14:textId="77777777" w:rsidR="00F24946" w:rsidRDefault="00613B06">
      <w:pPr>
        <w:pStyle w:val="ListParagraph"/>
        <w:keepNext w:val="0"/>
        <w:numPr>
          <w:ilvl w:val="0"/>
          <w:numId w:val="74"/>
        </w:numPr>
        <w:spacing w:before="40" w:after="0" w:line="22" w:lineRule="atLeast"/>
        <w:rPr>
          <w:noProof/>
        </w:rPr>
      </w:pPr>
      <w:r>
        <w:rPr>
          <w:noProof/>
        </w:rPr>
        <w:t>Področje ukrepanja 3 – podpora pri organizaciji tematskih dogodkov s strani javnih ali zasebnih subjektov za spodbujanje sinergij azorskih podjetij z izmenjavo tehnoloških rešitev, orodij, metodologij in najboljših praks.</w:t>
      </w:r>
    </w:p>
    <w:p w14:paraId="184DB346" w14:textId="77777777" w:rsidR="00F24946" w:rsidRDefault="00613B06">
      <w:pPr>
        <w:pStyle w:val="P68B1DB1-Normal4"/>
        <w:spacing w:before="40" w:after="0" w:line="22" w:lineRule="atLeast"/>
        <w:jc w:val="both"/>
        <w:rPr>
          <w:rFonts w:cs="Times New Roman"/>
          <w:noProof/>
        </w:rPr>
      </w:pPr>
      <w:r>
        <w:rPr>
          <w:noProof/>
        </w:rPr>
        <w:t>Naložba v znanstvene in tehnološke parke bo zagotovila nova omrežna in računalniška infrastruktura (strojna oprema) v znanstvenem in tehnološkem parku Nonangon ter izgradnjo nove energetsko učinkovite stavbe v Znanstvenem in tehnološkem parku Terinov.</w:t>
      </w:r>
    </w:p>
    <w:p w14:paraId="63A80828" w14:textId="089A50CF" w:rsidR="00F24946" w:rsidRDefault="00613B06">
      <w:pPr>
        <w:pStyle w:val="P68B1DB1-Normal4"/>
        <w:spacing w:before="40" w:after="0" w:line="22" w:lineRule="atLeast"/>
        <w:jc w:val="both"/>
        <w:rPr>
          <w:rFonts w:cs="Times New Roman"/>
          <w:noProof/>
        </w:rPr>
      </w:pPr>
      <w:r>
        <w:rPr>
          <w:noProof/>
        </w:rPr>
        <w:t>Za zagotovitev, da je ukrep skladen s tehničnimi smernicami za načelo, da se ne škoduje bistveno (2021/C58/01), merila za upravičenost iz razpisnih pogojev za prihodnje razpise za projekte izključujejo naslednji seznam dejavnosti: dejavnosti, povezane s fosilnimi gorivi, vključno z nadaljnjo uporabo</w:t>
      </w:r>
      <w:r>
        <w:rPr>
          <w:noProof/>
        </w:rPr>
        <w:footnoteReference w:id="68"/>
      </w:r>
      <w:r>
        <w:rPr>
          <w:noProof/>
        </w:rPr>
        <w:t>; II) dejavnosti v okviru sistema EU za trgovanje z emisijami (ETS), s katerimi se dosegajo predvidene emisije toplogrednih plinov, ki niso nižje od ustreznih referenčnih vrednosti</w:t>
      </w:r>
      <w:r>
        <w:rPr>
          <w:noProof/>
        </w:rPr>
        <w:footnoteReference w:id="69"/>
      </w:r>
      <w:r>
        <w:rPr>
          <w:noProof/>
        </w:rPr>
        <w:t>; III) dejavnosti, povezane z odlagališči odpadkov, sežigalnicami</w:t>
      </w:r>
      <w:r>
        <w:rPr>
          <w:noProof/>
        </w:rPr>
        <w:footnoteReference w:id="70"/>
      </w:r>
      <w:r>
        <w:rPr>
          <w:noProof/>
        </w:rPr>
        <w:t xml:space="preserve"> in napravami za mehansko-biološko obdelavo</w:t>
      </w:r>
      <w:r>
        <w:rPr>
          <w:noProof/>
        </w:rPr>
        <w:footnoteReference w:id="71"/>
      </w:r>
      <w:r>
        <w:rPr>
          <w:noProof/>
        </w:rPr>
        <w:t>. Poleg tega se zahteva, da se lahko izberejo samo dejavnosti, ki so skladne z ustrezno okoljsko zakonodajo EU in nacionalno okoljsko zakonodajo.</w:t>
      </w:r>
    </w:p>
    <w:p w14:paraId="05CDA0AA" w14:textId="77777777" w:rsidR="00F24946" w:rsidRDefault="00613B06">
      <w:pPr>
        <w:pStyle w:val="P68B1DB1-Normal4"/>
        <w:spacing w:before="40" w:after="0" w:line="22" w:lineRule="atLeast"/>
        <w:jc w:val="both"/>
        <w:rPr>
          <w:rFonts w:cs="Times New Roman"/>
          <w:noProof/>
          <w:highlight w:val="green"/>
        </w:rPr>
      </w:pPr>
      <w:r>
        <w:rPr>
          <w:noProof/>
        </w:rPr>
        <w:t>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p w14:paraId="61377CD4" w14:textId="77777777" w:rsidR="00F24946" w:rsidRDefault="00613B06">
      <w:pPr>
        <w:pStyle w:val="P68B1DB1-Normal4"/>
        <w:spacing w:before="40" w:after="0" w:line="22" w:lineRule="atLeast"/>
        <w:jc w:val="both"/>
        <w:rPr>
          <w:rFonts w:cs="Times New Roman"/>
          <w:noProof/>
        </w:rPr>
      </w:pPr>
      <w:r>
        <w:rPr>
          <w:noProof/>
        </w:rPr>
        <w:t>Naložba se izvede do 31. avgusta 2026.</w:t>
      </w:r>
    </w:p>
    <w:p w14:paraId="28BCB725" w14:textId="47AFAD48" w:rsidR="00F24946" w:rsidRDefault="00613B06">
      <w:pPr>
        <w:pStyle w:val="P68B1DB1-Heading214"/>
        <w:spacing w:before="240"/>
        <w:rPr>
          <w:noProof/>
        </w:rPr>
      </w:pPr>
      <w:bookmarkStart w:id="31" w:name="_Toc137472469"/>
      <w:r>
        <w:rPr>
          <w:noProof/>
        </w:rPr>
        <w:t>Naložba TD-C16-i06-RAM: Podjetje 4.0</w:t>
      </w:r>
      <w:bookmarkEnd w:id="31"/>
    </w:p>
    <w:p w14:paraId="6ACAD005" w14:textId="77777777" w:rsidR="00F24946" w:rsidRDefault="00613B06">
      <w:pPr>
        <w:pStyle w:val="P68B1DB1-Normal4"/>
        <w:spacing w:before="40" w:after="0" w:line="22" w:lineRule="atLeast"/>
        <w:jc w:val="both"/>
        <w:rPr>
          <w:rFonts w:cs="Times New Roman"/>
          <w:noProof/>
        </w:rPr>
      </w:pPr>
      <w:r>
        <w:rPr>
          <w:noProof/>
        </w:rPr>
        <w:t xml:space="preserve">Cilj ukrepa je prispevati k preoblikovanju poslovnih modelov MSP v avtonomni regiji Madeira, da bi postala bolj digitalna, konkurenčna in odporna. </w:t>
      </w:r>
    </w:p>
    <w:p w14:paraId="019B37E5" w14:textId="77777777" w:rsidR="00F24946" w:rsidRDefault="00613B06">
      <w:pPr>
        <w:pStyle w:val="P68B1DB1-Normal4"/>
        <w:spacing w:before="40" w:after="0" w:line="22" w:lineRule="atLeast"/>
        <w:jc w:val="both"/>
        <w:rPr>
          <w:rFonts w:cs="Times New Roman"/>
          <w:noProof/>
        </w:rPr>
      </w:pPr>
      <w:r>
        <w:rPr>
          <w:noProof/>
        </w:rPr>
        <w:t>Ukrep podpira naložbe na naslednjih dveh področjih:</w:t>
      </w:r>
    </w:p>
    <w:p w14:paraId="3ABC0B35" w14:textId="77777777" w:rsidR="00F24946" w:rsidRDefault="00613B06">
      <w:pPr>
        <w:pStyle w:val="ListParagraph"/>
        <w:keepNext w:val="0"/>
        <w:numPr>
          <w:ilvl w:val="0"/>
          <w:numId w:val="74"/>
        </w:numPr>
        <w:spacing w:before="40" w:after="0" w:line="22" w:lineRule="atLeast"/>
        <w:rPr>
          <w:noProof/>
        </w:rPr>
      </w:pPr>
      <w:r>
        <w:rPr>
          <w:noProof/>
        </w:rPr>
        <w:t>Opredmetena sredstva, vključno z nakupom strojev in opreme, neposredno povezanih z naložbo v digitalni prehod, ter nakup opreme IT, vključno s programsko opremo, potrebno za njeno delovanje, ki so neposredno povezani z razvojem projekta.</w:t>
      </w:r>
    </w:p>
    <w:p w14:paraId="5B06C0E0" w14:textId="77777777" w:rsidR="00F24946" w:rsidRDefault="00613B06">
      <w:pPr>
        <w:pStyle w:val="ListParagraph"/>
        <w:keepNext w:val="0"/>
        <w:numPr>
          <w:ilvl w:val="0"/>
          <w:numId w:val="74"/>
        </w:numPr>
        <w:spacing w:before="40" w:after="0" w:line="22" w:lineRule="atLeast"/>
        <w:rPr>
          <w:noProof/>
        </w:rPr>
      </w:pPr>
      <w:r>
        <w:rPr>
          <w:noProof/>
        </w:rPr>
        <w:t>Neopredmetena sredstva, vključno s prenosom tehnologije s pridobitvijo patentnih pravic in standardizirano ali posebej razvito programsko opremo.</w:t>
      </w:r>
    </w:p>
    <w:p w14:paraId="1727DD62" w14:textId="0C896F62" w:rsidR="00F24946" w:rsidRDefault="00613B06">
      <w:pPr>
        <w:pStyle w:val="P68B1DB1-Normal4"/>
        <w:spacing w:before="40" w:after="0" w:line="22" w:lineRule="atLeast"/>
        <w:jc w:val="both"/>
        <w:rPr>
          <w:rFonts w:cs="Times New Roman"/>
          <w:noProof/>
        </w:rPr>
      </w:pPr>
      <w:r>
        <w:rPr>
          <w:noProof/>
        </w:rPr>
        <w:t>Za zagotovitev, da je ukrep skladen s tehničnimi smernicami za načelo, da se ne škoduje bistveno (2021/C58/01), merila za upravičenost iz razpisnih pogojev za prihodnje razpise za projekte izključujejo naslednji seznam dejavnosti: dejavnosti, povezane s fosilnimi gorivi, vključno z nadaljnjo uporabo</w:t>
      </w:r>
      <w:r>
        <w:rPr>
          <w:noProof/>
        </w:rPr>
        <w:footnoteReference w:id="72"/>
      </w:r>
      <w:r>
        <w:rPr>
          <w:noProof/>
        </w:rPr>
        <w:t>; II) dejavnosti v okviru sistema EU za trgovanje z emisijami (ETS), s katerimi se dosegajo predvidene emisije toplogrednih plinov, ki niso nižje od ustreznih referenčnih vrednosti</w:t>
      </w:r>
      <w:r>
        <w:rPr>
          <w:noProof/>
        </w:rPr>
        <w:footnoteReference w:id="73"/>
      </w:r>
      <w:r>
        <w:rPr>
          <w:noProof/>
        </w:rPr>
        <w:t>; III) dejavnosti, povezane z odlagališči odpadkov, sežigalnicami</w:t>
      </w:r>
      <w:r>
        <w:rPr>
          <w:noProof/>
        </w:rPr>
        <w:footnoteReference w:id="74"/>
      </w:r>
      <w:r>
        <w:rPr>
          <w:noProof/>
        </w:rPr>
        <w:t xml:space="preserve"> in napravami za mehansko-biološko obdelavo</w:t>
      </w:r>
      <w:r>
        <w:rPr>
          <w:noProof/>
        </w:rPr>
        <w:footnoteReference w:id="75"/>
      </w:r>
      <w:r>
        <w:rPr>
          <w:noProof/>
        </w:rPr>
        <w:t>. Poleg tega se zahteva, da se lahko izberejo samo dejavnosti, ki so skladne z ustrezno okoljsko zakonodajo EU in nacionalno okoljsko zakonodajo.</w:t>
      </w:r>
    </w:p>
    <w:p w14:paraId="048368EF" w14:textId="77777777" w:rsidR="00F24946" w:rsidRDefault="00613B06">
      <w:pPr>
        <w:pStyle w:val="P68B1DB1-Normal4"/>
        <w:spacing w:before="40" w:after="0" w:line="22" w:lineRule="atLeast"/>
        <w:jc w:val="both"/>
        <w:rPr>
          <w:rFonts w:cs="Times New Roman"/>
          <w:noProof/>
        </w:rPr>
      </w:pPr>
      <w:r>
        <w:rPr>
          <w:noProof/>
        </w:rPr>
        <w:t>Naložba se izvede do 31. decembra 2025.</w:t>
      </w:r>
    </w:p>
    <w:p w14:paraId="164509CF" w14:textId="77777777" w:rsidR="00F24946" w:rsidRDefault="00F24946">
      <w:pPr>
        <w:spacing w:before="40" w:after="0" w:line="259" w:lineRule="auto"/>
        <w:jc w:val="both"/>
        <w:rPr>
          <w:rFonts w:ascii="Times New Roman" w:eastAsiaTheme="minorEastAsia" w:hAnsi="Times New Roman" w:cs="Times New Roman"/>
          <w:noProof/>
          <w:sz w:val="24"/>
        </w:rPr>
      </w:pPr>
    </w:p>
    <w:p w14:paraId="362ADC30" w14:textId="079570EE" w:rsidR="00F24946" w:rsidRDefault="00F24946">
      <w:pPr>
        <w:spacing w:before="40" w:after="0" w:line="259" w:lineRule="auto"/>
        <w:jc w:val="both"/>
        <w:rPr>
          <w:rFonts w:ascii="Times New Roman" w:eastAsiaTheme="minorEastAsia" w:hAnsi="Times New Roman" w:cs="Times New Roman"/>
          <w:noProof/>
          <w:sz w:val="24"/>
        </w:rPr>
        <w:sectPr w:rsidR="00F24946" w:rsidSect="00E00EDD">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p>
    <w:p w14:paraId="254DFD7F"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P.2. Mejniki, cilji, kazalniki in časovni razpored za spremljanje in izvajanje nepovratne finančne podpore Naslednje;</w:t>
      </w:r>
    </w:p>
    <w:p w14:paraId="3C02C5BB"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426"/>
        <w:gridCol w:w="708"/>
        <w:gridCol w:w="3969"/>
      </w:tblGrid>
      <w:tr w:rsidR="00F24946" w14:paraId="7423F777" w14:textId="77777777">
        <w:trPr>
          <w:trHeight w:val="910"/>
          <w:tblHeader/>
        </w:trPr>
        <w:tc>
          <w:tcPr>
            <w:tcW w:w="1135" w:type="dxa"/>
            <w:vMerge w:val="restart"/>
            <w:shd w:val="clear" w:color="auto" w:fill="BDD6EE"/>
            <w:vAlign w:val="center"/>
            <w:hideMark/>
          </w:tcPr>
          <w:p w14:paraId="5168738B"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2F2588D1"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29213AC1" w14:textId="77777777" w:rsidR="00F24946" w:rsidRDefault="00613B06">
            <w:pPr>
              <w:pStyle w:val="P68B1DB1-Normal6"/>
              <w:spacing w:after="0" w:line="240" w:lineRule="auto"/>
              <w:jc w:val="center"/>
              <w:rPr>
                <w:rFonts w:eastAsia="Times New Roman" w:cs="Times New Roman"/>
                <w:noProof/>
              </w:rPr>
            </w:pPr>
            <w:r>
              <w:rPr>
                <w:noProof/>
              </w:rPr>
              <w:t>Mejnik/</w:t>
            </w:r>
          </w:p>
          <w:p w14:paraId="4DFE944A" w14:textId="7AD7D494" w:rsidR="00F24946" w:rsidRDefault="00613B06">
            <w:pPr>
              <w:pStyle w:val="P68B1DB1-Normal6"/>
              <w:spacing w:after="0" w:line="240" w:lineRule="auto"/>
              <w:jc w:val="center"/>
              <w:rPr>
                <w:rFonts w:eastAsia="Times New Roman" w:cs="Times New Roman"/>
                <w:noProof/>
              </w:rPr>
            </w:pPr>
            <w:r>
              <w:rPr>
                <w:noProof/>
              </w:rPr>
              <w:t>Tarča</w:t>
            </w:r>
          </w:p>
        </w:tc>
        <w:tc>
          <w:tcPr>
            <w:tcW w:w="1701" w:type="dxa"/>
            <w:vMerge w:val="restart"/>
            <w:shd w:val="clear" w:color="auto" w:fill="BDD6EE"/>
            <w:vAlign w:val="center"/>
            <w:hideMark/>
          </w:tcPr>
          <w:p w14:paraId="3A8BB6F8"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1CF72B00"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835" w:type="dxa"/>
            <w:gridSpan w:val="3"/>
            <w:shd w:val="clear" w:color="auto" w:fill="BDD6EE"/>
            <w:vAlign w:val="center"/>
            <w:hideMark/>
          </w:tcPr>
          <w:p w14:paraId="51396FD9"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134" w:type="dxa"/>
            <w:gridSpan w:val="2"/>
            <w:shd w:val="clear" w:color="auto" w:fill="BDD6EE"/>
            <w:vAlign w:val="center"/>
            <w:hideMark/>
          </w:tcPr>
          <w:p w14:paraId="2384B14C"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349285CE"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18352C4C" w14:textId="77777777">
        <w:trPr>
          <w:trHeight w:val="470"/>
          <w:tblHeader/>
        </w:trPr>
        <w:tc>
          <w:tcPr>
            <w:tcW w:w="1135" w:type="dxa"/>
            <w:vMerge/>
            <w:vAlign w:val="center"/>
            <w:hideMark/>
          </w:tcPr>
          <w:p w14:paraId="22D982F3"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0D815B5A"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369A5294" w14:textId="6750FDB0"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95ECB29"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24A4C41B"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003FBF9"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13E67A31"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850" w:type="dxa"/>
            <w:shd w:val="clear" w:color="auto" w:fill="BDD6EE"/>
            <w:vAlign w:val="center"/>
            <w:hideMark/>
          </w:tcPr>
          <w:p w14:paraId="0BEA7183" w14:textId="77777777" w:rsidR="00F24946" w:rsidRDefault="00613B06">
            <w:pPr>
              <w:pStyle w:val="P68B1DB1-Normal6"/>
              <w:spacing w:after="0" w:line="240" w:lineRule="auto"/>
              <w:jc w:val="center"/>
              <w:rPr>
                <w:rFonts w:eastAsia="Times New Roman" w:cs="Times New Roman"/>
                <w:noProof/>
              </w:rPr>
            </w:pPr>
            <w:r>
              <w:rPr>
                <w:noProof/>
              </w:rPr>
              <w:t>Cilj</w:t>
            </w:r>
          </w:p>
        </w:tc>
        <w:tc>
          <w:tcPr>
            <w:tcW w:w="426" w:type="dxa"/>
            <w:shd w:val="clear" w:color="auto" w:fill="BDD6EE"/>
            <w:vAlign w:val="center"/>
            <w:hideMark/>
          </w:tcPr>
          <w:p w14:paraId="3C115B8C"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00F1E31A"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5AA21CBC" w14:textId="77777777" w:rsidR="00F24946" w:rsidRDefault="00F24946">
            <w:pPr>
              <w:spacing w:after="0" w:line="240" w:lineRule="auto"/>
              <w:rPr>
                <w:rFonts w:ascii="Times New Roman" w:eastAsia="Times New Roman" w:hAnsi="Times New Roman" w:cs="Times New Roman"/>
                <w:b/>
                <w:noProof/>
                <w:sz w:val="18"/>
              </w:rPr>
            </w:pPr>
          </w:p>
        </w:tc>
      </w:tr>
      <w:tr w:rsidR="00F24946" w14:paraId="7B1ED792" w14:textId="77777777">
        <w:trPr>
          <w:trHeight w:val="1480"/>
        </w:trPr>
        <w:tc>
          <w:tcPr>
            <w:tcW w:w="1135" w:type="dxa"/>
            <w:shd w:val="clear" w:color="auto" w:fill="C5EFCE"/>
            <w:vAlign w:val="center"/>
            <w:hideMark/>
          </w:tcPr>
          <w:p w14:paraId="4AF10FF0" w14:textId="77777777" w:rsidR="00F24946" w:rsidRDefault="00613B06">
            <w:pPr>
              <w:pStyle w:val="P68B1DB1-Normal7"/>
              <w:spacing w:after="0" w:line="240" w:lineRule="auto"/>
              <w:jc w:val="center"/>
              <w:rPr>
                <w:rFonts w:eastAsia="Times New Roman" w:cs="Calibri"/>
                <w:noProof/>
              </w:rPr>
            </w:pPr>
            <w:r>
              <w:rPr>
                <w:noProof/>
              </w:rPr>
              <w:t>16.1</w:t>
            </w:r>
          </w:p>
        </w:tc>
        <w:tc>
          <w:tcPr>
            <w:tcW w:w="1276" w:type="dxa"/>
            <w:shd w:val="clear" w:color="auto" w:fill="C4EFCE"/>
            <w:noWrap/>
            <w:vAlign w:val="center"/>
            <w:hideMark/>
          </w:tcPr>
          <w:p w14:paraId="1CFD4A19" w14:textId="77777777" w:rsidR="00F24946" w:rsidRDefault="00613B06">
            <w:pPr>
              <w:pStyle w:val="P68B1DB1-Normal8"/>
              <w:spacing w:after="0" w:line="240" w:lineRule="auto"/>
              <w:jc w:val="center"/>
              <w:rPr>
                <w:rFonts w:eastAsia="Times New Roman" w:cs="Calibri"/>
                <w:noProof/>
              </w:rPr>
            </w:pPr>
            <w:r>
              <w:rPr>
                <w:noProof/>
              </w:rPr>
              <w:t>TD-C16-r31</w:t>
            </w:r>
          </w:p>
        </w:tc>
        <w:tc>
          <w:tcPr>
            <w:tcW w:w="1134" w:type="dxa"/>
            <w:shd w:val="clear" w:color="auto" w:fill="C4EFCE"/>
            <w:noWrap/>
            <w:vAlign w:val="center"/>
            <w:hideMark/>
          </w:tcPr>
          <w:p w14:paraId="3C1067BD"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C68A283" w14:textId="77777777" w:rsidR="00F24946" w:rsidRDefault="00613B06">
            <w:pPr>
              <w:pStyle w:val="P68B1DB1-Normal8"/>
              <w:spacing w:after="0" w:line="240" w:lineRule="auto"/>
              <w:jc w:val="center"/>
              <w:rPr>
                <w:rFonts w:eastAsia="Times New Roman" w:cs="Calibri"/>
                <w:noProof/>
              </w:rPr>
            </w:pPr>
            <w:r>
              <w:rPr>
                <w:noProof/>
              </w:rPr>
              <w:t>Začetek veljavnosti pregleda vsebine usposabljanja, vključene v nacionalni katalog kvalifikacij v zvezi z moduli na področju digitalnih znanj in spretnosti ter zakonodajo ali uredbo za ustvarjanje digitalnih podpisov in žigov</w:t>
            </w:r>
          </w:p>
        </w:tc>
        <w:tc>
          <w:tcPr>
            <w:tcW w:w="1275" w:type="dxa"/>
            <w:shd w:val="clear" w:color="auto" w:fill="C4EFCE"/>
            <w:noWrap/>
            <w:vAlign w:val="center"/>
            <w:hideMark/>
          </w:tcPr>
          <w:p w14:paraId="352F6829" w14:textId="77777777" w:rsidR="00F24946" w:rsidRDefault="00613B06">
            <w:pPr>
              <w:pStyle w:val="P68B1DB1-Normal8"/>
              <w:spacing w:after="0" w:line="240" w:lineRule="auto"/>
              <w:jc w:val="center"/>
              <w:rPr>
                <w:rFonts w:eastAsia="Times New Roman" w:cs="Calibri"/>
                <w:noProof/>
              </w:rPr>
            </w:pPr>
            <w:r>
              <w:rPr>
                <w:noProof/>
              </w:rPr>
              <w:t>Začetek veljavnosti pregleda vsebine usposabljanja, vključene v nacionalni katalog kvalifikacij v zvezi z moduli na področju digitalnih znanj in spretnosti ter zakonodajo ali uredbo za ustvarjanje digitalnih podpisov in žigov</w:t>
            </w:r>
          </w:p>
        </w:tc>
        <w:tc>
          <w:tcPr>
            <w:tcW w:w="993" w:type="dxa"/>
            <w:shd w:val="clear" w:color="auto" w:fill="C4EFCE"/>
            <w:noWrap/>
            <w:vAlign w:val="center"/>
            <w:hideMark/>
          </w:tcPr>
          <w:p w14:paraId="76BBCE4C"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DE63EE9"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5082984" w14:textId="77777777" w:rsidR="00F24946" w:rsidRDefault="00613B06">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452D819F"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7DD29457"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291B6CF" w14:textId="77777777" w:rsidR="00F24946" w:rsidRDefault="00613B06">
            <w:pPr>
              <w:pStyle w:val="P68B1DB1-Normal8"/>
              <w:spacing w:after="0" w:line="240" w:lineRule="auto"/>
              <w:jc w:val="both"/>
              <w:rPr>
                <w:rFonts w:eastAsia="Times New Roman" w:cs="Calibri"/>
                <w:noProof/>
              </w:rPr>
            </w:pPr>
            <w:r>
              <w:rPr>
                <w:noProof/>
              </w:rPr>
              <w:t>Začetek veljavnosti naslednjih zakonov ali drugih predpisov: (1) pregled vsebine poklicnega usposabljanja in izobraževanja, vključene v nacionalni katalog kvalifikacij na področju digitalnih znanj in spretnosti, in sicer modulov usposabljanja, povezanih s tehnologijami in orodji, da bi razvili znanja in spretnosti, ki so v poklicnem okolju najbolj potrebna na podlagi diagnoze predvidevanja potreb po znanjih in spretnostih. (2) zakonodaja ali ureditev, potrebna za ustvarjanje digitalnih podpisov in žigov na področju kibernetske varnosti, zasebnosti, trajnostnosti in uporabnosti. Vzpostavitev tega pravnega okvira in spodbujanje digitalnega zaupanja sta pogoja za izvajanje naložb v digitalne žige, predvidene v tej komponenti.</w:t>
            </w:r>
          </w:p>
        </w:tc>
      </w:tr>
      <w:tr w:rsidR="00F24946" w14:paraId="6459D986" w14:textId="77777777">
        <w:trPr>
          <w:trHeight w:val="630"/>
        </w:trPr>
        <w:tc>
          <w:tcPr>
            <w:tcW w:w="1135" w:type="dxa"/>
            <w:shd w:val="clear" w:color="auto" w:fill="C5EFCE"/>
            <w:vAlign w:val="center"/>
            <w:hideMark/>
          </w:tcPr>
          <w:p w14:paraId="6940FAF7" w14:textId="77777777" w:rsidR="00F24946" w:rsidRDefault="00613B06">
            <w:pPr>
              <w:pStyle w:val="P68B1DB1-Normal7"/>
              <w:spacing w:after="0" w:line="240" w:lineRule="auto"/>
              <w:jc w:val="center"/>
              <w:rPr>
                <w:rFonts w:eastAsia="Times New Roman" w:cs="Calibri"/>
                <w:noProof/>
              </w:rPr>
            </w:pPr>
            <w:r>
              <w:rPr>
                <w:noProof/>
              </w:rPr>
              <w:t>16.2</w:t>
            </w:r>
          </w:p>
        </w:tc>
        <w:tc>
          <w:tcPr>
            <w:tcW w:w="1276" w:type="dxa"/>
            <w:shd w:val="clear" w:color="auto" w:fill="C4EFCE"/>
            <w:noWrap/>
            <w:vAlign w:val="center"/>
            <w:hideMark/>
          </w:tcPr>
          <w:p w14:paraId="7CE8CA8A" w14:textId="77777777" w:rsidR="00F24946" w:rsidRDefault="00613B06">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09AF1728"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D18194C" w14:textId="77777777" w:rsidR="00F24946" w:rsidRDefault="00613B06">
            <w:pPr>
              <w:pStyle w:val="P68B1DB1-Normal8"/>
              <w:spacing w:after="0" w:line="240" w:lineRule="auto"/>
              <w:jc w:val="center"/>
              <w:rPr>
                <w:rFonts w:eastAsia="Times New Roman" w:cs="Calibri"/>
                <w:noProof/>
              </w:rPr>
            </w:pPr>
            <w:r>
              <w:rPr>
                <w:noProof/>
              </w:rPr>
              <w:t xml:space="preserve">Začetek portugalske digitalne akademije in programov za zaposlovanje + Digitalno področje </w:t>
            </w:r>
          </w:p>
        </w:tc>
        <w:tc>
          <w:tcPr>
            <w:tcW w:w="1275" w:type="dxa"/>
            <w:shd w:val="clear" w:color="auto" w:fill="C4EFCE"/>
            <w:noWrap/>
            <w:vAlign w:val="center"/>
            <w:hideMark/>
          </w:tcPr>
          <w:p w14:paraId="408F4230" w14:textId="77777777" w:rsidR="00F24946" w:rsidRDefault="00613B06">
            <w:pPr>
              <w:pStyle w:val="P68B1DB1-Normal8"/>
              <w:spacing w:after="0" w:line="240" w:lineRule="auto"/>
              <w:jc w:val="center"/>
              <w:rPr>
                <w:rFonts w:eastAsia="Times New Roman" w:cs="Calibri"/>
                <w:noProof/>
              </w:rPr>
            </w:pPr>
            <w:r>
              <w:rPr>
                <w:noProof/>
              </w:rPr>
              <w:t>Začetek portugalske digitalne akademije in zaposlovanje + digitalni programi</w:t>
            </w:r>
          </w:p>
        </w:tc>
        <w:tc>
          <w:tcPr>
            <w:tcW w:w="993" w:type="dxa"/>
            <w:shd w:val="clear" w:color="auto" w:fill="C4EFCE"/>
            <w:noWrap/>
            <w:vAlign w:val="center"/>
            <w:hideMark/>
          </w:tcPr>
          <w:p w14:paraId="52EB1383" w14:textId="77777777" w:rsidR="00F24946" w:rsidRDefault="00613B06">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1F586DE5"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1E7CB3D9" w14:textId="77777777" w:rsidR="00F24946" w:rsidRDefault="00613B06">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310C5484" w14:textId="77777777" w:rsidR="00F24946" w:rsidRDefault="00613B06">
            <w:pPr>
              <w:pStyle w:val="P68B1DB1-Normal8"/>
              <w:spacing w:after="0" w:line="240" w:lineRule="auto"/>
              <w:jc w:val="center"/>
              <w:rPr>
                <w:rFonts w:eastAsia="Times New Roman" w:cs="Calibri"/>
                <w:noProof/>
              </w:rPr>
            </w:pPr>
            <w:r>
              <w:rPr>
                <w:noProof/>
              </w:rPr>
              <w:t>ČETRTLETJE 1</w:t>
            </w:r>
          </w:p>
        </w:tc>
        <w:tc>
          <w:tcPr>
            <w:tcW w:w="708" w:type="dxa"/>
            <w:shd w:val="clear" w:color="auto" w:fill="C4EFCE"/>
            <w:noWrap/>
            <w:vAlign w:val="center"/>
            <w:hideMark/>
          </w:tcPr>
          <w:p w14:paraId="411306C6"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498F74B2" w14:textId="77777777" w:rsidR="00F24946" w:rsidRDefault="00613B06">
            <w:pPr>
              <w:pStyle w:val="P68B1DB1-Normal8"/>
              <w:spacing w:after="0" w:line="240" w:lineRule="auto"/>
              <w:jc w:val="both"/>
              <w:rPr>
                <w:rFonts w:eastAsia="Times New Roman" w:cs="Calibri"/>
                <w:noProof/>
              </w:rPr>
            </w:pPr>
            <w:r>
              <w:rPr>
                <w:noProof/>
              </w:rPr>
              <w:t xml:space="preserve">Portugalska digitalna akademija – (1) spletna platforma deluje in je dostopna njenim uporabnikom, (2) opredeljeni so diagnostični postopki za oceno priporočil o digitalnih znanjih in spretnostih za udeležence usposabljanja ter za opredelitev prilagojenih tečajev usposabljanja, ki jih potrebujejo, prvi sklop spletnih usposabljanj pa se začne in je dostopen pripravnikom. </w:t>
            </w:r>
          </w:p>
          <w:p w14:paraId="11F7A3F6" w14:textId="421B983E" w:rsidR="00F24946" w:rsidRDefault="00613B06">
            <w:pPr>
              <w:pStyle w:val="P68B1DB1-Normal8"/>
              <w:spacing w:after="0" w:line="240" w:lineRule="auto"/>
              <w:jc w:val="both"/>
              <w:rPr>
                <w:rFonts w:eastAsia="Times New Roman" w:cs="Calibri"/>
                <w:noProof/>
              </w:rPr>
            </w:pPr>
            <w:r>
              <w:rPr>
                <w:noProof/>
              </w:rPr>
              <w:t>Zaposlovanje + digitalno – (1) opredelitev gospodarskih sektorjev, na katere se je treba osredotočiti, in opredelitev njihovih glavnih digitalnih izzivov, ki jih je treba obravnavati na tečajih; (2) opredelitev partnerjev in deležnikov za izvajanje programa; (3) program usposabljanja se začne in začne se spletno, osebno ali kombinirano usposabljanje.</w:t>
            </w:r>
          </w:p>
        </w:tc>
      </w:tr>
      <w:tr w:rsidR="00F24946" w14:paraId="641661D3" w14:textId="77777777">
        <w:trPr>
          <w:trHeight w:val="640"/>
        </w:trPr>
        <w:tc>
          <w:tcPr>
            <w:tcW w:w="1135" w:type="dxa"/>
            <w:shd w:val="clear" w:color="auto" w:fill="C5EFCE"/>
            <w:vAlign w:val="center"/>
            <w:hideMark/>
          </w:tcPr>
          <w:p w14:paraId="7B9A6855" w14:textId="77777777" w:rsidR="00F24946" w:rsidRDefault="00613B06">
            <w:pPr>
              <w:pStyle w:val="P68B1DB1-Normal7"/>
              <w:spacing w:after="0" w:line="240" w:lineRule="auto"/>
              <w:jc w:val="center"/>
              <w:rPr>
                <w:rFonts w:eastAsia="Times New Roman" w:cs="Calibri"/>
                <w:noProof/>
              </w:rPr>
            </w:pPr>
            <w:r>
              <w:rPr>
                <w:noProof/>
              </w:rPr>
              <w:t>16.3</w:t>
            </w:r>
          </w:p>
        </w:tc>
        <w:tc>
          <w:tcPr>
            <w:tcW w:w="1276" w:type="dxa"/>
            <w:shd w:val="clear" w:color="auto" w:fill="C4EFCE"/>
            <w:noWrap/>
            <w:vAlign w:val="center"/>
            <w:hideMark/>
          </w:tcPr>
          <w:p w14:paraId="6DA18CB9" w14:textId="77777777" w:rsidR="00F24946" w:rsidRDefault="00613B06">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69A0921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0123495" w14:textId="77777777" w:rsidR="00F24946" w:rsidRDefault="00613B06">
            <w:pPr>
              <w:pStyle w:val="P68B1DB1-Normal8"/>
              <w:spacing w:after="0" w:line="240" w:lineRule="auto"/>
              <w:jc w:val="center"/>
              <w:rPr>
                <w:rFonts w:eastAsia="Times New Roman" w:cs="Calibri"/>
                <w:noProof/>
              </w:rPr>
            </w:pPr>
            <w:r>
              <w:rPr>
                <w:noProof/>
              </w:rPr>
              <w:t>Zaposlitev + udeleženci digitalnega usposabljanja</w:t>
            </w:r>
          </w:p>
        </w:tc>
        <w:tc>
          <w:tcPr>
            <w:tcW w:w="1275" w:type="dxa"/>
            <w:shd w:val="clear" w:color="auto" w:fill="C4EFCE"/>
            <w:noWrap/>
            <w:vAlign w:val="center"/>
            <w:hideMark/>
          </w:tcPr>
          <w:p w14:paraId="65780DFF"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BDCF9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11D2D464"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02ABAB2" w14:textId="77777777" w:rsidR="00F24946" w:rsidRDefault="00613B06">
            <w:pPr>
              <w:pStyle w:val="P68B1DB1-Normal8"/>
              <w:spacing w:after="0" w:line="240" w:lineRule="auto"/>
              <w:jc w:val="center"/>
              <w:rPr>
                <w:rFonts w:eastAsia="Times New Roman" w:cs="Calibri"/>
                <w:noProof/>
              </w:rPr>
            </w:pPr>
            <w:r>
              <w:rPr>
                <w:noProof/>
              </w:rPr>
              <w:t>200 000</w:t>
            </w:r>
          </w:p>
        </w:tc>
        <w:tc>
          <w:tcPr>
            <w:tcW w:w="426" w:type="dxa"/>
            <w:shd w:val="clear" w:color="auto" w:fill="C4EFCE"/>
            <w:noWrap/>
            <w:vAlign w:val="center"/>
            <w:hideMark/>
          </w:tcPr>
          <w:p w14:paraId="62492B9C"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2C1ADD8F"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DB28148" w14:textId="409C353B" w:rsidR="00F24946" w:rsidRDefault="00613B06">
            <w:pPr>
              <w:pStyle w:val="P68B1DB1-Normal8"/>
              <w:spacing w:after="0" w:line="240" w:lineRule="auto"/>
              <w:jc w:val="both"/>
              <w:rPr>
                <w:rFonts w:eastAsia="Times New Roman" w:cs="Calibri"/>
                <w:noProof/>
              </w:rPr>
            </w:pPr>
            <w:r>
              <w:rPr>
                <w:noProof/>
              </w:rPr>
              <w:t>Število udeležencev usposabljanja, ki so opravili spletni, osebni ali kombinirani modul usposabljanja za preusposabljanje in izpopolnjevanje, s poudarkom na digitalnih znanjih in spretnostih, ki obravnavajo izzive opredeljenih gospodarskih sektorjev v programu za zaposlovanje in digitalno tehnologijo. Izbrani gospodarski sektorji so tisti, ki so bili opredeljeni v mejniku v prvem četrtletju 2022.</w:t>
            </w:r>
          </w:p>
        </w:tc>
      </w:tr>
      <w:tr w:rsidR="00F24946" w14:paraId="3B45A3FB" w14:textId="77777777">
        <w:trPr>
          <w:trHeight w:val="430"/>
        </w:trPr>
        <w:tc>
          <w:tcPr>
            <w:tcW w:w="1135" w:type="dxa"/>
            <w:shd w:val="clear" w:color="auto" w:fill="C5EFCE"/>
            <w:vAlign w:val="center"/>
            <w:hideMark/>
          </w:tcPr>
          <w:p w14:paraId="49B3BE1C" w14:textId="77777777" w:rsidR="00F24946" w:rsidRDefault="00613B06">
            <w:pPr>
              <w:pStyle w:val="P68B1DB1-Normal7"/>
              <w:spacing w:after="0" w:line="240" w:lineRule="auto"/>
              <w:jc w:val="center"/>
              <w:rPr>
                <w:rFonts w:eastAsia="Times New Roman" w:cs="Calibri"/>
                <w:noProof/>
              </w:rPr>
            </w:pPr>
            <w:r>
              <w:rPr>
                <w:noProof/>
              </w:rPr>
              <w:t>16.4</w:t>
            </w:r>
          </w:p>
        </w:tc>
        <w:tc>
          <w:tcPr>
            <w:tcW w:w="1276" w:type="dxa"/>
            <w:shd w:val="clear" w:color="auto" w:fill="C4EFCE"/>
            <w:noWrap/>
            <w:vAlign w:val="center"/>
            <w:hideMark/>
          </w:tcPr>
          <w:p w14:paraId="0F910593" w14:textId="77777777" w:rsidR="00F24946" w:rsidRDefault="00613B06">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498FA43B"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69C3E62" w14:textId="77777777" w:rsidR="00F24946" w:rsidRDefault="00613B06">
            <w:pPr>
              <w:pStyle w:val="P68B1DB1-Normal8"/>
              <w:spacing w:after="0" w:line="240" w:lineRule="auto"/>
              <w:jc w:val="center"/>
              <w:rPr>
                <w:rFonts w:eastAsia="Times New Roman" w:cs="Calibri"/>
                <w:noProof/>
              </w:rPr>
            </w:pPr>
            <w:r>
              <w:rPr>
                <w:noProof/>
              </w:rPr>
              <w:t>Udeleženci usposabljanja za digitalno akademijo na Portugalskem</w:t>
            </w:r>
          </w:p>
        </w:tc>
        <w:tc>
          <w:tcPr>
            <w:tcW w:w="1275" w:type="dxa"/>
            <w:shd w:val="clear" w:color="auto" w:fill="C4EFCE"/>
            <w:noWrap/>
            <w:vAlign w:val="center"/>
            <w:hideMark/>
          </w:tcPr>
          <w:p w14:paraId="5311EC00"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9790E4"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5E9E7350"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FBAA0E5" w14:textId="755ABA93" w:rsidR="00F24946" w:rsidRDefault="00613B06">
            <w:pPr>
              <w:pStyle w:val="P68B1DB1-Normal8"/>
              <w:spacing w:after="0" w:line="240" w:lineRule="auto"/>
              <w:jc w:val="center"/>
              <w:rPr>
                <w:rFonts w:eastAsia="Times New Roman" w:cs="Calibri"/>
                <w:noProof/>
              </w:rPr>
            </w:pPr>
            <w:r>
              <w:rPr>
                <w:noProof/>
              </w:rPr>
              <w:t>500 000</w:t>
            </w:r>
          </w:p>
        </w:tc>
        <w:tc>
          <w:tcPr>
            <w:tcW w:w="426" w:type="dxa"/>
            <w:shd w:val="clear" w:color="auto" w:fill="C4EFCE"/>
            <w:noWrap/>
            <w:vAlign w:val="center"/>
            <w:hideMark/>
          </w:tcPr>
          <w:p w14:paraId="35BB736B"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73479E05"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B4C4465" w14:textId="72846C38" w:rsidR="00F24946" w:rsidRDefault="00613B06">
            <w:pPr>
              <w:pStyle w:val="P68B1DB1-Normal8"/>
              <w:spacing w:after="0" w:line="240" w:lineRule="auto"/>
              <w:jc w:val="both"/>
              <w:rPr>
                <w:rFonts w:eastAsia="Times New Roman" w:cs="Calibri"/>
                <w:noProof/>
              </w:rPr>
            </w:pPr>
            <w:r>
              <w:rPr>
                <w:noProof/>
              </w:rPr>
              <w:t>Število udeležencev usposabljanja, ki so prejeli diagnostiko digitalnih znanj in spretnosti. 125000 udeležencev opravi tudi spletni kombinirani ali osebni modul v portugalskem programu digitalne akademije.</w:t>
            </w:r>
          </w:p>
          <w:p w14:paraId="1D8610F7" w14:textId="5BE4E11C" w:rsidR="00F24946" w:rsidRDefault="00613B06">
            <w:pPr>
              <w:pStyle w:val="P68B1DB1-Normal8"/>
              <w:spacing w:after="0" w:line="240" w:lineRule="auto"/>
              <w:jc w:val="both"/>
              <w:rPr>
                <w:rFonts w:eastAsia="Times New Roman" w:cs="Calibri"/>
                <w:noProof/>
              </w:rPr>
            </w:pPr>
            <w:r>
              <w:rPr>
                <w:noProof/>
              </w:rPr>
              <w:t>Poleg tega je na voljo petdeset novo razvitih MOOC.</w:t>
            </w:r>
          </w:p>
        </w:tc>
      </w:tr>
      <w:tr w:rsidR="00F24946" w14:paraId="36F65094" w14:textId="77777777">
        <w:trPr>
          <w:trHeight w:val="840"/>
        </w:trPr>
        <w:tc>
          <w:tcPr>
            <w:tcW w:w="1135" w:type="dxa"/>
            <w:shd w:val="clear" w:color="auto" w:fill="C5EFCE"/>
            <w:vAlign w:val="center"/>
            <w:hideMark/>
          </w:tcPr>
          <w:p w14:paraId="79B09C43" w14:textId="77777777" w:rsidR="00F24946" w:rsidRDefault="00613B06">
            <w:pPr>
              <w:pStyle w:val="P68B1DB1-Normal7"/>
              <w:spacing w:after="0" w:line="240" w:lineRule="auto"/>
              <w:jc w:val="center"/>
              <w:rPr>
                <w:rFonts w:eastAsia="Times New Roman" w:cs="Calibri"/>
                <w:noProof/>
              </w:rPr>
            </w:pPr>
            <w:r>
              <w:rPr>
                <w:noProof/>
              </w:rPr>
              <w:t>16.5</w:t>
            </w:r>
          </w:p>
        </w:tc>
        <w:tc>
          <w:tcPr>
            <w:tcW w:w="1276" w:type="dxa"/>
            <w:shd w:val="clear" w:color="auto" w:fill="C4EFCE"/>
            <w:noWrap/>
            <w:vAlign w:val="center"/>
            <w:hideMark/>
          </w:tcPr>
          <w:p w14:paraId="0767AC81"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2F519593"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E3F188" w14:textId="77777777" w:rsidR="00F24946" w:rsidRDefault="00613B06">
            <w:pPr>
              <w:pStyle w:val="P68B1DB1-Normal8"/>
              <w:spacing w:after="0" w:line="240" w:lineRule="auto"/>
              <w:jc w:val="center"/>
              <w:rPr>
                <w:rFonts w:eastAsia="Times New Roman" w:cs="Calibri"/>
                <w:noProof/>
              </w:rPr>
            </w:pPr>
            <w:r>
              <w:rPr>
                <w:noProof/>
              </w:rPr>
              <w:t xml:space="preserve">MSP, ki jih podpirajo pospeševalci digitalne trgovine </w:t>
            </w:r>
          </w:p>
        </w:tc>
        <w:tc>
          <w:tcPr>
            <w:tcW w:w="1275" w:type="dxa"/>
            <w:shd w:val="clear" w:color="auto" w:fill="C4EFCE"/>
            <w:noWrap/>
            <w:vAlign w:val="center"/>
            <w:hideMark/>
          </w:tcPr>
          <w:p w14:paraId="2EB5D309"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6DD7F0"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6101D998"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1F057A08" w14:textId="769CE70E" w:rsidR="00F24946" w:rsidRDefault="00613B06">
            <w:pPr>
              <w:pStyle w:val="P68B1DB1-Normal8"/>
              <w:spacing w:after="0" w:line="240" w:lineRule="auto"/>
              <w:jc w:val="center"/>
              <w:rPr>
                <w:rFonts w:eastAsia="Times New Roman" w:cs="Calibri"/>
                <w:noProof/>
              </w:rPr>
            </w:pPr>
            <w:r>
              <w:rPr>
                <w:noProof/>
              </w:rPr>
              <w:t>12 500</w:t>
            </w:r>
          </w:p>
        </w:tc>
        <w:tc>
          <w:tcPr>
            <w:tcW w:w="426" w:type="dxa"/>
            <w:shd w:val="clear" w:color="auto" w:fill="C4EFCE"/>
            <w:noWrap/>
            <w:vAlign w:val="center"/>
            <w:hideMark/>
          </w:tcPr>
          <w:p w14:paraId="30274845"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6E0C3DDB" w14:textId="7C58F5E6"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17110C0" w14:textId="77777777" w:rsidR="00F24946" w:rsidRDefault="00613B06">
            <w:pPr>
              <w:pStyle w:val="P68B1DB1-Normal8"/>
              <w:spacing w:after="0" w:line="240" w:lineRule="auto"/>
              <w:jc w:val="both"/>
              <w:rPr>
                <w:rFonts w:eastAsia="Times New Roman" w:cs="Calibri"/>
                <w:noProof/>
              </w:rPr>
            </w:pPr>
            <w:r>
              <w:rPr>
                <w:noProof/>
              </w:rPr>
              <w:t xml:space="preserve">Število MSP, podprtih z vzpostavitvijo 25 pospeševalnikov digitalne trgovine na lokalni, regionalni ali sektorski ravni ter sistemom finančnih spodbud za digitalizacijo poslovnih modelov MSP. Podpora zajema ocenjevanje in diagnosticiranje ravni digitalizacije upravičenih MSP ter zagotavljanje ciljno usmerjenih storitev in spodbud za povečanje sprejemanja digitalnih tehnologij v poslovni model upravičencev. </w:t>
            </w:r>
          </w:p>
          <w:p w14:paraId="66ADDCA3" w14:textId="10D0B309" w:rsidR="00F24946" w:rsidRDefault="00613B06">
            <w:pPr>
              <w:pStyle w:val="P68B1DB1-Normal8"/>
              <w:spacing w:after="0" w:line="240" w:lineRule="auto"/>
              <w:jc w:val="both"/>
              <w:rPr>
                <w:rFonts w:eastAsia="Times New Roman" w:cs="Calibri"/>
                <w:noProof/>
              </w:rPr>
            </w:pPr>
            <w:r>
              <w:rPr>
                <w:noProof/>
              </w:rPr>
              <w:t>Z merili za izbor se zagotovi skladnost s tehničnimi smernicami „da se ne škoduje bistveno“ (2021/C58/01) podprtih transakcij v okviru tega ukrepa z uporabo preverjanja trajnostnosti, uporabo seznama izključitev ter zahtevo po skladnosti z ustrezno okoljsko zakonodajo EU in nacionalno okoljsko zakonodajo.</w:t>
            </w:r>
          </w:p>
        </w:tc>
      </w:tr>
      <w:tr w:rsidR="00F24946" w14:paraId="5705A32B" w14:textId="77777777">
        <w:trPr>
          <w:trHeight w:val="420"/>
        </w:trPr>
        <w:tc>
          <w:tcPr>
            <w:tcW w:w="1135" w:type="dxa"/>
            <w:shd w:val="clear" w:color="auto" w:fill="C5EFCE"/>
            <w:vAlign w:val="center"/>
            <w:hideMark/>
          </w:tcPr>
          <w:p w14:paraId="000270AE" w14:textId="77777777" w:rsidR="00F24946" w:rsidRDefault="00613B06">
            <w:pPr>
              <w:pStyle w:val="P68B1DB1-Normal7"/>
              <w:spacing w:after="0" w:line="240" w:lineRule="auto"/>
              <w:jc w:val="center"/>
              <w:rPr>
                <w:rFonts w:eastAsia="Times New Roman" w:cs="Calibri"/>
                <w:noProof/>
              </w:rPr>
            </w:pPr>
            <w:r>
              <w:rPr>
                <w:noProof/>
              </w:rPr>
              <w:t>16.6</w:t>
            </w:r>
          </w:p>
        </w:tc>
        <w:tc>
          <w:tcPr>
            <w:tcW w:w="1276" w:type="dxa"/>
            <w:shd w:val="clear" w:color="auto" w:fill="C4EFCE"/>
            <w:noWrap/>
            <w:vAlign w:val="center"/>
            <w:hideMark/>
          </w:tcPr>
          <w:p w14:paraId="78A96FDD"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7357B62"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CB16DF" w14:textId="46C25FDB" w:rsidR="00F24946" w:rsidRDefault="00613B06">
            <w:pPr>
              <w:pStyle w:val="P68B1DB1-Normal8"/>
              <w:spacing w:after="0" w:line="240" w:lineRule="auto"/>
              <w:jc w:val="center"/>
              <w:rPr>
                <w:rFonts w:eastAsia="Times New Roman" w:cs="Calibri"/>
                <w:noProof/>
              </w:rPr>
            </w:pPr>
            <w:r>
              <w:rPr>
                <w:noProof/>
              </w:rPr>
              <w:t>Razviti pilotni proizvodi in storitve nacionalne mreže za preskusne naprave</w:t>
            </w:r>
          </w:p>
        </w:tc>
        <w:tc>
          <w:tcPr>
            <w:tcW w:w="1275" w:type="dxa"/>
            <w:shd w:val="clear" w:color="auto" w:fill="C4EFCE"/>
            <w:noWrap/>
            <w:vAlign w:val="center"/>
            <w:hideMark/>
          </w:tcPr>
          <w:p w14:paraId="7F3952A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524FBBA"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6DA02CA"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4A9A84A" w14:textId="7BDE7575" w:rsidR="00F24946" w:rsidRDefault="00613B06">
            <w:pPr>
              <w:pStyle w:val="P68B1DB1-Normal8"/>
              <w:spacing w:after="0" w:line="240" w:lineRule="auto"/>
              <w:jc w:val="center"/>
              <w:rPr>
                <w:rFonts w:eastAsia="Times New Roman" w:cs="Calibri"/>
                <w:noProof/>
              </w:rPr>
            </w:pPr>
            <w:r>
              <w:rPr>
                <w:noProof/>
              </w:rPr>
              <w:t>600</w:t>
            </w:r>
          </w:p>
        </w:tc>
        <w:tc>
          <w:tcPr>
            <w:tcW w:w="426" w:type="dxa"/>
            <w:shd w:val="clear" w:color="auto" w:fill="C4EFCE"/>
            <w:noWrap/>
            <w:vAlign w:val="center"/>
            <w:hideMark/>
          </w:tcPr>
          <w:p w14:paraId="2BAA25D5" w14:textId="204D01EA"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397A151A" w14:textId="454F43F3"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A17EC12" w14:textId="0CEEA83B" w:rsidR="00F24946" w:rsidRDefault="00613B06">
            <w:pPr>
              <w:pStyle w:val="P68B1DB1-Normal8"/>
              <w:spacing w:after="0" w:line="240" w:lineRule="auto"/>
              <w:jc w:val="both"/>
              <w:rPr>
                <w:rFonts w:eastAsia="Times New Roman" w:cs="Calibri"/>
                <w:noProof/>
              </w:rPr>
            </w:pPr>
            <w:r>
              <w:rPr>
                <w:noProof/>
              </w:rPr>
              <w:t xml:space="preserve">Število razvitih pilotnih proizvodov ali storitev (z namenom doseči vsaj raven pripravljenosti tehnologije 5) v nacionalni mreži za preskusne naprave. </w:t>
            </w:r>
          </w:p>
          <w:p w14:paraId="1B884D2E" w14:textId="229931CB" w:rsidR="00F24946" w:rsidRDefault="00613B06">
            <w:pPr>
              <w:pStyle w:val="P68B1DB1-Normal8"/>
              <w:spacing w:after="0" w:line="240" w:lineRule="auto"/>
              <w:jc w:val="both"/>
              <w:rPr>
                <w:rFonts w:eastAsia="Times New Roman" w:cs="Calibri"/>
                <w:noProof/>
              </w:rPr>
            </w:pPr>
            <w:r>
              <w:rPr>
                <w:noProof/>
              </w:rPr>
              <w:t>Z merili za izbor se zagotovi skladnost s tehničnimi smernicami „da se ne škoduje bistveno“ (2021/C58/01) o podprtih transakcijah v okviru tega ukrepa z uporabo seznama za izključitev ter zahtevo po skladnosti z ustrezno okoljsko zakonodajo EU in nacionalno okoljsko zakonodajo.</w:t>
            </w:r>
          </w:p>
        </w:tc>
      </w:tr>
      <w:tr w:rsidR="00F24946" w14:paraId="302E1901" w14:textId="77777777">
        <w:trPr>
          <w:trHeight w:val="920"/>
        </w:trPr>
        <w:tc>
          <w:tcPr>
            <w:tcW w:w="1135" w:type="dxa"/>
            <w:shd w:val="clear" w:color="auto" w:fill="C5EFCE"/>
            <w:vAlign w:val="center"/>
            <w:hideMark/>
          </w:tcPr>
          <w:p w14:paraId="04EB0D69" w14:textId="77777777" w:rsidR="00F24946" w:rsidRDefault="00613B06">
            <w:pPr>
              <w:pStyle w:val="P68B1DB1-Normal7"/>
              <w:spacing w:after="0" w:line="240" w:lineRule="auto"/>
              <w:jc w:val="center"/>
              <w:rPr>
                <w:rFonts w:eastAsia="Times New Roman" w:cs="Calibri"/>
                <w:noProof/>
              </w:rPr>
            </w:pPr>
            <w:r>
              <w:rPr>
                <w:noProof/>
              </w:rPr>
              <w:t>16.7</w:t>
            </w:r>
          </w:p>
        </w:tc>
        <w:tc>
          <w:tcPr>
            <w:tcW w:w="1276" w:type="dxa"/>
            <w:shd w:val="clear" w:color="auto" w:fill="C4EFCE"/>
            <w:noWrap/>
            <w:vAlign w:val="center"/>
            <w:hideMark/>
          </w:tcPr>
          <w:p w14:paraId="486E2805"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022E78"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FBD8596" w14:textId="77777777" w:rsidR="00F24946" w:rsidRDefault="00613B06">
            <w:pPr>
              <w:pStyle w:val="P68B1DB1-Normal8"/>
              <w:spacing w:after="0" w:line="240" w:lineRule="auto"/>
              <w:jc w:val="center"/>
              <w:rPr>
                <w:rFonts w:eastAsia="Times New Roman" w:cs="Calibri"/>
                <w:noProof/>
              </w:rPr>
            </w:pPr>
            <w:r>
              <w:rPr>
                <w:noProof/>
              </w:rPr>
              <w:t>Testne naprave, izbrane za nacionalno mrežo preskuševalnih naprav</w:t>
            </w:r>
          </w:p>
        </w:tc>
        <w:tc>
          <w:tcPr>
            <w:tcW w:w="1275" w:type="dxa"/>
            <w:shd w:val="clear" w:color="auto" w:fill="C4EFCE"/>
            <w:noWrap/>
            <w:vAlign w:val="center"/>
            <w:hideMark/>
          </w:tcPr>
          <w:p w14:paraId="24BABD16" w14:textId="77777777" w:rsidR="00F24946" w:rsidRDefault="00613B06">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2AF4B68E"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90C3CF5" w14:textId="77777777" w:rsidR="00F24946" w:rsidRDefault="00613B06">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358B2E8A" w14:textId="77777777" w:rsidR="00F24946" w:rsidRDefault="00613B06">
            <w:pPr>
              <w:pStyle w:val="P68B1DB1-Normal8"/>
              <w:spacing w:after="0" w:line="240" w:lineRule="auto"/>
              <w:jc w:val="center"/>
              <w:rPr>
                <w:rFonts w:eastAsia="Times New Roman" w:cs="Calibri"/>
                <w:noProof/>
              </w:rPr>
            </w:pPr>
            <w:r>
              <w:rPr>
                <w:noProof/>
              </w:rPr>
              <w:t>30 </w:t>
            </w:r>
          </w:p>
        </w:tc>
        <w:tc>
          <w:tcPr>
            <w:tcW w:w="426" w:type="dxa"/>
            <w:shd w:val="clear" w:color="auto" w:fill="C4EFCE"/>
            <w:noWrap/>
            <w:vAlign w:val="center"/>
            <w:hideMark/>
          </w:tcPr>
          <w:p w14:paraId="37852C11"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0AF84A0B"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3D5DF3F" w14:textId="77777777" w:rsidR="00F24946" w:rsidRDefault="00613B06">
            <w:pPr>
              <w:pStyle w:val="P68B1DB1-Normal9"/>
              <w:spacing w:after="0" w:line="240" w:lineRule="auto"/>
              <w:jc w:val="both"/>
              <w:rPr>
                <w:rFonts w:eastAsia="Times New Roman" w:cs="Calibri"/>
                <w:noProof/>
                <w:sz w:val="16"/>
              </w:rPr>
            </w:pPr>
            <w:r>
              <w:rPr>
                <w:noProof/>
                <w:sz w:val="16"/>
              </w:rPr>
              <w:t xml:space="preserve">Število preskuševalnih naprav, izbranih za nadaljnjo namestitev s potrebno opremo, ki omogoča razvoj in preskušanje pilotnih proizvodov v nacionalnem omrežju za preskusne naprave. Pokritost industrijskih sektorjev in njihovih podsektorjev ustreza pokritosti, predvideni za omrežje vozlišč za digitalne inovacije (DIH), da se ustvarijo sinergije in dopolnjevanje z mrežo vozlišč za digitalne inovacije. </w:t>
            </w:r>
          </w:p>
          <w:p w14:paraId="723D2E82" w14:textId="1C437B17"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642663A6" w14:textId="77777777">
        <w:trPr>
          <w:trHeight w:val="420"/>
        </w:trPr>
        <w:tc>
          <w:tcPr>
            <w:tcW w:w="1135" w:type="dxa"/>
            <w:shd w:val="clear" w:color="auto" w:fill="C5EFCE"/>
            <w:vAlign w:val="center"/>
            <w:hideMark/>
          </w:tcPr>
          <w:p w14:paraId="0C199B10" w14:textId="77777777" w:rsidR="00F24946" w:rsidRDefault="00613B06">
            <w:pPr>
              <w:pStyle w:val="P68B1DB1-Normal7"/>
              <w:spacing w:after="0" w:line="240" w:lineRule="auto"/>
              <w:jc w:val="center"/>
              <w:rPr>
                <w:rFonts w:eastAsia="Times New Roman" w:cs="Calibri"/>
                <w:noProof/>
              </w:rPr>
            </w:pPr>
            <w:r>
              <w:rPr>
                <w:noProof/>
              </w:rPr>
              <w:t>16.8</w:t>
            </w:r>
          </w:p>
        </w:tc>
        <w:tc>
          <w:tcPr>
            <w:tcW w:w="1276" w:type="dxa"/>
            <w:shd w:val="clear" w:color="auto" w:fill="C4EFCE"/>
            <w:noWrap/>
            <w:vAlign w:val="center"/>
            <w:hideMark/>
          </w:tcPr>
          <w:p w14:paraId="4D5E6E95"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3AC525B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843CFCB" w14:textId="17138ACC" w:rsidR="00F24946" w:rsidRDefault="00613B06">
            <w:pPr>
              <w:pStyle w:val="P68B1DB1-Normal8"/>
              <w:spacing w:after="0" w:line="240" w:lineRule="auto"/>
              <w:jc w:val="center"/>
              <w:rPr>
                <w:rFonts w:eastAsia="Times New Roman" w:cs="Calibri"/>
                <w:noProof/>
              </w:rPr>
            </w:pPr>
            <w:r>
              <w:rPr>
                <w:noProof/>
              </w:rPr>
              <w:t xml:space="preserve">Razviti pilotni proizvodi in storitve nacionalne mreže za preskusne naprave </w:t>
            </w:r>
          </w:p>
        </w:tc>
        <w:tc>
          <w:tcPr>
            <w:tcW w:w="1275" w:type="dxa"/>
            <w:shd w:val="clear" w:color="auto" w:fill="C4EFCE"/>
            <w:noWrap/>
            <w:vAlign w:val="center"/>
            <w:hideMark/>
          </w:tcPr>
          <w:p w14:paraId="1C87661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163E41C"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4032CDA7" w14:textId="3AB8A8F0" w:rsidR="00F24946" w:rsidRDefault="00613B06">
            <w:pPr>
              <w:pStyle w:val="P68B1DB1-Normal8"/>
              <w:spacing w:after="0" w:line="240" w:lineRule="auto"/>
              <w:jc w:val="center"/>
              <w:rPr>
                <w:rFonts w:eastAsia="Times New Roman" w:cs="Calibri"/>
                <w:noProof/>
              </w:rPr>
            </w:pPr>
            <w:r>
              <w:rPr>
                <w:noProof/>
              </w:rPr>
              <w:t>600</w:t>
            </w:r>
          </w:p>
        </w:tc>
        <w:tc>
          <w:tcPr>
            <w:tcW w:w="850" w:type="dxa"/>
            <w:shd w:val="clear" w:color="auto" w:fill="C4EFCE"/>
            <w:noWrap/>
            <w:vAlign w:val="center"/>
            <w:hideMark/>
          </w:tcPr>
          <w:p w14:paraId="78086472" w14:textId="5935E04B" w:rsidR="00F24946" w:rsidRDefault="00613B06">
            <w:pPr>
              <w:pStyle w:val="P68B1DB1-Normal8"/>
              <w:spacing w:after="0" w:line="240" w:lineRule="auto"/>
              <w:jc w:val="center"/>
              <w:rPr>
                <w:rFonts w:eastAsia="Times New Roman" w:cs="Calibri"/>
                <w:noProof/>
              </w:rPr>
            </w:pPr>
            <w:r>
              <w:rPr>
                <w:noProof/>
              </w:rPr>
              <w:t>3 000</w:t>
            </w:r>
          </w:p>
        </w:tc>
        <w:tc>
          <w:tcPr>
            <w:tcW w:w="426" w:type="dxa"/>
            <w:shd w:val="clear" w:color="auto" w:fill="C4EFCE"/>
            <w:noWrap/>
            <w:vAlign w:val="center"/>
            <w:hideMark/>
          </w:tcPr>
          <w:p w14:paraId="75024F04"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749E31FA"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5E28F56" w14:textId="02EA86AD" w:rsidR="00F24946" w:rsidRDefault="00613B06">
            <w:pPr>
              <w:pStyle w:val="P68B1DB1-Normal8"/>
              <w:spacing w:after="0" w:line="240" w:lineRule="auto"/>
              <w:jc w:val="both"/>
              <w:rPr>
                <w:rFonts w:eastAsia="Times New Roman" w:cs="Calibri"/>
                <w:noProof/>
              </w:rPr>
            </w:pPr>
            <w:r>
              <w:rPr>
                <w:noProof/>
              </w:rPr>
              <w:t xml:space="preserve">Število pilotnih proizvodov ali storitev, razvitih z namenom doseči raven 5 tehnološke pripravljenosti) v nacionalni mreži za preskusne naprave. </w:t>
            </w:r>
          </w:p>
          <w:p w14:paraId="73F048D1" w14:textId="0BEE092C"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5FCAF347" w14:textId="77777777">
        <w:trPr>
          <w:trHeight w:val="1050"/>
        </w:trPr>
        <w:tc>
          <w:tcPr>
            <w:tcW w:w="1135" w:type="dxa"/>
            <w:shd w:val="clear" w:color="auto" w:fill="C5EFCE"/>
            <w:vAlign w:val="center"/>
            <w:hideMark/>
          </w:tcPr>
          <w:p w14:paraId="6A609E24" w14:textId="77777777" w:rsidR="00F24946" w:rsidRDefault="00613B06">
            <w:pPr>
              <w:pStyle w:val="P68B1DB1-Normal7"/>
              <w:spacing w:after="0" w:line="240" w:lineRule="auto"/>
              <w:jc w:val="center"/>
              <w:rPr>
                <w:rFonts w:eastAsia="Times New Roman" w:cs="Calibri"/>
                <w:noProof/>
              </w:rPr>
            </w:pPr>
            <w:r>
              <w:rPr>
                <w:noProof/>
              </w:rPr>
              <w:t>16.9</w:t>
            </w:r>
          </w:p>
        </w:tc>
        <w:tc>
          <w:tcPr>
            <w:tcW w:w="1276" w:type="dxa"/>
            <w:shd w:val="clear" w:color="auto" w:fill="C4EFCE"/>
            <w:noWrap/>
            <w:vAlign w:val="center"/>
            <w:hideMark/>
          </w:tcPr>
          <w:p w14:paraId="179FBF25"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6674AFC7"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884E1F" w14:textId="77777777" w:rsidR="00F24946" w:rsidRDefault="00613B06">
            <w:pPr>
              <w:pStyle w:val="P68B1DB1-Normal8"/>
              <w:spacing w:after="0" w:line="240" w:lineRule="auto"/>
              <w:jc w:val="center"/>
              <w:rPr>
                <w:rFonts w:eastAsia="Times New Roman" w:cs="Calibri"/>
                <w:noProof/>
              </w:rPr>
            </w:pPr>
            <w:r>
              <w:rPr>
                <w:noProof/>
              </w:rPr>
              <w:t xml:space="preserve">Soseska digitalne trgovine  </w:t>
            </w:r>
          </w:p>
        </w:tc>
        <w:tc>
          <w:tcPr>
            <w:tcW w:w="1275" w:type="dxa"/>
            <w:shd w:val="clear" w:color="auto" w:fill="C4EFCE"/>
            <w:noWrap/>
            <w:vAlign w:val="center"/>
            <w:hideMark/>
          </w:tcPr>
          <w:p w14:paraId="7929B32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CAF2B3"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7CDAFE5"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8E1A920" w14:textId="7A3D3DC3" w:rsidR="00F24946" w:rsidRDefault="00613B06">
            <w:pPr>
              <w:pStyle w:val="P68B1DB1-Normal8"/>
              <w:spacing w:after="0" w:line="240" w:lineRule="auto"/>
              <w:jc w:val="center"/>
              <w:rPr>
                <w:rFonts w:eastAsia="Times New Roman" w:cs="Calibri"/>
                <w:noProof/>
              </w:rPr>
            </w:pPr>
            <w:r>
              <w:rPr>
                <w:noProof/>
              </w:rPr>
              <w:t>75</w:t>
            </w:r>
          </w:p>
        </w:tc>
        <w:tc>
          <w:tcPr>
            <w:tcW w:w="426" w:type="dxa"/>
            <w:shd w:val="clear" w:color="auto" w:fill="C4EFCE"/>
            <w:noWrap/>
            <w:vAlign w:val="center"/>
            <w:hideMark/>
          </w:tcPr>
          <w:p w14:paraId="34220EA9"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199941AA"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A0B7D8F" w14:textId="77777777" w:rsidR="00F24946" w:rsidRDefault="00613B06">
            <w:pPr>
              <w:pStyle w:val="P68B1DB1-Normal8"/>
              <w:spacing w:after="0" w:line="240" w:lineRule="auto"/>
              <w:jc w:val="both"/>
              <w:rPr>
                <w:rFonts w:eastAsia="Times New Roman" w:cs="Calibri"/>
                <w:noProof/>
              </w:rPr>
            </w:pPr>
            <w:r>
              <w:rPr>
                <w:noProof/>
              </w:rPr>
              <w:t xml:space="preserve">Število sosesk digitalne trgovine v mestnih središčih, primestnih ali podeželskih območjih. Te naložbe zajemajo povezljivost in lokalno digitalno infrastrukturo, zlasti namestitev (ali nadgradnjo) obstoječe opreme in naprav brezžičnega internetnega dostopa za stranke na nakupovalnih območjih. Zajema tudi vključevanje tehnoloških rešitev za upravljanje dostave paketov in uvedbo elektronskih plačilnih sredstev, da bi digitalizirali izkušnje potrošnikov in poslovni model trgovin. </w:t>
            </w:r>
          </w:p>
          <w:p w14:paraId="2778C930" w14:textId="5EE6DF25"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3DFAB9AF" w14:textId="77777777">
        <w:trPr>
          <w:trHeight w:val="840"/>
        </w:trPr>
        <w:tc>
          <w:tcPr>
            <w:tcW w:w="1135" w:type="dxa"/>
            <w:shd w:val="clear" w:color="auto" w:fill="C5EFCE"/>
            <w:vAlign w:val="center"/>
            <w:hideMark/>
          </w:tcPr>
          <w:p w14:paraId="0F8CC808" w14:textId="77777777" w:rsidR="00F24946" w:rsidRDefault="00613B06">
            <w:pPr>
              <w:pStyle w:val="P68B1DB1-Normal7"/>
              <w:spacing w:after="0" w:line="240" w:lineRule="auto"/>
              <w:jc w:val="center"/>
              <w:rPr>
                <w:rFonts w:eastAsia="Times New Roman" w:cs="Calibri"/>
                <w:noProof/>
              </w:rPr>
            </w:pPr>
            <w:r>
              <w:rPr>
                <w:noProof/>
              </w:rPr>
              <w:t>16.10</w:t>
            </w:r>
          </w:p>
        </w:tc>
        <w:tc>
          <w:tcPr>
            <w:tcW w:w="1276" w:type="dxa"/>
            <w:shd w:val="clear" w:color="auto" w:fill="C4EFCE"/>
            <w:noWrap/>
            <w:vAlign w:val="center"/>
            <w:hideMark/>
          </w:tcPr>
          <w:p w14:paraId="26E29367"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5D3DAE9B"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260687F" w14:textId="77777777" w:rsidR="00F24946" w:rsidRDefault="00613B06">
            <w:pPr>
              <w:pStyle w:val="P68B1DB1-Normal8"/>
              <w:spacing w:after="0" w:line="240" w:lineRule="auto"/>
              <w:jc w:val="center"/>
              <w:rPr>
                <w:rFonts w:eastAsia="Times New Roman" w:cs="Calibri"/>
                <w:noProof/>
              </w:rPr>
            </w:pPr>
            <w:r>
              <w:rPr>
                <w:noProof/>
              </w:rPr>
              <w:t xml:space="preserve">MSP, ki jih podpirajo pospeševalci digitalne trgovine </w:t>
            </w:r>
          </w:p>
        </w:tc>
        <w:tc>
          <w:tcPr>
            <w:tcW w:w="1275" w:type="dxa"/>
            <w:shd w:val="clear" w:color="auto" w:fill="C4EFCE"/>
            <w:noWrap/>
            <w:vAlign w:val="center"/>
            <w:hideMark/>
          </w:tcPr>
          <w:p w14:paraId="67959119"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EC586D"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59094076" w14:textId="1A775469" w:rsidR="00F24946" w:rsidRDefault="00613B06">
            <w:pPr>
              <w:pStyle w:val="P68B1DB1-Normal8"/>
              <w:spacing w:after="0" w:line="240" w:lineRule="auto"/>
              <w:jc w:val="center"/>
              <w:rPr>
                <w:rFonts w:eastAsia="Times New Roman" w:cs="Calibri"/>
                <w:noProof/>
              </w:rPr>
            </w:pPr>
            <w:r>
              <w:rPr>
                <w:noProof/>
              </w:rPr>
              <w:t>12 500</w:t>
            </w:r>
          </w:p>
        </w:tc>
        <w:tc>
          <w:tcPr>
            <w:tcW w:w="850" w:type="dxa"/>
            <w:shd w:val="clear" w:color="auto" w:fill="C4EFCE"/>
            <w:noWrap/>
            <w:vAlign w:val="center"/>
            <w:hideMark/>
          </w:tcPr>
          <w:p w14:paraId="52FADA3D" w14:textId="6EEE0035" w:rsidR="00F24946" w:rsidRDefault="00613B06">
            <w:pPr>
              <w:pStyle w:val="P68B1DB1-Normal8"/>
              <w:spacing w:after="0" w:line="240" w:lineRule="auto"/>
              <w:jc w:val="center"/>
              <w:rPr>
                <w:rFonts w:eastAsia="Times New Roman" w:cs="Calibri"/>
                <w:noProof/>
              </w:rPr>
            </w:pPr>
            <w:r>
              <w:rPr>
                <w:noProof/>
              </w:rPr>
              <w:t>25 000</w:t>
            </w:r>
          </w:p>
        </w:tc>
        <w:tc>
          <w:tcPr>
            <w:tcW w:w="426" w:type="dxa"/>
            <w:shd w:val="clear" w:color="auto" w:fill="C4EFCE"/>
            <w:noWrap/>
            <w:vAlign w:val="center"/>
            <w:hideMark/>
          </w:tcPr>
          <w:p w14:paraId="7C933B29"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37518E67" w14:textId="78F8B329"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308F67E" w14:textId="77777777" w:rsidR="00F24946" w:rsidRDefault="00613B06">
            <w:pPr>
              <w:pStyle w:val="P68B1DB1-Normal8"/>
              <w:spacing w:after="0" w:line="240" w:lineRule="auto"/>
              <w:jc w:val="both"/>
              <w:rPr>
                <w:rFonts w:eastAsia="Times New Roman" w:cs="Calibri"/>
                <w:noProof/>
              </w:rPr>
            </w:pPr>
            <w:r>
              <w:rPr>
                <w:noProof/>
              </w:rPr>
              <w:t xml:space="preserve">Število MSP, podprtih z vzpostavitvijo 25 pospeševalnikov digitalne trgovine na lokalni, regionalni ali sektorski ravni ter sistemom finančnih spodbud za digitalizacijo poslovnih modelov MSP. Podpora zajema ocenjevanje in diagnosticiranje ravni digitalizacije upravičenih MSP ter zagotavljanje ciljno usmerjenih storitev in spodbud za povečanje sprejemanja digitalnih tehnologij v poslovni model upravičencev. </w:t>
            </w:r>
          </w:p>
          <w:p w14:paraId="4ED0DEA8" w14:textId="4B2A5B9A" w:rsidR="00F24946" w:rsidRDefault="00613B06">
            <w:pPr>
              <w:pStyle w:val="P68B1DB1-Normal8"/>
              <w:spacing w:after="0" w:line="240" w:lineRule="auto"/>
              <w:jc w:val="both"/>
              <w:rPr>
                <w:rFonts w:eastAsia="Times New Roman" w:cs="Calibri"/>
                <w:noProof/>
              </w:rPr>
            </w:pPr>
            <w:r>
              <w:rPr>
                <w:noProof/>
              </w:rPr>
              <w:t>Z merili za izbor se zagotovi skladnost s tehničnimi smernicami „da se ne škoduje bistveno“ (2021/C58/01) podprtih transakcij v okviru tega ukrepa z uporabo preverjanja trajnostnosti, uporabo seznama izključitev ter zahtevo po skladnosti z ustrezno okoljsko zakonodajo EU in nacionalno okoljsko zakonodajo.</w:t>
            </w:r>
          </w:p>
        </w:tc>
      </w:tr>
      <w:tr w:rsidR="00F24946" w14:paraId="2F71EA50" w14:textId="77777777">
        <w:trPr>
          <w:trHeight w:val="840"/>
        </w:trPr>
        <w:tc>
          <w:tcPr>
            <w:tcW w:w="1135" w:type="dxa"/>
            <w:shd w:val="clear" w:color="auto" w:fill="C5EFCE"/>
            <w:vAlign w:val="center"/>
            <w:hideMark/>
          </w:tcPr>
          <w:p w14:paraId="3D28E0B0" w14:textId="77777777" w:rsidR="00F24946" w:rsidRDefault="00613B06">
            <w:pPr>
              <w:pStyle w:val="P68B1DB1-Normal7"/>
              <w:spacing w:after="0" w:line="240" w:lineRule="auto"/>
              <w:jc w:val="center"/>
              <w:rPr>
                <w:rFonts w:eastAsia="Times New Roman" w:cs="Calibri"/>
                <w:noProof/>
              </w:rPr>
            </w:pPr>
            <w:r>
              <w:rPr>
                <w:noProof/>
              </w:rPr>
              <w:t>16.11</w:t>
            </w:r>
          </w:p>
        </w:tc>
        <w:tc>
          <w:tcPr>
            <w:tcW w:w="1276" w:type="dxa"/>
            <w:shd w:val="clear" w:color="auto" w:fill="C4EFCE"/>
            <w:noWrap/>
            <w:vAlign w:val="center"/>
            <w:hideMark/>
          </w:tcPr>
          <w:p w14:paraId="644097FA"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D133C12"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F447BF" w14:textId="77777777" w:rsidR="00F24946" w:rsidRDefault="00613B06">
            <w:pPr>
              <w:pStyle w:val="P68B1DB1-Normal8"/>
              <w:spacing w:after="0" w:line="240" w:lineRule="auto"/>
              <w:jc w:val="center"/>
              <w:rPr>
                <w:rFonts w:eastAsia="Times New Roman" w:cs="Calibri"/>
                <w:noProof/>
              </w:rPr>
            </w:pPr>
            <w:r>
              <w:rPr>
                <w:noProof/>
              </w:rPr>
              <w:t>MSP in zagonski inkubatorji, ki jih neposredno podpirajo programi digitalizacije</w:t>
            </w:r>
          </w:p>
        </w:tc>
        <w:tc>
          <w:tcPr>
            <w:tcW w:w="1275" w:type="dxa"/>
            <w:shd w:val="clear" w:color="auto" w:fill="C4EFCE"/>
            <w:noWrap/>
            <w:vAlign w:val="center"/>
            <w:hideMark/>
          </w:tcPr>
          <w:p w14:paraId="07712FA0"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C3CBA4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60C4307B"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84B8F8" w14:textId="3B8AD6B5" w:rsidR="00F24946" w:rsidRDefault="00613B06">
            <w:pPr>
              <w:pStyle w:val="P68B1DB1-Normal8"/>
              <w:spacing w:after="0" w:line="240" w:lineRule="auto"/>
              <w:jc w:val="center"/>
              <w:rPr>
                <w:rFonts w:eastAsia="Times New Roman" w:cs="Calibri"/>
                <w:noProof/>
              </w:rPr>
            </w:pPr>
            <w:r>
              <w:rPr>
                <w:noProof/>
              </w:rPr>
              <w:t>8 600</w:t>
            </w:r>
          </w:p>
        </w:tc>
        <w:tc>
          <w:tcPr>
            <w:tcW w:w="426" w:type="dxa"/>
            <w:shd w:val="clear" w:color="auto" w:fill="C4EFCE"/>
            <w:noWrap/>
            <w:vAlign w:val="center"/>
            <w:hideMark/>
          </w:tcPr>
          <w:p w14:paraId="3BB8FD93"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42E4D76E"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019B1A1" w14:textId="514E9783" w:rsidR="00F24946" w:rsidRDefault="00613B06">
            <w:pPr>
              <w:pStyle w:val="P68B1DB1-Normal8"/>
              <w:spacing w:after="0" w:line="240" w:lineRule="auto"/>
              <w:jc w:val="both"/>
              <w:rPr>
                <w:rFonts w:eastAsia="Times New Roman" w:cs="Calibri"/>
                <w:noProof/>
              </w:rPr>
            </w:pPr>
            <w:r>
              <w:rPr>
                <w:noProof/>
              </w:rPr>
              <w:t xml:space="preserve">Število MSP (8500) in zagonskih inkubatorjev (100), ki jih podpira eden od naslednjih programov: (1) internacionalizacija prek e-trgovanja; (2) ukrepi Coaching 4.0, ki podpirajo poslovne modele za digitalni prehod; (3) kuponi za zagonska podjetja za razvoj novih zelenih in digitalnih izdelkov; (4) kuponi za zagonske inkubatorje in pospeševalnike za njihov tehnološki razvoj. </w:t>
            </w:r>
          </w:p>
          <w:p w14:paraId="6029676F" w14:textId="7C82C703"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38A52C15" w14:textId="77777777">
        <w:trPr>
          <w:trHeight w:val="1643"/>
        </w:trPr>
        <w:tc>
          <w:tcPr>
            <w:tcW w:w="1135" w:type="dxa"/>
            <w:shd w:val="clear" w:color="auto" w:fill="C5EFCE"/>
            <w:vAlign w:val="center"/>
            <w:hideMark/>
          </w:tcPr>
          <w:p w14:paraId="4CAE8DE6" w14:textId="77777777" w:rsidR="00F24946" w:rsidRDefault="00613B06">
            <w:pPr>
              <w:pStyle w:val="P68B1DB1-Normal7"/>
              <w:spacing w:after="0" w:line="240" w:lineRule="auto"/>
              <w:jc w:val="center"/>
              <w:rPr>
                <w:rFonts w:eastAsia="Times New Roman" w:cs="Calibri"/>
                <w:noProof/>
              </w:rPr>
            </w:pPr>
            <w:r>
              <w:rPr>
                <w:noProof/>
              </w:rPr>
              <w:t>16.12</w:t>
            </w:r>
          </w:p>
        </w:tc>
        <w:tc>
          <w:tcPr>
            <w:tcW w:w="1276" w:type="dxa"/>
            <w:shd w:val="clear" w:color="auto" w:fill="C4EFCE"/>
            <w:noWrap/>
            <w:vAlign w:val="center"/>
            <w:hideMark/>
          </w:tcPr>
          <w:p w14:paraId="5F867C02" w14:textId="77777777" w:rsidR="00F24946" w:rsidRDefault="00613B06">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502F32"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02F5C2B" w14:textId="77777777" w:rsidR="00F24946" w:rsidRDefault="00613B06">
            <w:pPr>
              <w:pStyle w:val="P68B1DB1-Normal8"/>
              <w:spacing w:after="0" w:line="240" w:lineRule="auto"/>
              <w:jc w:val="center"/>
              <w:rPr>
                <w:rFonts w:eastAsia="Times New Roman" w:cs="Calibri"/>
                <w:noProof/>
              </w:rPr>
            </w:pPr>
            <w:r>
              <w:rPr>
                <w:noProof/>
              </w:rPr>
              <w:t>Zagonska podjetja na platformi Startup Portugal</w:t>
            </w:r>
          </w:p>
        </w:tc>
        <w:tc>
          <w:tcPr>
            <w:tcW w:w="1275" w:type="dxa"/>
            <w:shd w:val="clear" w:color="auto" w:fill="C4EFCE"/>
            <w:noWrap/>
            <w:vAlign w:val="center"/>
            <w:hideMark/>
          </w:tcPr>
          <w:p w14:paraId="23EFB0A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D58674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0380127A"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3517E74" w14:textId="77777777" w:rsidR="00F24946" w:rsidRDefault="00613B06">
            <w:pPr>
              <w:pStyle w:val="P68B1DB1-Normal8"/>
              <w:spacing w:after="0" w:line="240" w:lineRule="auto"/>
              <w:jc w:val="center"/>
              <w:rPr>
                <w:rFonts w:eastAsia="Times New Roman" w:cs="Calibri"/>
                <w:noProof/>
              </w:rPr>
            </w:pPr>
            <w:r>
              <w:rPr>
                <w:noProof/>
              </w:rPr>
              <w:t>5 000</w:t>
            </w:r>
          </w:p>
        </w:tc>
        <w:tc>
          <w:tcPr>
            <w:tcW w:w="426" w:type="dxa"/>
            <w:shd w:val="clear" w:color="auto" w:fill="C4EFCE"/>
            <w:noWrap/>
            <w:vAlign w:val="center"/>
            <w:hideMark/>
          </w:tcPr>
          <w:p w14:paraId="486D0174"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18DDACC3"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B3984B8" w14:textId="77777777" w:rsidR="00F24946" w:rsidRDefault="00613B06">
            <w:pPr>
              <w:pStyle w:val="P68B1DB1-Normal8"/>
              <w:spacing w:after="0" w:line="240" w:lineRule="auto"/>
              <w:jc w:val="both"/>
              <w:rPr>
                <w:rFonts w:eastAsia="Times New Roman" w:cs="Calibri"/>
                <w:noProof/>
              </w:rPr>
            </w:pPr>
            <w:r>
              <w:rPr>
                <w:noProof/>
              </w:rPr>
              <w:t>Število zagonskih podjetij, razvrščenih z opredelitvijo njihovih glavnih poslovnih značilnosti na platformi Start-up Portugal. Nova platforma bo spremljala ekosistem zagonskih podjetij, zlasti, vendar ne izključno, digitalnih poslovnih podjetij. Platforma je na voljo celotnemu ekosistemu (zagonskim podjetjem, vlagateljem, pospeševalcem/inkubatorjem, javnim subjektom).</w:t>
            </w:r>
          </w:p>
        </w:tc>
      </w:tr>
      <w:tr w:rsidR="00F24946" w14:paraId="7350D2DA" w14:textId="77777777">
        <w:trPr>
          <w:trHeight w:val="840"/>
        </w:trPr>
        <w:tc>
          <w:tcPr>
            <w:tcW w:w="1135" w:type="dxa"/>
            <w:shd w:val="clear" w:color="auto" w:fill="C5EFCE"/>
            <w:vAlign w:val="center"/>
            <w:hideMark/>
          </w:tcPr>
          <w:p w14:paraId="33990609" w14:textId="77777777" w:rsidR="00F24946" w:rsidRDefault="00613B06">
            <w:pPr>
              <w:pStyle w:val="P68B1DB1-Normal7"/>
              <w:spacing w:after="0" w:line="240" w:lineRule="auto"/>
              <w:jc w:val="center"/>
              <w:rPr>
                <w:rFonts w:eastAsia="Times New Roman" w:cs="Calibri"/>
                <w:noProof/>
              </w:rPr>
            </w:pPr>
            <w:r>
              <w:rPr>
                <w:noProof/>
              </w:rPr>
              <w:t>16.13</w:t>
            </w:r>
          </w:p>
        </w:tc>
        <w:tc>
          <w:tcPr>
            <w:tcW w:w="1276" w:type="dxa"/>
            <w:shd w:val="clear" w:color="auto" w:fill="C4EFCE"/>
            <w:noWrap/>
            <w:vAlign w:val="center"/>
            <w:hideMark/>
          </w:tcPr>
          <w:p w14:paraId="10894A09" w14:textId="77777777" w:rsidR="00F24946" w:rsidRDefault="00613B06">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7DE9E8A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190118A" w14:textId="77777777" w:rsidR="00F24946" w:rsidRDefault="00613B06">
            <w:pPr>
              <w:pStyle w:val="P68B1DB1-Normal8"/>
              <w:spacing w:after="0" w:line="240" w:lineRule="auto"/>
              <w:jc w:val="center"/>
              <w:rPr>
                <w:rFonts w:eastAsia="Times New Roman" w:cs="Calibri"/>
                <w:noProof/>
              </w:rPr>
            </w:pPr>
            <w:r>
              <w:rPr>
                <w:noProof/>
              </w:rPr>
              <w:t xml:space="preserve">Vozlišča za digitalne inovacije </w:t>
            </w:r>
          </w:p>
        </w:tc>
        <w:tc>
          <w:tcPr>
            <w:tcW w:w="1275" w:type="dxa"/>
            <w:shd w:val="clear" w:color="auto" w:fill="C4EFCE"/>
            <w:noWrap/>
            <w:vAlign w:val="center"/>
            <w:hideMark/>
          </w:tcPr>
          <w:p w14:paraId="5EFD82C5" w14:textId="77777777" w:rsidR="00F24946" w:rsidRDefault="00613B06">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3E8E9CC7" w14:textId="77777777" w:rsidR="00F24946" w:rsidRDefault="00613B06">
            <w:pPr>
              <w:pStyle w:val="P68B1DB1-Normal8"/>
              <w:spacing w:after="0" w:line="240" w:lineRule="auto"/>
              <w:jc w:val="center"/>
              <w:rPr>
                <w:rFonts w:eastAsia="Times New Roman" w:cs="Calibri"/>
                <w:noProof/>
              </w:rPr>
            </w:pPr>
            <w:r>
              <w:rPr>
                <w:noProof/>
              </w:rPr>
              <w:t> Število</w:t>
            </w:r>
          </w:p>
        </w:tc>
        <w:tc>
          <w:tcPr>
            <w:tcW w:w="992" w:type="dxa"/>
            <w:shd w:val="clear" w:color="auto" w:fill="C4EFCE"/>
            <w:noWrap/>
            <w:vAlign w:val="center"/>
            <w:hideMark/>
          </w:tcPr>
          <w:p w14:paraId="002156A3" w14:textId="77777777" w:rsidR="00F24946" w:rsidRDefault="00613B06">
            <w:pPr>
              <w:pStyle w:val="P68B1DB1-Normal8"/>
              <w:spacing w:after="0" w:line="240" w:lineRule="auto"/>
              <w:jc w:val="center"/>
              <w:rPr>
                <w:rFonts w:eastAsia="Times New Roman" w:cs="Calibri"/>
                <w:noProof/>
              </w:rPr>
            </w:pPr>
            <w:r>
              <w:rPr>
                <w:noProof/>
              </w:rPr>
              <w:t>0 </w:t>
            </w:r>
          </w:p>
        </w:tc>
        <w:tc>
          <w:tcPr>
            <w:tcW w:w="850" w:type="dxa"/>
            <w:shd w:val="clear" w:color="auto" w:fill="C4EFCE"/>
            <w:noWrap/>
            <w:vAlign w:val="center"/>
            <w:hideMark/>
          </w:tcPr>
          <w:p w14:paraId="1A05649D" w14:textId="77777777" w:rsidR="00F24946" w:rsidRDefault="00613B06">
            <w:pPr>
              <w:pStyle w:val="P68B1DB1-Normal8"/>
              <w:spacing w:after="0" w:line="240" w:lineRule="auto"/>
              <w:jc w:val="center"/>
              <w:rPr>
                <w:rFonts w:eastAsia="Times New Roman" w:cs="Calibri"/>
                <w:noProof/>
              </w:rPr>
            </w:pPr>
            <w:r>
              <w:rPr>
                <w:noProof/>
              </w:rPr>
              <w:t>16 </w:t>
            </w:r>
          </w:p>
        </w:tc>
        <w:tc>
          <w:tcPr>
            <w:tcW w:w="426" w:type="dxa"/>
            <w:shd w:val="clear" w:color="auto" w:fill="C4EFCE"/>
            <w:noWrap/>
            <w:vAlign w:val="center"/>
            <w:hideMark/>
          </w:tcPr>
          <w:p w14:paraId="5BF193C2"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DBE4E93"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4DEDE547" w14:textId="77777777" w:rsidR="00F24946" w:rsidRDefault="00613B06">
            <w:pPr>
              <w:pStyle w:val="P68B1DB1-Normal8"/>
              <w:spacing w:after="0" w:line="240" w:lineRule="auto"/>
              <w:jc w:val="both"/>
              <w:rPr>
                <w:rFonts w:eastAsia="Times New Roman" w:cs="Calibri"/>
                <w:noProof/>
              </w:rPr>
            </w:pPr>
            <w:r>
              <w:rPr>
                <w:noProof/>
              </w:rPr>
              <w:t xml:space="preserve">Število konzorcijev vozlišč za digitalne inovacije, izbranih s potrditvijo ponudb. Ustanovitev vsakega vozlišča za digitalne inovacije naknadno pomeni ustanovitev inkubatorja/pospeševalca za spodbujanje podjetniškega ekosistema, povezanega s sektorji, ki jih zajema vozlišče. Te naložbe krepijo in dopolnjujejo omrežje, ki se že razvija v okviru programa za digitalno Evropo. </w:t>
            </w:r>
          </w:p>
          <w:p w14:paraId="68D94C4B" w14:textId="6D8CCEFE"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79AB1DD3" w14:textId="77777777">
        <w:trPr>
          <w:trHeight w:val="1260"/>
        </w:trPr>
        <w:tc>
          <w:tcPr>
            <w:tcW w:w="1135" w:type="dxa"/>
            <w:shd w:val="clear" w:color="auto" w:fill="C5EFCE"/>
            <w:vAlign w:val="center"/>
            <w:hideMark/>
          </w:tcPr>
          <w:p w14:paraId="5646FF40" w14:textId="77777777" w:rsidR="00F24946" w:rsidRDefault="00613B06">
            <w:pPr>
              <w:pStyle w:val="P68B1DB1-Normal7"/>
              <w:spacing w:after="0" w:line="240" w:lineRule="auto"/>
              <w:jc w:val="center"/>
              <w:rPr>
                <w:rFonts w:eastAsia="Times New Roman" w:cs="Calibri"/>
                <w:noProof/>
              </w:rPr>
            </w:pPr>
            <w:r>
              <w:rPr>
                <w:noProof/>
              </w:rPr>
              <w:t>16.14</w:t>
            </w:r>
          </w:p>
        </w:tc>
        <w:tc>
          <w:tcPr>
            <w:tcW w:w="1276" w:type="dxa"/>
            <w:shd w:val="clear" w:color="auto" w:fill="C4EFCE"/>
            <w:noWrap/>
            <w:vAlign w:val="center"/>
            <w:hideMark/>
          </w:tcPr>
          <w:p w14:paraId="7CBB2F82" w14:textId="77777777" w:rsidR="00F24946" w:rsidRDefault="00613B06">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341A98B2"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B60B1E9" w14:textId="4F175647" w:rsidR="00F24946" w:rsidRDefault="00613B06">
            <w:pPr>
              <w:pStyle w:val="P68B1DB1-Normal8"/>
              <w:spacing w:after="0" w:line="240" w:lineRule="auto"/>
              <w:jc w:val="center"/>
              <w:rPr>
                <w:rFonts w:eastAsia="Times New Roman" w:cs="Calibri"/>
                <w:noProof/>
              </w:rPr>
            </w:pPr>
            <w:r>
              <w:rPr>
                <w:noProof/>
              </w:rPr>
              <w:t>Vzpostavitev storitev za pošiljanje digitalnih računov in potrdil o kibernetski varnosti, zasebnosti, uporabnosti in trajnostnosti</w:t>
            </w:r>
          </w:p>
        </w:tc>
        <w:tc>
          <w:tcPr>
            <w:tcW w:w="1275" w:type="dxa"/>
            <w:shd w:val="clear" w:color="auto" w:fill="C4EFCE"/>
            <w:noWrap/>
            <w:vAlign w:val="center"/>
            <w:hideMark/>
          </w:tcPr>
          <w:p w14:paraId="47964243" w14:textId="23D0FDDC" w:rsidR="00F24946" w:rsidRDefault="00613B06">
            <w:pPr>
              <w:pStyle w:val="P68B1DB1-Normal8"/>
              <w:spacing w:after="0" w:line="240" w:lineRule="auto"/>
              <w:jc w:val="center"/>
              <w:rPr>
                <w:rFonts w:eastAsia="Times New Roman" w:cs="Calibri"/>
                <w:noProof/>
              </w:rPr>
            </w:pPr>
            <w:r>
              <w:rPr>
                <w:noProof/>
              </w:rPr>
              <w:t>Vzpostavitev storitev za pošiljanje digitalnih računov in potrdil o kibernetski varnosti, zasebnosti, uporabnosti in trajnostnosti</w:t>
            </w:r>
          </w:p>
        </w:tc>
        <w:tc>
          <w:tcPr>
            <w:tcW w:w="993" w:type="dxa"/>
            <w:shd w:val="clear" w:color="auto" w:fill="C4EFCE"/>
            <w:noWrap/>
            <w:vAlign w:val="center"/>
            <w:hideMark/>
          </w:tcPr>
          <w:p w14:paraId="6A78DFAD"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29D9CC" w14:textId="77777777" w:rsidR="00F24946" w:rsidRDefault="00613B06">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2953ACD" w14:textId="77777777" w:rsidR="00F24946" w:rsidRDefault="00613B06">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61FDC68D"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FB707A1" w14:textId="4D55CBE4" w:rsidR="00F24946" w:rsidRDefault="00613B06">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47407F89" w14:textId="556CFAD8" w:rsidR="00F24946" w:rsidRDefault="00613B06">
            <w:pPr>
              <w:pStyle w:val="P68B1DB1-Normal8"/>
              <w:spacing w:after="0" w:line="240" w:lineRule="auto"/>
              <w:jc w:val="both"/>
              <w:rPr>
                <w:rFonts w:eastAsia="Times New Roman" w:cs="Calibri"/>
                <w:noProof/>
              </w:rPr>
            </w:pPr>
            <w:r>
              <w:rPr>
                <w:noProof/>
              </w:rPr>
              <w:t xml:space="preserve">Vzpostavi se pet novih storitev za: (1) pošiljanje digitalnih računov; ter 2) certificiranje kibernetske varnosti, 3) certificiranje zasebnosti, 4) certificiranje uporabnosti in 5) certificiranje trajnostnosti; vključno s povezanimi kampanjami razširjanja informacij o vseh storitvah. Storitve overjanja podpirajo vloge in predložitev zahtevkov za certificiranje, upravljanje postopkov, izdajanje in centralizirano odložišče izdanih potrdil in pečatov. Storitve potrjevanja podpirajo tudi komunikacijo med vsemi partnerji in subjekti, vključenimi v postopke, ter ustvarjanje postopkovnih podatkov, pomembnih za spremljanje programa. </w:t>
            </w:r>
          </w:p>
          <w:p w14:paraId="0BACA7B9" w14:textId="50E00C55" w:rsidR="00F24946" w:rsidRDefault="00613B06">
            <w:pPr>
              <w:pStyle w:val="P68B1DB1-Normal8"/>
              <w:spacing w:after="0" w:line="240" w:lineRule="auto"/>
              <w:jc w:val="both"/>
              <w:rPr>
                <w:rFonts w:eastAsia="Times New Roman" w:cs="Calibri"/>
                <w:noProof/>
              </w:rPr>
            </w:pPr>
            <w:r>
              <w:rPr>
                <w:noProof/>
              </w:rPr>
              <w:t>Storitve morajo biti operativne in dostopne predvidenim uporabnikom.</w:t>
            </w:r>
          </w:p>
        </w:tc>
      </w:tr>
      <w:tr w:rsidR="00F24946" w14:paraId="6CC3F169" w14:textId="77777777">
        <w:trPr>
          <w:trHeight w:val="420"/>
        </w:trPr>
        <w:tc>
          <w:tcPr>
            <w:tcW w:w="1135" w:type="dxa"/>
            <w:shd w:val="clear" w:color="auto" w:fill="C5EFCE"/>
            <w:vAlign w:val="center"/>
            <w:hideMark/>
          </w:tcPr>
          <w:p w14:paraId="1DB80902" w14:textId="77777777" w:rsidR="00F24946" w:rsidRDefault="00613B06">
            <w:pPr>
              <w:pStyle w:val="P68B1DB1-Normal7"/>
              <w:spacing w:after="0" w:line="240" w:lineRule="auto"/>
              <w:jc w:val="center"/>
              <w:rPr>
                <w:rFonts w:eastAsia="Times New Roman" w:cs="Calibri"/>
                <w:noProof/>
              </w:rPr>
            </w:pPr>
            <w:r>
              <w:rPr>
                <w:noProof/>
              </w:rPr>
              <w:t>16.15</w:t>
            </w:r>
          </w:p>
        </w:tc>
        <w:tc>
          <w:tcPr>
            <w:tcW w:w="1276" w:type="dxa"/>
            <w:shd w:val="clear" w:color="auto" w:fill="C4EFCE"/>
            <w:noWrap/>
            <w:vAlign w:val="center"/>
            <w:hideMark/>
          </w:tcPr>
          <w:p w14:paraId="383E4833" w14:textId="77777777" w:rsidR="00F24946" w:rsidRDefault="00613B06">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4864A86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89CD254" w14:textId="77777777" w:rsidR="00F24946" w:rsidRDefault="00613B06">
            <w:pPr>
              <w:pStyle w:val="P68B1DB1-Normal8"/>
              <w:spacing w:after="0" w:line="240" w:lineRule="auto"/>
              <w:jc w:val="center"/>
              <w:rPr>
                <w:rFonts w:eastAsia="Times New Roman" w:cs="Calibri"/>
                <w:noProof/>
              </w:rPr>
            </w:pPr>
            <w:r>
              <w:rPr>
                <w:noProof/>
              </w:rPr>
              <w:t xml:space="preserve">Upravičenci svetovalnih storitev vozlišč za digitalne inovacije </w:t>
            </w:r>
          </w:p>
        </w:tc>
        <w:tc>
          <w:tcPr>
            <w:tcW w:w="1275" w:type="dxa"/>
            <w:shd w:val="clear" w:color="auto" w:fill="C4EFCE"/>
            <w:noWrap/>
            <w:vAlign w:val="center"/>
            <w:hideMark/>
          </w:tcPr>
          <w:p w14:paraId="133DBDBB"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A460E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726AA67" w14:textId="77777777" w:rsidR="00F24946" w:rsidRDefault="00613B06">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641080" w14:textId="77777777" w:rsidR="00F24946" w:rsidRDefault="00613B06">
            <w:pPr>
              <w:pStyle w:val="P68B1DB1-Normal8"/>
              <w:spacing w:after="0" w:line="240" w:lineRule="auto"/>
              <w:jc w:val="center"/>
              <w:rPr>
                <w:rFonts w:eastAsia="Times New Roman" w:cs="Calibri"/>
                <w:noProof/>
              </w:rPr>
            </w:pPr>
            <w:r>
              <w:rPr>
                <w:noProof/>
              </w:rPr>
              <w:t>4 000</w:t>
            </w:r>
          </w:p>
        </w:tc>
        <w:tc>
          <w:tcPr>
            <w:tcW w:w="426" w:type="dxa"/>
            <w:shd w:val="clear" w:color="auto" w:fill="C4EFCE"/>
            <w:noWrap/>
            <w:vAlign w:val="center"/>
            <w:hideMark/>
          </w:tcPr>
          <w:p w14:paraId="56D9EB98" w14:textId="7777777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hideMark/>
          </w:tcPr>
          <w:p w14:paraId="0130120B"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636AA94" w14:textId="0B784B8C" w:rsidR="00F24946" w:rsidRDefault="00613B06">
            <w:pPr>
              <w:pStyle w:val="P68B1DB1-Normal8"/>
              <w:spacing w:after="0" w:line="240" w:lineRule="auto"/>
              <w:jc w:val="both"/>
              <w:rPr>
                <w:rFonts w:eastAsia="Times New Roman" w:cs="Calibri"/>
                <w:noProof/>
              </w:rPr>
            </w:pPr>
            <w:r>
              <w:rPr>
                <w:noProof/>
              </w:rPr>
              <w:t xml:space="preserve">Število podjetij in javnih subjektov, ki so prejeli svetovalne storitve mreže vozlišč za digitalne inovacije za izboljšanje znanja in proizvodnih procesov z avtomatizacijo ali vključitvijo prelomnih tehnologij. </w:t>
            </w:r>
          </w:p>
          <w:p w14:paraId="5AE72FC4" w14:textId="77777777" w:rsidR="00F24946" w:rsidRDefault="00F24946">
            <w:pPr>
              <w:spacing w:after="0" w:line="240" w:lineRule="auto"/>
              <w:jc w:val="both"/>
              <w:rPr>
                <w:rFonts w:ascii="Calibri" w:eastAsia="Times New Roman" w:hAnsi="Calibri" w:cs="Calibri"/>
                <w:noProof/>
                <w:sz w:val="16"/>
              </w:rPr>
            </w:pPr>
          </w:p>
          <w:p w14:paraId="2C30F216" w14:textId="36F5FEA4" w:rsidR="00F24946" w:rsidRDefault="00613B06">
            <w:pPr>
              <w:pStyle w:val="P68B1DB1-Normal8"/>
              <w:spacing w:after="0" w:line="240" w:lineRule="auto"/>
              <w:jc w:val="both"/>
              <w:rPr>
                <w:rFonts w:eastAsia="Times New Roman" w:cs="Calibri"/>
                <w:noProof/>
              </w:rPr>
            </w:pPr>
            <w:r>
              <w:rPr>
                <w:noProof/>
              </w:rPr>
              <w:t>Merila za izbor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4304841E" w14:textId="77777777">
        <w:trPr>
          <w:trHeight w:val="420"/>
        </w:trPr>
        <w:tc>
          <w:tcPr>
            <w:tcW w:w="1135" w:type="dxa"/>
            <w:shd w:val="clear" w:color="auto" w:fill="C5EFCE"/>
            <w:vAlign w:val="center"/>
          </w:tcPr>
          <w:p w14:paraId="539E2D22" w14:textId="3A085AAA" w:rsidR="00F24946" w:rsidRDefault="00613B06">
            <w:pPr>
              <w:pStyle w:val="P68B1DB1-Normal11"/>
              <w:spacing w:after="0" w:line="240" w:lineRule="auto"/>
              <w:jc w:val="center"/>
              <w:rPr>
                <w:rFonts w:eastAsia="Times New Roman"/>
                <w:noProof/>
              </w:rPr>
            </w:pPr>
            <w:r>
              <w:rPr>
                <w:noProof/>
              </w:rPr>
              <w:t>16.16</w:t>
            </w:r>
          </w:p>
        </w:tc>
        <w:tc>
          <w:tcPr>
            <w:tcW w:w="1276" w:type="dxa"/>
            <w:shd w:val="clear" w:color="auto" w:fill="C4EFCE"/>
            <w:noWrap/>
            <w:vAlign w:val="center"/>
          </w:tcPr>
          <w:p w14:paraId="763655D4" w14:textId="6D8AFDF4" w:rsidR="00F24946" w:rsidRDefault="00613B06">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1D87961C" w14:textId="083D5D73" w:rsidR="00F24946" w:rsidRDefault="00613B06">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75967FD1" w14:textId="3536B628" w:rsidR="00F24946" w:rsidRDefault="00613B06">
            <w:pPr>
              <w:pStyle w:val="P68B1DB1-Normal12"/>
              <w:spacing w:after="0" w:line="240" w:lineRule="auto"/>
              <w:jc w:val="center"/>
              <w:rPr>
                <w:rFonts w:eastAsia="Times New Roman"/>
                <w:noProof/>
              </w:rPr>
            </w:pPr>
            <w:r>
              <w:rPr>
                <w:noProof/>
              </w:rPr>
              <w:t>Izbira projektov industrije 4.0</w:t>
            </w:r>
          </w:p>
        </w:tc>
        <w:tc>
          <w:tcPr>
            <w:tcW w:w="1275" w:type="dxa"/>
            <w:shd w:val="clear" w:color="auto" w:fill="C4EFCE"/>
            <w:noWrap/>
            <w:vAlign w:val="center"/>
          </w:tcPr>
          <w:p w14:paraId="29B2785A" w14:textId="77777777" w:rsidR="00F24946" w:rsidRDefault="00F24946">
            <w:pPr>
              <w:spacing w:after="0" w:line="240" w:lineRule="auto"/>
              <w:jc w:val="center"/>
              <w:rPr>
                <w:rFonts w:eastAsia="Times New Roman"/>
                <w:noProof/>
                <w:sz w:val="16"/>
              </w:rPr>
            </w:pPr>
          </w:p>
        </w:tc>
        <w:tc>
          <w:tcPr>
            <w:tcW w:w="993" w:type="dxa"/>
            <w:shd w:val="clear" w:color="auto" w:fill="C4EFCE"/>
            <w:noWrap/>
            <w:vAlign w:val="center"/>
          </w:tcPr>
          <w:p w14:paraId="3EBFDF40" w14:textId="0EF6EAE9" w:rsidR="00F24946" w:rsidRDefault="00613B06">
            <w:pPr>
              <w:pStyle w:val="P68B1DB1-Normal12"/>
              <w:spacing w:after="0" w:line="240" w:lineRule="auto"/>
              <w:jc w:val="center"/>
              <w:rPr>
                <w:rFonts w:eastAsia="Times New Roman"/>
                <w:noProof/>
              </w:rPr>
            </w:pPr>
            <w:r>
              <w:rPr>
                <w:noProof/>
              </w:rPr>
              <w:t>Število</w:t>
            </w:r>
          </w:p>
        </w:tc>
        <w:tc>
          <w:tcPr>
            <w:tcW w:w="992" w:type="dxa"/>
            <w:shd w:val="clear" w:color="auto" w:fill="C4EFCE"/>
            <w:noWrap/>
            <w:vAlign w:val="center"/>
          </w:tcPr>
          <w:p w14:paraId="61E469D2" w14:textId="319E9FF9" w:rsidR="00F24946" w:rsidRDefault="00613B06">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12BC99BF" w14:textId="2D6BD732" w:rsidR="00F24946" w:rsidRDefault="00613B06">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686302E9" w14:textId="1D2B546F" w:rsidR="00F24946" w:rsidRDefault="00613B06">
            <w:pPr>
              <w:pStyle w:val="P68B1DB1-Normal12"/>
              <w:spacing w:after="0" w:line="240" w:lineRule="auto"/>
              <w:jc w:val="center"/>
              <w:rPr>
                <w:rFonts w:eastAsia="Times New Roman"/>
                <w:noProof/>
              </w:rPr>
            </w:pPr>
            <w:r>
              <w:rPr>
                <w:noProof/>
              </w:rPr>
              <w:t>Q4</w:t>
            </w:r>
          </w:p>
        </w:tc>
        <w:tc>
          <w:tcPr>
            <w:tcW w:w="708" w:type="dxa"/>
            <w:shd w:val="clear" w:color="auto" w:fill="C4EFCE"/>
            <w:noWrap/>
            <w:vAlign w:val="center"/>
          </w:tcPr>
          <w:p w14:paraId="39738C45" w14:textId="2252F3CD" w:rsidR="00F24946" w:rsidRDefault="00613B06">
            <w:pPr>
              <w:pStyle w:val="P68B1DB1-Normal12"/>
              <w:spacing w:after="0" w:line="240" w:lineRule="auto"/>
              <w:jc w:val="center"/>
              <w:rPr>
                <w:rFonts w:eastAsia="Times New Roman"/>
                <w:noProof/>
              </w:rPr>
            </w:pPr>
            <w:r>
              <w:rPr>
                <w:noProof/>
              </w:rPr>
              <w:t>2023</w:t>
            </w:r>
          </w:p>
        </w:tc>
        <w:tc>
          <w:tcPr>
            <w:tcW w:w="3969" w:type="dxa"/>
            <w:shd w:val="clear" w:color="auto" w:fill="C4EFCE"/>
            <w:vAlign w:val="center"/>
          </w:tcPr>
          <w:p w14:paraId="635FD244" w14:textId="3B0DF872" w:rsidR="00F24946" w:rsidRDefault="00613B06">
            <w:pPr>
              <w:pStyle w:val="P68B1DB1-Bodytext1013"/>
              <w:spacing w:after="0" w:line="240" w:lineRule="auto"/>
              <w:rPr>
                <w:rFonts w:cstheme="minorBidi"/>
                <w:noProof/>
              </w:rPr>
            </w:pPr>
            <w:r>
              <w:rPr>
                <w:noProof/>
              </w:rPr>
              <w:t>Izbere se 200 projektov industrije 4.0. Projekti so skladni s tipologijo dejavnosti, opisano v opisu ukrepa.</w:t>
            </w:r>
          </w:p>
          <w:p w14:paraId="20D914ED" w14:textId="5E511421" w:rsidR="00F24946" w:rsidRDefault="00613B06">
            <w:pPr>
              <w:pStyle w:val="P68B1DB1-Normal12"/>
              <w:spacing w:after="0" w:line="240" w:lineRule="auto"/>
              <w:jc w:val="both"/>
              <w:rPr>
                <w:rFonts w:eastAsia="Times New Roman"/>
                <w:noProof/>
              </w:rPr>
            </w:pPr>
            <w:r>
              <w:rPr>
                <w:noProof/>
              </w:rPr>
              <w:t>Z merili za izbor se zagotovi skladnost s tehničnimi smernicami „da se ne škoduje bistveno“ (2021/C58/01) podprtih transakcij v okviru tega ukrepa z uporabo seznama za izključitev, kot je določeno v opisu ukrepa, in zahteve po skladnosti z ustrezno okoljsko zakonodajo EU in nacionalno okoljsko zakonodajo.</w:t>
            </w:r>
          </w:p>
        </w:tc>
      </w:tr>
      <w:tr w:rsidR="00F24946" w14:paraId="46C66D80" w14:textId="77777777">
        <w:trPr>
          <w:trHeight w:val="420"/>
        </w:trPr>
        <w:tc>
          <w:tcPr>
            <w:tcW w:w="1135" w:type="dxa"/>
            <w:shd w:val="clear" w:color="auto" w:fill="C5EFCE"/>
            <w:vAlign w:val="center"/>
          </w:tcPr>
          <w:p w14:paraId="26F66ABE" w14:textId="545B5AF7" w:rsidR="00F24946" w:rsidRDefault="00613B06">
            <w:pPr>
              <w:pStyle w:val="P68B1DB1-Normal11"/>
              <w:spacing w:after="0" w:line="240" w:lineRule="auto"/>
              <w:jc w:val="center"/>
              <w:rPr>
                <w:rFonts w:eastAsia="Times New Roman"/>
                <w:noProof/>
              </w:rPr>
            </w:pPr>
            <w:r>
              <w:rPr>
                <w:noProof/>
              </w:rPr>
              <w:t>16.17</w:t>
            </w:r>
          </w:p>
        </w:tc>
        <w:tc>
          <w:tcPr>
            <w:tcW w:w="1276" w:type="dxa"/>
            <w:shd w:val="clear" w:color="auto" w:fill="C4EFCE"/>
            <w:noWrap/>
            <w:vAlign w:val="center"/>
          </w:tcPr>
          <w:p w14:paraId="5669B910" w14:textId="4FBD872D" w:rsidR="00F24946" w:rsidRDefault="00613B06">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30ED83F0" w14:textId="34F7B432" w:rsidR="00F24946" w:rsidRDefault="00613B06">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EB61F6" w14:textId="1577C572" w:rsidR="00F24946" w:rsidRDefault="00613B06">
            <w:pPr>
              <w:pStyle w:val="P68B1DB1-Bodytext1013"/>
              <w:rPr>
                <w:rFonts w:cstheme="minorBidi"/>
                <w:noProof/>
              </w:rPr>
            </w:pPr>
            <w:r>
              <w:rPr>
                <w:noProof/>
              </w:rPr>
              <w:t>Zaključek projektov industrije 4.0</w:t>
            </w:r>
          </w:p>
        </w:tc>
        <w:tc>
          <w:tcPr>
            <w:tcW w:w="1275" w:type="dxa"/>
            <w:shd w:val="clear" w:color="auto" w:fill="C4EFCE"/>
            <w:noWrap/>
            <w:vAlign w:val="center"/>
          </w:tcPr>
          <w:p w14:paraId="3B19D0B1" w14:textId="77777777" w:rsidR="00F24946" w:rsidRDefault="00F24946">
            <w:pPr>
              <w:spacing w:after="0" w:line="240" w:lineRule="auto"/>
              <w:jc w:val="center"/>
              <w:rPr>
                <w:rFonts w:eastAsia="Times New Roman"/>
                <w:noProof/>
                <w:sz w:val="16"/>
              </w:rPr>
            </w:pPr>
          </w:p>
        </w:tc>
        <w:tc>
          <w:tcPr>
            <w:tcW w:w="993" w:type="dxa"/>
            <w:shd w:val="clear" w:color="auto" w:fill="C4EFCE"/>
            <w:noWrap/>
            <w:vAlign w:val="center"/>
          </w:tcPr>
          <w:p w14:paraId="6867E439" w14:textId="38FE02BE" w:rsidR="00F24946" w:rsidRDefault="00613B06">
            <w:pPr>
              <w:pStyle w:val="P68B1DB1-Normal12"/>
              <w:spacing w:after="0" w:line="240" w:lineRule="auto"/>
              <w:jc w:val="center"/>
              <w:rPr>
                <w:rFonts w:eastAsia="Times New Roman"/>
                <w:noProof/>
              </w:rPr>
            </w:pPr>
            <w:r>
              <w:rPr>
                <w:noProof/>
              </w:rPr>
              <w:t>Število</w:t>
            </w:r>
          </w:p>
        </w:tc>
        <w:tc>
          <w:tcPr>
            <w:tcW w:w="992" w:type="dxa"/>
            <w:shd w:val="clear" w:color="auto" w:fill="C4EFCE"/>
            <w:noWrap/>
            <w:vAlign w:val="center"/>
          </w:tcPr>
          <w:p w14:paraId="74AB5B4F" w14:textId="03BC0992" w:rsidR="00F24946" w:rsidRDefault="00613B06">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6CDAE886" w14:textId="5FC7D1A5" w:rsidR="00F24946" w:rsidRDefault="00613B06">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25173C37" w14:textId="0FC29C35" w:rsidR="00F24946" w:rsidRDefault="00613B06">
            <w:pPr>
              <w:pStyle w:val="P68B1DB1-Normal12"/>
              <w:spacing w:after="0" w:line="240" w:lineRule="auto"/>
              <w:jc w:val="center"/>
              <w:rPr>
                <w:rFonts w:eastAsia="Times New Roman"/>
                <w:noProof/>
              </w:rPr>
            </w:pPr>
            <w:r>
              <w:rPr>
                <w:noProof/>
              </w:rPr>
              <w:t>Q4</w:t>
            </w:r>
          </w:p>
        </w:tc>
        <w:tc>
          <w:tcPr>
            <w:tcW w:w="708" w:type="dxa"/>
            <w:shd w:val="clear" w:color="auto" w:fill="C4EFCE"/>
            <w:noWrap/>
            <w:vAlign w:val="center"/>
          </w:tcPr>
          <w:p w14:paraId="076DD43D" w14:textId="37EF5AFF" w:rsidR="00F24946" w:rsidRDefault="00613B06">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1B73DBDD" w14:textId="54C9FED3" w:rsidR="00F24946" w:rsidRDefault="00613B06">
            <w:pPr>
              <w:pStyle w:val="P68B1DB1-Bodytext1013"/>
              <w:spacing w:after="0" w:line="240" w:lineRule="auto"/>
              <w:jc w:val="both"/>
              <w:rPr>
                <w:rFonts w:cstheme="minorBidi"/>
                <w:noProof/>
              </w:rPr>
            </w:pPr>
            <w:r>
              <w:rPr>
                <w:noProof/>
              </w:rPr>
              <w:t>Dokonča se 200 projektov industrije 4.0. Projekti so skladni s tipologijo dejavnosti, opisano v opisu ukrepa.</w:t>
            </w:r>
          </w:p>
        </w:tc>
      </w:tr>
      <w:tr w:rsidR="00F24946" w14:paraId="69BB9BE5" w14:textId="77777777">
        <w:trPr>
          <w:trHeight w:val="420"/>
        </w:trPr>
        <w:tc>
          <w:tcPr>
            <w:tcW w:w="1135" w:type="dxa"/>
            <w:shd w:val="clear" w:color="auto" w:fill="C5EFCE"/>
            <w:vAlign w:val="center"/>
          </w:tcPr>
          <w:p w14:paraId="4E63D694" w14:textId="76E3D32E" w:rsidR="00F24946" w:rsidRDefault="00613B06">
            <w:pPr>
              <w:pStyle w:val="P68B1DB1-Normal11"/>
              <w:spacing w:after="0" w:line="240" w:lineRule="auto"/>
              <w:jc w:val="center"/>
              <w:rPr>
                <w:rFonts w:eastAsia="Times New Roman"/>
                <w:noProof/>
              </w:rPr>
            </w:pPr>
            <w:r>
              <w:rPr>
                <w:noProof/>
              </w:rPr>
              <w:t>16.18</w:t>
            </w:r>
          </w:p>
        </w:tc>
        <w:tc>
          <w:tcPr>
            <w:tcW w:w="1276" w:type="dxa"/>
            <w:shd w:val="clear" w:color="auto" w:fill="C4EFCE"/>
            <w:noWrap/>
            <w:vAlign w:val="center"/>
          </w:tcPr>
          <w:p w14:paraId="672BD7BC" w14:textId="1D2975A9" w:rsidR="00F24946" w:rsidRDefault="00613B06">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8003DB0" w14:textId="5A93A83D" w:rsidR="00F24946" w:rsidRDefault="00613B06">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5C4B3C1D" w14:textId="1FCEFD83" w:rsidR="00F24946" w:rsidRDefault="00613B06">
            <w:pPr>
              <w:pStyle w:val="P68B1DB1-Normal12"/>
              <w:spacing w:after="0" w:line="240" w:lineRule="auto"/>
              <w:jc w:val="center"/>
              <w:rPr>
                <w:noProof/>
              </w:rPr>
            </w:pPr>
            <w:r>
              <w:rPr>
                <w:noProof/>
              </w:rPr>
              <w:t>Število zaključenih projektov v okviru sistema spodbud za digitalni prehod podjetij</w:t>
            </w:r>
          </w:p>
        </w:tc>
        <w:tc>
          <w:tcPr>
            <w:tcW w:w="1275" w:type="dxa"/>
            <w:shd w:val="clear" w:color="auto" w:fill="C4EFCE"/>
            <w:noWrap/>
            <w:vAlign w:val="center"/>
          </w:tcPr>
          <w:p w14:paraId="4D4E00B2" w14:textId="77777777" w:rsidR="00F24946" w:rsidRDefault="00F24946">
            <w:pPr>
              <w:spacing w:after="0" w:line="240" w:lineRule="auto"/>
              <w:jc w:val="center"/>
              <w:rPr>
                <w:noProof/>
                <w:sz w:val="16"/>
              </w:rPr>
            </w:pPr>
          </w:p>
        </w:tc>
        <w:tc>
          <w:tcPr>
            <w:tcW w:w="993" w:type="dxa"/>
            <w:shd w:val="clear" w:color="auto" w:fill="C4EFCE"/>
            <w:noWrap/>
            <w:vAlign w:val="center"/>
          </w:tcPr>
          <w:p w14:paraId="447D968A" w14:textId="302D8EBB" w:rsidR="00F24946" w:rsidRDefault="00613B06">
            <w:pPr>
              <w:pStyle w:val="P68B1DB1-Normal12"/>
              <w:spacing w:after="0" w:line="240" w:lineRule="auto"/>
              <w:jc w:val="center"/>
              <w:rPr>
                <w:rFonts w:eastAsia="Times New Roman"/>
                <w:noProof/>
              </w:rPr>
            </w:pPr>
            <w:r>
              <w:rPr>
                <w:noProof/>
              </w:rPr>
              <w:t>Število</w:t>
            </w:r>
          </w:p>
        </w:tc>
        <w:tc>
          <w:tcPr>
            <w:tcW w:w="992" w:type="dxa"/>
            <w:shd w:val="clear" w:color="auto" w:fill="C4EFCE"/>
            <w:noWrap/>
            <w:vAlign w:val="center"/>
          </w:tcPr>
          <w:p w14:paraId="2104F8DD" w14:textId="5EC972A0" w:rsidR="00F24946" w:rsidRDefault="00613B06">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56CBE9C3" w14:textId="713F4408" w:rsidR="00F24946" w:rsidRDefault="00613B06">
            <w:pPr>
              <w:pStyle w:val="P68B1DB1-Normal12"/>
              <w:spacing w:after="0" w:line="240" w:lineRule="auto"/>
              <w:jc w:val="center"/>
              <w:rPr>
                <w:rFonts w:eastAsia="Times New Roman"/>
                <w:noProof/>
              </w:rPr>
            </w:pPr>
            <w:r>
              <w:rPr>
                <w:noProof/>
              </w:rPr>
              <w:t>350</w:t>
            </w:r>
          </w:p>
        </w:tc>
        <w:tc>
          <w:tcPr>
            <w:tcW w:w="426" w:type="dxa"/>
            <w:shd w:val="clear" w:color="auto" w:fill="C4EFCE"/>
            <w:noWrap/>
            <w:vAlign w:val="center"/>
          </w:tcPr>
          <w:p w14:paraId="67D3AF82" w14:textId="2B6F454B" w:rsidR="00F24946" w:rsidRDefault="00613B06">
            <w:pPr>
              <w:pStyle w:val="P68B1DB1-Normal12"/>
              <w:spacing w:after="0" w:line="240" w:lineRule="auto"/>
              <w:jc w:val="center"/>
              <w:rPr>
                <w:rFonts w:eastAsia="Times New Roman"/>
                <w:noProof/>
              </w:rPr>
            </w:pPr>
            <w:r>
              <w:rPr>
                <w:noProof/>
              </w:rPr>
              <w:t>Q2</w:t>
            </w:r>
          </w:p>
        </w:tc>
        <w:tc>
          <w:tcPr>
            <w:tcW w:w="708" w:type="dxa"/>
            <w:shd w:val="clear" w:color="auto" w:fill="C4EFCE"/>
            <w:noWrap/>
            <w:vAlign w:val="center"/>
          </w:tcPr>
          <w:p w14:paraId="3F010DFB" w14:textId="14DE7404" w:rsidR="00F24946" w:rsidRDefault="00613B06">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26822469" w14:textId="3E45E6E1" w:rsidR="00F24946" w:rsidRDefault="00613B06">
            <w:pPr>
              <w:pStyle w:val="P68B1DB1-Bodytext1013"/>
              <w:spacing w:after="0" w:line="240" w:lineRule="auto"/>
              <w:jc w:val="both"/>
              <w:rPr>
                <w:rFonts w:cstheme="minorBidi"/>
                <w:noProof/>
              </w:rPr>
            </w:pPr>
            <w:r>
              <w:rPr>
                <w:noProof/>
              </w:rPr>
              <w:t>350 projektov se zaključi v okviru sistema spodbud za digitalni prehod podjetij. Projekti so v skladu s tipologijo ukrepov, opisanimi v okviru področja 1 ukrepa 1, ukrepa 2 ali 3 v opisu ukrepa.</w:t>
            </w:r>
          </w:p>
        </w:tc>
      </w:tr>
      <w:tr w:rsidR="00F24946" w14:paraId="2E682C8F" w14:textId="77777777">
        <w:trPr>
          <w:trHeight w:val="420"/>
        </w:trPr>
        <w:tc>
          <w:tcPr>
            <w:tcW w:w="1135" w:type="dxa"/>
            <w:shd w:val="clear" w:color="auto" w:fill="C5EFCE"/>
            <w:vAlign w:val="center"/>
          </w:tcPr>
          <w:p w14:paraId="380A2F8F" w14:textId="66F3324C" w:rsidR="00F24946" w:rsidRDefault="00613B06">
            <w:pPr>
              <w:pStyle w:val="P68B1DB1-Normal11"/>
              <w:spacing w:after="0" w:line="240" w:lineRule="auto"/>
              <w:jc w:val="center"/>
              <w:rPr>
                <w:rFonts w:eastAsia="Times New Roman"/>
                <w:noProof/>
              </w:rPr>
            </w:pPr>
            <w:r>
              <w:rPr>
                <w:noProof/>
              </w:rPr>
              <w:t>16.19</w:t>
            </w:r>
          </w:p>
        </w:tc>
        <w:tc>
          <w:tcPr>
            <w:tcW w:w="1276" w:type="dxa"/>
            <w:shd w:val="clear" w:color="auto" w:fill="C4EFCE"/>
            <w:noWrap/>
            <w:vAlign w:val="center"/>
          </w:tcPr>
          <w:p w14:paraId="79CF44D5" w14:textId="1ADD6940" w:rsidR="00F24946" w:rsidRDefault="00613B06">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F908EF3" w14:textId="2500FFAF" w:rsidR="00F24946" w:rsidRDefault="00613B06">
            <w:pPr>
              <w:pStyle w:val="P68B1DB1-Normal12"/>
              <w:spacing w:after="0" w:line="240" w:lineRule="auto"/>
              <w:jc w:val="center"/>
              <w:rPr>
                <w:rFonts w:eastAsia="Times New Roman"/>
                <w:noProof/>
              </w:rPr>
            </w:pPr>
            <w:r>
              <w:rPr>
                <w:noProof/>
              </w:rPr>
              <w:t>M</w:t>
            </w:r>
          </w:p>
        </w:tc>
        <w:tc>
          <w:tcPr>
            <w:tcW w:w="1701" w:type="dxa"/>
            <w:shd w:val="clear" w:color="auto" w:fill="C4EFCE"/>
            <w:noWrap/>
            <w:vAlign w:val="center"/>
          </w:tcPr>
          <w:p w14:paraId="07C8C597" w14:textId="27719A8B" w:rsidR="00F24946" w:rsidRDefault="00613B06">
            <w:pPr>
              <w:pStyle w:val="P68B1DB1-Normal12"/>
              <w:spacing w:after="0" w:line="240" w:lineRule="auto"/>
              <w:jc w:val="center"/>
              <w:rPr>
                <w:rFonts w:eastAsia="Times New Roman"/>
                <w:noProof/>
              </w:rPr>
            </w:pPr>
            <w:r>
              <w:rPr>
                <w:noProof/>
              </w:rPr>
              <w:t>Znanstveni in tehnološki parki, razširjeni ali opremljeni</w:t>
            </w:r>
          </w:p>
        </w:tc>
        <w:tc>
          <w:tcPr>
            <w:tcW w:w="1275" w:type="dxa"/>
            <w:shd w:val="clear" w:color="auto" w:fill="C4EFCE"/>
            <w:noWrap/>
            <w:vAlign w:val="center"/>
          </w:tcPr>
          <w:p w14:paraId="3C50E602" w14:textId="4C429DB6" w:rsidR="00F24946" w:rsidRDefault="00613B06">
            <w:pPr>
              <w:pStyle w:val="P68B1DB1-Normal12"/>
              <w:spacing w:after="0" w:line="240" w:lineRule="auto"/>
              <w:jc w:val="center"/>
              <w:rPr>
                <w:rFonts w:eastAsia="Times New Roman"/>
                <w:noProof/>
              </w:rPr>
            </w:pPr>
            <w:r>
              <w:rPr>
                <w:noProof/>
              </w:rPr>
              <w:t>Nameščena in zgrajena omrežna in računalniška infrastruktura</w:t>
            </w:r>
          </w:p>
        </w:tc>
        <w:tc>
          <w:tcPr>
            <w:tcW w:w="993" w:type="dxa"/>
            <w:shd w:val="clear" w:color="auto" w:fill="C4EFCE"/>
            <w:noWrap/>
            <w:vAlign w:val="center"/>
          </w:tcPr>
          <w:p w14:paraId="06949E64" w14:textId="379E29AD" w:rsidR="00F24946" w:rsidRDefault="00F24946">
            <w:pPr>
              <w:spacing w:after="0" w:line="240" w:lineRule="auto"/>
              <w:jc w:val="center"/>
              <w:rPr>
                <w:noProof/>
                <w:sz w:val="16"/>
              </w:rPr>
            </w:pPr>
          </w:p>
        </w:tc>
        <w:tc>
          <w:tcPr>
            <w:tcW w:w="992" w:type="dxa"/>
            <w:shd w:val="clear" w:color="auto" w:fill="C4EFCE"/>
            <w:noWrap/>
            <w:vAlign w:val="center"/>
          </w:tcPr>
          <w:p w14:paraId="0E8D16A2" w14:textId="6A47AB65" w:rsidR="00F24946" w:rsidRDefault="00F24946">
            <w:pPr>
              <w:spacing w:after="0" w:line="240" w:lineRule="auto"/>
              <w:jc w:val="center"/>
              <w:rPr>
                <w:noProof/>
                <w:sz w:val="16"/>
              </w:rPr>
            </w:pPr>
          </w:p>
        </w:tc>
        <w:tc>
          <w:tcPr>
            <w:tcW w:w="850" w:type="dxa"/>
            <w:shd w:val="clear" w:color="auto" w:fill="C4EFCE"/>
            <w:noWrap/>
            <w:vAlign w:val="center"/>
          </w:tcPr>
          <w:p w14:paraId="55A9F016" w14:textId="3D8C3522" w:rsidR="00F24946" w:rsidRDefault="00F24946">
            <w:pPr>
              <w:spacing w:after="0" w:line="240" w:lineRule="auto"/>
              <w:jc w:val="center"/>
              <w:rPr>
                <w:noProof/>
                <w:sz w:val="16"/>
              </w:rPr>
            </w:pPr>
          </w:p>
        </w:tc>
        <w:tc>
          <w:tcPr>
            <w:tcW w:w="426" w:type="dxa"/>
            <w:shd w:val="clear" w:color="auto" w:fill="C4EFCE"/>
            <w:noWrap/>
            <w:vAlign w:val="center"/>
          </w:tcPr>
          <w:p w14:paraId="736C4E69" w14:textId="0EFE5CFF" w:rsidR="00F24946" w:rsidRDefault="00613B06">
            <w:pPr>
              <w:pStyle w:val="P68B1DB1-Normal12"/>
              <w:spacing w:after="0" w:line="240" w:lineRule="auto"/>
              <w:jc w:val="center"/>
              <w:rPr>
                <w:rFonts w:eastAsia="Times New Roman"/>
                <w:noProof/>
              </w:rPr>
            </w:pPr>
            <w:r>
              <w:rPr>
                <w:noProof/>
              </w:rPr>
              <w:t>Q2</w:t>
            </w:r>
          </w:p>
        </w:tc>
        <w:tc>
          <w:tcPr>
            <w:tcW w:w="708" w:type="dxa"/>
            <w:shd w:val="clear" w:color="auto" w:fill="C4EFCE"/>
            <w:noWrap/>
            <w:vAlign w:val="center"/>
          </w:tcPr>
          <w:p w14:paraId="1D090ADB" w14:textId="4F4266E5" w:rsidR="00F24946" w:rsidRDefault="00613B06">
            <w:pPr>
              <w:pStyle w:val="P68B1DB1-Normal12"/>
              <w:spacing w:after="0" w:line="240" w:lineRule="auto"/>
              <w:jc w:val="center"/>
              <w:rPr>
                <w:rFonts w:eastAsia="Times New Roman"/>
                <w:noProof/>
              </w:rPr>
            </w:pPr>
            <w:r>
              <w:rPr>
                <w:noProof/>
              </w:rPr>
              <w:t>2026</w:t>
            </w:r>
          </w:p>
        </w:tc>
        <w:tc>
          <w:tcPr>
            <w:tcW w:w="3969" w:type="dxa"/>
            <w:shd w:val="clear" w:color="auto" w:fill="C4EFCE"/>
          </w:tcPr>
          <w:p w14:paraId="7EF23F02" w14:textId="5B5C41B8" w:rsidR="00F24946" w:rsidRDefault="00613B06">
            <w:pPr>
              <w:pStyle w:val="P68B1DB1-Normal12"/>
              <w:spacing w:after="0" w:line="240" w:lineRule="auto"/>
              <w:jc w:val="both"/>
              <w:rPr>
                <w:rFonts w:eastAsia="Times New Roman"/>
                <w:noProof/>
              </w:rPr>
            </w:pPr>
            <w:r>
              <w:rPr>
                <w:noProof/>
              </w:rPr>
              <w:t>Nova omrežna in računalniška infrastruktura (strojna oprema) se namestijo v znanstveno-tehnološkem parku Nonangon, v Znanstvenem in tehnološkem parku Terinov pa se zgradi nova energetsko učinkovita stavba v velikosti približno 878 kvadratnih metrov. Potrebe po primarni energiji za nove stavbe so za vsaj 20 % nižje od potreb stavb s skoraj nično porabo energije. Prenove za energijsko učinkovitost v povprečju dosežejo vsaj srednje temeljito prenovo, kot je opredeljena v Priporočilu Komisije o prenovi stavb (EU) 2019/786.</w:t>
            </w:r>
          </w:p>
        </w:tc>
      </w:tr>
      <w:tr w:rsidR="00F24946" w14:paraId="1BB3C3E0" w14:textId="77777777">
        <w:trPr>
          <w:trHeight w:val="420"/>
        </w:trPr>
        <w:tc>
          <w:tcPr>
            <w:tcW w:w="1135" w:type="dxa"/>
            <w:shd w:val="clear" w:color="auto" w:fill="C5EFCE"/>
            <w:vAlign w:val="center"/>
          </w:tcPr>
          <w:p w14:paraId="6422BF72" w14:textId="48224803" w:rsidR="00F24946" w:rsidRDefault="00613B06">
            <w:pPr>
              <w:pStyle w:val="P68B1DB1-Normal11"/>
              <w:spacing w:after="0" w:line="240" w:lineRule="auto"/>
              <w:jc w:val="center"/>
              <w:rPr>
                <w:rFonts w:eastAsia="Times New Roman"/>
                <w:noProof/>
              </w:rPr>
            </w:pPr>
            <w:r>
              <w:rPr>
                <w:noProof/>
              </w:rPr>
              <w:t>16.20</w:t>
            </w:r>
          </w:p>
        </w:tc>
        <w:tc>
          <w:tcPr>
            <w:tcW w:w="1276" w:type="dxa"/>
            <w:shd w:val="clear" w:color="auto" w:fill="C4EFCE"/>
            <w:noWrap/>
            <w:vAlign w:val="center"/>
          </w:tcPr>
          <w:p w14:paraId="241755ED" w14:textId="663183C3" w:rsidR="00F24946" w:rsidRDefault="00613B06">
            <w:pPr>
              <w:pStyle w:val="P68B1DB1-Normal12"/>
              <w:spacing w:after="0" w:line="240" w:lineRule="auto"/>
              <w:jc w:val="center"/>
              <w:rPr>
                <w:rFonts w:eastAsia="Times New Roman"/>
                <w:noProof/>
              </w:rPr>
            </w:pPr>
            <w:r>
              <w:rPr>
                <w:noProof/>
              </w:rPr>
              <w:t>TD-C16-i06-RAM</w:t>
            </w:r>
          </w:p>
        </w:tc>
        <w:tc>
          <w:tcPr>
            <w:tcW w:w="1134" w:type="dxa"/>
            <w:shd w:val="clear" w:color="auto" w:fill="C4EFCE"/>
            <w:noWrap/>
            <w:vAlign w:val="center"/>
          </w:tcPr>
          <w:p w14:paraId="2E4832F3" w14:textId="1498C687" w:rsidR="00F24946" w:rsidRDefault="00613B06">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D7638E" w14:textId="1AB722F4" w:rsidR="00F24946" w:rsidRDefault="00613B06">
            <w:pPr>
              <w:pStyle w:val="P68B1DB1-Normal12"/>
              <w:spacing w:after="0" w:line="240" w:lineRule="auto"/>
              <w:jc w:val="center"/>
              <w:rPr>
                <w:rFonts w:eastAsia="Times New Roman"/>
                <w:noProof/>
              </w:rPr>
            </w:pPr>
            <w:r>
              <w:rPr>
                <w:noProof/>
              </w:rPr>
              <w:t>Podjetje 4.0</w:t>
            </w:r>
          </w:p>
        </w:tc>
        <w:tc>
          <w:tcPr>
            <w:tcW w:w="1275" w:type="dxa"/>
            <w:shd w:val="clear" w:color="auto" w:fill="C4EFCE"/>
            <w:noWrap/>
            <w:vAlign w:val="center"/>
          </w:tcPr>
          <w:p w14:paraId="3C12F8CE" w14:textId="77777777" w:rsidR="00F24946" w:rsidRDefault="00F24946">
            <w:pPr>
              <w:spacing w:after="0" w:line="240" w:lineRule="auto"/>
              <w:jc w:val="center"/>
              <w:rPr>
                <w:rFonts w:eastAsia="Times New Roman"/>
                <w:noProof/>
                <w:sz w:val="16"/>
              </w:rPr>
            </w:pPr>
          </w:p>
        </w:tc>
        <w:tc>
          <w:tcPr>
            <w:tcW w:w="993" w:type="dxa"/>
            <w:shd w:val="clear" w:color="auto" w:fill="C4EFCE"/>
            <w:noWrap/>
            <w:vAlign w:val="center"/>
          </w:tcPr>
          <w:p w14:paraId="3EDFD5D8" w14:textId="0DAE7C66" w:rsidR="00F24946" w:rsidRDefault="00613B06">
            <w:pPr>
              <w:pStyle w:val="P68B1DB1-Normal12"/>
              <w:spacing w:after="0" w:line="240" w:lineRule="auto"/>
              <w:jc w:val="center"/>
              <w:rPr>
                <w:rFonts w:eastAsia="Times New Roman"/>
                <w:noProof/>
              </w:rPr>
            </w:pPr>
            <w:r>
              <w:rPr>
                <w:noProof/>
              </w:rPr>
              <w:t>Število</w:t>
            </w:r>
          </w:p>
        </w:tc>
        <w:tc>
          <w:tcPr>
            <w:tcW w:w="992" w:type="dxa"/>
            <w:shd w:val="clear" w:color="auto" w:fill="C4EFCE"/>
            <w:noWrap/>
            <w:vAlign w:val="center"/>
          </w:tcPr>
          <w:p w14:paraId="2C1BA599" w14:textId="79E71A0F" w:rsidR="00F24946" w:rsidRDefault="00613B06">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3BACA82A" w14:textId="31DFBCD1" w:rsidR="00F24946" w:rsidRDefault="00613B06">
            <w:pPr>
              <w:pStyle w:val="P68B1DB1-Normal12"/>
              <w:spacing w:after="0" w:line="240" w:lineRule="auto"/>
              <w:jc w:val="center"/>
              <w:rPr>
                <w:rFonts w:eastAsia="Times New Roman"/>
                <w:noProof/>
              </w:rPr>
            </w:pPr>
            <w:r>
              <w:rPr>
                <w:noProof/>
              </w:rPr>
              <w:t>300</w:t>
            </w:r>
          </w:p>
        </w:tc>
        <w:tc>
          <w:tcPr>
            <w:tcW w:w="426" w:type="dxa"/>
            <w:shd w:val="clear" w:color="auto" w:fill="C4EFCE"/>
            <w:noWrap/>
            <w:vAlign w:val="center"/>
          </w:tcPr>
          <w:p w14:paraId="69BC14F8" w14:textId="02E6162D" w:rsidR="00F24946" w:rsidRDefault="00613B06">
            <w:pPr>
              <w:pStyle w:val="P68B1DB1-Normal12"/>
              <w:spacing w:after="0" w:line="240" w:lineRule="auto"/>
              <w:jc w:val="center"/>
              <w:rPr>
                <w:rFonts w:eastAsia="Times New Roman"/>
                <w:noProof/>
              </w:rPr>
            </w:pPr>
            <w:r>
              <w:rPr>
                <w:noProof/>
              </w:rPr>
              <w:t>Q4</w:t>
            </w:r>
          </w:p>
        </w:tc>
        <w:tc>
          <w:tcPr>
            <w:tcW w:w="708" w:type="dxa"/>
            <w:shd w:val="clear" w:color="auto" w:fill="C4EFCE"/>
            <w:noWrap/>
            <w:vAlign w:val="center"/>
          </w:tcPr>
          <w:p w14:paraId="6F7D5365" w14:textId="2233F5B5" w:rsidR="00F24946" w:rsidRDefault="00613B06">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20DC7735" w14:textId="02E207D5" w:rsidR="00F24946" w:rsidRDefault="00613B06">
            <w:pPr>
              <w:pStyle w:val="P68B1DB1-Bodytext1013"/>
              <w:spacing w:after="0" w:line="240" w:lineRule="auto"/>
              <w:rPr>
                <w:rFonts w:cstheme="minorBidi"/>
                <w:noProof/>
              </w:rPr>
            </w:pPr>
            <w:r>
              <w:rPr>
                <w:noProof/>
              </w:rPr>
              <w:t>Dokončanih bo 300 projektov digitalizacije za MSP. Projekti vključujejo razvoj ali nakup opredmetenih ali neopredmetenih sredstev, neposredno povezanih z naložbo v digitalni prehod.</w:t>
            </w:r>
          </w:p>
          <w:p w14:paraId="35F539B6" w14:textId="02E207D5" w:rsidR="00F24946" w:rsidRDefault="00613B06">
            <w:pPr>
              <w:pStyle w:val="P68B1DB1-Normal12"/>
              <w:spacing w:after="0" w:line="240" w:lineRule="auto"/>
              <w:jc w:val="both"/>
              <w:rPr>
                <w:rFonts w:eastAsia="Times New Roman"/>
                <w:noProof/>
              </w:rPr>
            </w:pPr>
            <w:r>
              <w:rPr>
                <w:noProof/>
              </w:rPr>
              <w:t>Z merili za izbor se zagotovi skladnost s tehničnimi smernicami „da se ne škoduje bistveno“ (2021/C58/01) podprtih transakcij v okviru tega ukrepa z uporabo seznama za izključitev, kot je določeno v opisu ukrepa, in zahteve po skladnosti z ustrezno okoljsko zakonodajo EU in nacionalno okoljsko zakonodajo.</w:t>
            </w:r>
          </w:p>
        </w:tc>
      </w:tr>
    </w:tbl>
    <w:p w14:paraId="4E8D9638" w14:textId="77777777" w:rsidR="00F24946" w:rsidRDefault="00F24946">
      <w:pPr>
        <w:spacing w:before="40" w:after="0" w:line="259" w:lineRule="auto"/>
        <w:jc w:val="both"/>
        <w:rPr>
          <w:rFonts w:ascii="Times New Roman" w:eastAsiaTheme="minorEastAsia" w:hAnsi="Times New Roman" w:cs="Times New Roman"/>
          <w:noProof/>
          <w:sz w:val="24"/>
          <w:u w:val="single"/>
        </w:rPr>
      </w:pPr>
    </w:p>
    <w:p w14:paraId="0AC9B701" w14:textId="77777777" w:rsidR="00F24946" w:rsidRDefault="00F24946">
      <w:pPr>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777E4EB1"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Q.</w:t>
      </w:r>
      <w:r>
        <w:rPr>
          <w:smallCaps/>
          <w:noProof/>
        </w:rPr>
        <w:t>KOMPONENTA 1</w:t>
      </w:r>
      <w:r>
        <w:rPr>
          <w:noProof/>
        </w:rPr>
        <w:t>7</w:t>
      </w:r>
      <w:r>
        <w:rPr>
          <w:smallCaps/>
          <w:noProof/>
        </w:rPr>
        <w:t xml:space="preserve">: </w:t>
      </w:r>
      <w:r>
        <w:rPr>
          <w:noProof/>
        </w:rPr>
        <w:t>Kakovost in vzdržnost javnih financ</w:t>
      </w:r>
    </w:p>
    <w:p w14:paraId="439DD862" w14:textId="77777777" w:rsidR="00F24946" w:rsidRDefault="00613B06">
      <w:pPr>
        <w:pStyle w:val="P68B1DB1-Normal4"/>
        <w:spacing w:before="40" w:after="0" w:line="259" w:lineRule="auto"/>
        <w:jc w:val="both"/>
        <w:rPr>
          <w:rFonts w:eastAsiaTheme="minorEastAsia" w:cs="Times New Roman"/>
          <w:noProof/>
        </w:rPr>
      </w:pPr>
      <w:r>
        <w:rPr>
          <w:noProof/>
        </w:rPr>
        <w:t>Komponenta obravnava izzive, povezane z visokim deležem javnega dolga v BDP na Portugalskem, ki se je zaradi krize zaradi COVID-19 še poslabšal. Obseg deleža portugalskega javnega dolga v BDP omejuje razpoložljivi fiskalni manevrski prostor in, kadar gospodarske razmere to omogočajo, zahteva, da se zagotovi srednjeročna vzdržnost javnih financ. V zvezi s tem se pričakuje, da bodo strožji okvirni pogoji za fiskalno politiko prispevali k rasti prijaznejši poti za večjo fiskalno vzdržnost.</w:t>
      </w:r>
    </w:p>
    <w:p w14:paraId="1982F9A7" w14:textId="77777777" w:rsidR="00F24946" w:rsidRDefault="00613B06">
      <w:pPr>
        <w:pStyle w:val="P68B1DB1-Normal4"/>
        <w:spacing w:before="40" w:after="120" w:line="259" w:lineRule="auto"/>
        <w:jc w:val="both"/>
        <w:rPr>
          <w:rFonts w:eastAsiaTheme="minorEastAsia" w:cs="Times New Roman"/>
          <w:noProof/>
        </w:rPr>
      </w:pPr>
      <w:r>
        <w:rPr>
          <w:noProof/>
        </w:rPr>
        <w:t>Cilj komponente je okrepiti upravljanje javnih financ na Portugalskem in premostiti obstoječe vrzeli v fiskalno-strukturnih reformah. Ti cilji med drugim vključujejo:</w:t>
      </w:r>
    </w:p>
    <w:p w14:paraId="50B02B2C" w14:textId="77777777" w:rsidR="00F24946" w:rsidRDefault="00613B06">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zagotavljanje celovitega in učinkovitega izvajanja zakona o proračunskem okviru za leto 2015 ter s tem povezanih strukturnih sprememb v smislu priprave proračuna, računovodstva in informacijskih sistemov; </w:t>
      </w:r>
    </w:p>
    <w:p w14:paraId="117516F8" w14:textId="77777777" w:rsidR="00F24946" w:rsidRDefault="00613B06">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povečanje prihrankov pri učinkovitosti z večjo uporabo centraliziranih pregledov javnega naročanja in porabe, ki naj bi bili vključeni v redni proračunski postopek in bodo predmet sistematičnih </w:t>
      </w:r>
      <w:r>
        <w:rPr>
          <w:i/>
          <w:noProof/>
        </w:rPr>
        <w:t>naknadnih</w:t>
      </w:r>
      <w:r>
        <w:rPr>
          <w:noProof/>
        </w:rPr>
        <w:t xml:space="preserve"> ocen;</w:t>
      </w:r>
    </w:p>
    <w:p w14:paraId="53FEF5B8" w14:textId="77777777" w:rsidR="00F24946" w:rsidRDefault="00613B06">
      <w:pPr>
        <w:pStyle w:val="P68B1DB1-Normal4"/>
        <w:keepNext/>
        <w:numPr>
          <w:ilvl w:val="0"/>
          <w:numId w:val="61"/>
        </w:numPr>
        <w:spacing w:before="40" w:after="160" w:line="259" w:lineRule="auto"/>
        <w:contextualSpacing/>
        <w:jc w:val="both"/>
        <w:rPr>
          <w:rFonts w:eastAsiaTheme="minorEastAsia" w:cs="Times New Roman"/>
          <w:noProof/>
        </w:rPr>
      </w:pPr>
      <w:r>
        <w:rPr>
          <w:noProof/>
        </w:rPr>
        <w:t>izboljšanje finančne uspešnosti podjetij v državni lasti z večjo preglednostjo, okrepljenim spremljanjem in boljšim upravljanjem, pri čemer bo vodstvo postalo odgovornejše in bolj usmerjeno v uspešnost; in končno</w:t>
      </w:r>
    </w:p>
    <w:p w14:paraId="77257493" w14:textId="77777777" w:rsidR="00F24946" w:rsidRDefault="00613B06">
      <w:pPr>
        <w:pStyle w:val="P68B1DB1-Normal4"/>
        <w:keepNext/>
        <w:numPr>
          <w:ilvl w:val="0"/>
          <w:numId w:val="61"/>
        </w:numPr>
        <w:spacing w:before="40" w:after="160" w:line="259" w:lineRule="auto"/>
        <w:contextualSpacing/>
        <w:jc w:val="both"/>
        <w:rPr>
          <w:rFonts w:eastAsiaTheme="minorEastAsia" w:cs="Times New Roman"/>
          <w:noProof/>
        </w:rPr>
      </w:pPr>
      <w:r>
        <w:rPr>
          <w:noProof/>
        </w:rPr>
        <w:t>povečanje učinkovitosti upravljanja prihodkov – vključno z davčnim in carinskim organom ter službami socialne varnosti – z izkoriščanjem razpoložljivih možnosti za večjo digitalizacijo in prijaznost do podjetij.</w:t>
      </w:r>
    </w:p>
    <w:p w14:paraId="0D3AD004" w14:textId="7EC49C9D" w:rsidR="00F24946" w:rsidRDefault="00613B06">
      <w:pPr>
        <w:pStyle w:val="P68B1DB1-Normal4"/>
        <w:spacing w:before="40" w:after="120" w:line="259" w:lineRule="auto"/>
        <w:jc w:val="both"/>
        <w:rPr>
          <w:rFonts w:eastAsiaTheme="minorEastAsia" w:cs="Times New Roman"/>
          <w:noProof/>
        </w:rPr>
      </w:pPr>
      <w:r>
        <w:rPr>
          <w:noProof/>
        </w:rPr>
        <w:t>Komponenta prispeva k obravnavi priporočila za posamezno državo za izboljšanje kakovosti javnih financ ob hkratni krepitvi nadzora skupnih odhodkov, stroškovne učinkovitosti in ustreznega oblikovanja proračuna (priporočilo za posamezno državo št. 1 iz leta 2019), priporočila za izboljšanje finančne vzdržnosti podjetij v državni lasti ob hkratnem zagotavljanju pravočasnejšega, preglednejšega in celovitejšega spremljanja (priporočilo za posamezno državo št. 1 iz leta 2019), priporočila, naj se, kadar gospodarske razmere to omogočajo, izvajajo fiskalne politike, namenjene doseganju preudarnega srednjeročnega fiskalnega položaja in zagotavljanju vzdržnosti dolga (priporočilo za posamezno državo št. 1 2020), ter priporočila za izboljšanje učinkovitosti davčnega sistema, zlasti z dajanjem prednosti poenostavitvi njegovega okvira (priporočilo za posamezno državo št. 1 2022 in 2023). Komponenta prispeva tudi k obravnavi priporočila za posamezno državo, da se naložbe osredotočijo na digitalni prehod (priporočilo za posamezno državo št. 3 2020).</w:t>
      </w:r>
    </w:p>
    <w:p w14:paraId="6610EC5D" w14:textId="77777777" w:rsidR="00F24946" w:rsidRDefault="00613B06">
      <w:pPr>
        <w:pStyle w:val="P68B1DB1-Normal4"/>
        <w:spacing w:before="40" w:after="120" w:line="259" w:lineRule="auto"/>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3248AA7D" w14:textId="77777777" w:rsidR="00F24946" w:rsidRDefault="00F24946">
      <w:pPr>
        <w:spacing w:before="40" w:after="120" w:line="259" w:lineRule="auto"/>
        <w:jc w:val="both"/>
        <w:rPr>
          <w:rFonts w:ascii="Times New Roman" w:eastAsiaTheme="minorEastAsia" w:hAnsi="Times New Roman" w:cs="Times New Roman"/>
          <w:noProof/>
          <w:sz w:val="24"/>
        </w:rPr>
      </w:pPr>
    </w:p>
    <w:p w14:paraId="28C15D2C"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Q.1. Opis reform in naložb za nepovratno finančno podporo</w:t>
      </w:r>
    </w:p>
    <w:p w14:paraId="1D2019B5" w14:textId="329788CF" w:rsidR="00F24946" w:rsidRDefault="00613B06">
      <w:pPr>
        <w:pStyle w:val="P68B1DB1-Normal5"/>
        <w:spacing w:before="240" w:after="0" w:line="259" w:lineRule="auto"/>
        <w:ind w:left="851"/>
        <w:jc w:val="both"/>
        <w:outlineLvl w:val="2"/>
        <w:rPr>
          <w:rFonts w:eastAsia="Times New Roman" w:cs="Times New Roman"/>
          <w:noProof/>
        </w:rPr>
      </w:pPr>
      <w:r>
        <w:rPr>
          <w:noProof/>
        </w:rPr>
        <w:t>Reforma TD-r32: Posodobitev in poenostavitev upravljanja javnih financ</w:t>
      </w:r>
    </w:p>
    <w:p w14:paraId="7386FB7C" w14:textId="77777777" w:rsidR="00F24946" w:rsidRDefault="00613B06">
      <w:pPr>
        <w:pStyle w:val="P68B1DB1-Normal4"/>
        <w:spacing w:before="40" w:after="120" w:line="259" w:lineRule="auto"/>
        <w:jc w:val="both"/>
        <w:rPr>
          <w:rFonts w:eastAsiaTheme="minorEastAsia" w:cs="Times New Roman"/>
          <w:noProof/>
        </w:rPr>
      </w:pPr>
      <w:r>
        <w:rPr>
          <w:noProof/>
        </w:rPr>
        <w:t>Glavni cilj reforme je izboljšati kakovost in vzdržnost javnih financ ter zlasti okrepiti nadzor nad odhodki in ustrezno pripravo proračuna. Cilj reforme je tudi povečati preglednost in učinkovitost pri uporabi javnih sredstev z bolj integriranim upravljanjem upravnih in finančnih postopkov v vseh subjektih sektorja država.</w:t>
      </w:r>
    </w:p>
    <w:p w14:paraId="1C6AAFDF" w14:textId="77777777" w:rsidR="00F24946" w:rsidRDefault="00613B06">
      <w:pPr>
        <w:pStyle w:val="P68B1DB1-Normal4"/>
        <w:spacing w:before="40" w:after="120" w:line="259" w:lineRule="auto"/>
        <w:jc w:val="both"/>
        <w:rPr>
          <w:rFonts w:eastAsia="Times New Roman" w:cs="Times New Roman"/>
          <w:noProof/>
        </w:rPr>
      </w:pPr>
      <w:r>
        <w:rPr>
          <w:noProof/>
        </w:rPr>
        <w:t xml:space="preserve">Reforma je vseobsegajoča fiskalno-strukturna reforma, ki jo sestavljajo pobude, ki se medsebojno krepijo. </w:t>
      </w:r>
    </w:p>
    <w:p w14:paraId="43E9C02C" w14:textId="57B93928" w:rsidR="00F24946" w:rsidRDefault="00613B06">
      <w:pPr>
        <w:pStyle w:val="P68B1DB1-Normal4"/>
        <w:keepNext/>
        <w:numPr>
          <w:ilvl w:val="0"/>
          <w:numId w:val="67"/>
        </w:numPr>
        <w:spacing w:before="40" w:after="120" w:line="259" w:lineRule="auto"/>
        <w:contextualSpacing/>
        <w:jc w:val="both"/>
        <w:rPr>
          <w:rFonts w:eastAsiaTheme="minorEastAsia" w:cs="Times New Roman"/>
          <w:noProof/>
        </w:rPr>
      </w:pPr>
      <w:r>
        <w:rPr>
          <w:noProof/>
        </w:rPr>
        <w:t>Prvič, postopni ukrepi bodo prispevali k celovitemu in učinkovitemu izvajanju zakona o proračunskem okviru za leto 2015. Ti vključujejo pripravo proračuna programa in njegovo vključitev v proračunsko načrtovanje in spremljanje ter začetek veljavnosti zakonodaje, ki zavrača državni računovodski subjekt. Načrtovana znatna nadgradnja informacijskih sistemov za upravljanje javnih financ naj bi olajšala tudi upoštevanje računovodskega sistema na podlagi nastanka poslovnega dogodka.</w:t>
      </w:r>
    </w:p>
    <w:p w14:paraId="797E40BB" w14:textId="77777777" w:rsidR="00F24946" w:rsidRDefault="00613B06">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Drugič, pregledi porabe naj bi postali strukturna značilnost portugalskega proračunskega postopka, in sicer z boljšo vključitvijo v letni proračunski cikel in naknadno oceno možnih povečanj učinkovitosti. </w:t>
      </w:r>
    </w:p>
    <w:p w14:paraId="7B864396" w14:textId="77777777" w:rsidR="00F24946" w:rsidRDefault="00613B06">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Tretjič, za povečanje učinkovitosti se izvedejo izboljšave na področju centraliziranega javnega naročanja. </w:t>
      </w:r>
    </w:p>
    <w:p w14:paraId="68DBC2DB" w14:textId="77777777" w:rsidR="00F24946" w:rsidRDefault="00613B06">
      <w:pPr>
        <w:pStyle w:val="P68B1DB1-Normal4"/>
        <w:keepNext/>
        <w:numPr>
          <w:ilvl w:val="0"/>
          <w:numId w:val="67"/>
        </w:numPr>
        <w:spacing w:before="40" w:after="120" w:line="259" w:lineRule="auto"/>
        <w:contextualSpacing/>
        <w:jc w:val="both"/>
        <w:rPr>
          <w:rFonts w:eastAsiaTheme="minorEastAsia" w:cs="Times New Roman"/>
          <w:noProof/>
        </w:rPr>
      </w:pPr>
      <w:r>
        <w:rPr>
          <w:noProof/>
        </w:rPr>
        <w:t>Četrtič, za podjetja v državni lasti se načrtuje dvodelni pristop, pri čemer je treba ukrepe za povečanje preglednosti pri razkrivanju finančnih podatkov dopolniti s koraki za okrepitev upravljanja, vključno z okrepljenimi pogodbami o upravljanju, da se spodbudijo vodstvene prakse, ki temeljijo na spodbudah, ter s podpisom proračunskih in poslovnih načrtov, ki omogočajo večjo avtonomijo v kombinaciji z večjo odgovornostjo in spremljanjem.</w:t>
      </w:r>
    </w:p>
    <w:p w14:paraId="51CF4504" w14:textId="77777777" w:rsidR="00F24946" w:rsidRDefault="00613B06">
      <w:pPr>
        <w:pStyle w:val="P68B1DB1-Normal4"/>
        <w:spacing w:before="40" w:after="120" w:line="259" w:lineRule="auto"/>
        <w:jc w:val="both"/>
        <w:rPr>
          <w:rFonts w:eastAsiaTheme="minorEastAsia" w:cs="Times New Roman"/>
          <w:noProof/>
        </w:rPr>
      </w:pPr>
      <w:r>
        <w:rPr>
          <w:noProof/>
        </w:rPr>
        <w:t>Reforma se izvede do 31. decembra 2025.</w:t>
      </w:r>
    </w:p>
    <w:p w14:paraId="17979527" w14:textId="77777777" w:rsidR="00F24946" w:rsidRDefault="00613B06">
      <w:pPr>
        <w:pStyle w:val="P68B1DB1-Normal5"/>
        <w:spacing w:before="240" w:after="0" w:line="259" w:lineRule="auto"/>
        <w:ind w:left="851"/>
        <w:jc w:val="both"/>
        <w:outlineLvl w:val="2"/>
        <w:rPr>
          <w:rFonts w:eastAsia="Times New Roman" w:cs="Times New Roman"/>
          <w:noProof/>
        </w:rPr>
      </w:pPr>
      <w:r>
        <w:rPr>
          <w:noProof/>
        </w:rPr>
        <w:t>Naložba TD-C17-i01: Informacijski sistemi za upravljanje javnih financ</w:t>
      </w:r>
    </w:p>
    <w:p w14:paraId="2D41C5D2" w14:textId="77777777" w:rsidR="00F24946" w:rsidRDefault="00613B06">
      <w:pPr>
        <w:pStyle w:val="P68B1DB1-Normal4"/>
        <w:spacing w:before="40" w:after="120" w:line="259" w:lineRule="auto"/>
        <w:jc w:val="both"/>
        <w:rPr>
          <w:rFonts w:eastAsia="Times New Roman" w:cs="Times New Roman"/>
          <w:noProof/>
        </w:rPr>
      </w:pPr>
      <w:r>
        <w:rPr>
          <w:noProof/>
        </w:rPr>
        <w:t>Cilj naložbe je operacionalizacija s tem povezane reforme upravljanja javnih financ z namenom izboljšanja kakovosti in vzdržnosti javnih financ. Naložba je zlasti ključna za celovito in učinkovito izvajanje zakona o proračunskem okviru za leto 2015.</w:t>
      </w:r>
    </w:p>
    <w:p w14:paraId="4F4EDC29" w14:textId="77777777" w:rsidR="00F24946" w:rsidRDefault="00613B06">
      <w:pPr>
        <w:pStyle w:val="P68B1DB1-Normal4"/>
        <w:spacing w:before="40" w:after="120" w:line="259" w:lineRule="auto"/>
        <w:jc w:val="both"/>
        <w:rPr>
          <w:rFonts w:eastAsia="Times New Roman" w:cs="Times New Roman"/>
          <w:noProof/>
        </w:rPr>
      </w:pPr>
      <w:r>
        <w:rPr>
          <w:noProof/>
        </w:rPr>
        <w:t>Naložba je sestavljena iz dopolnilnih podnaložb, ki bi morale skupaj prispevati k integriranemu upravljanju javnih prihodkov in odhodkov. Prvič, podnaložbe so usmerjene v rešitve informacijske tehnologije, ki omogočajo spremljanje vladnih transakcij na podlagi digitalizacije procesov, avtomatizacije računovodstva in vključevanja v centralne sisteme ministrstva za finance, kar bo koristilo proračunskemu načrtovanju, spremljanju in odgovornosti. Ti vključujejo razvoj rešitev informacijske tehnologije, ki omogočajo celostno upravljanje državne zakladnice prek državnega računovodskega subjekta ter podpirajo pripravo državnega proračuna in srednjeročno proračunsko načrtovanje z uvedbo programskega načrtovanja proračuna in upoštevanjem računovodskega sistema na podlagi nastanka poslovnega dogodka. Drugič, predvidene so tudi pomožne izboljšave informacijskih sistemov za centralizirano javno naročanje ter upravljanje javnih vozil in nepremičnin.</w:t>
      </w:r>
    </w:p>
    <w:p w14:paraId="1F60E6B1" w14:textId="77777777" w:rsidR="00F24946" w:rsidRDefault="00613B06">
      <w:pPr>
        <w:pStyle w:val="P68B1DB1-Normal4"/>
        <w:spacing w:before="40" w:after="0" w:line="259" w:lineRule="auto"/>
        <w:jc w:val="both"/>
        <w:rPr>
          <w:rFonts w:eastAsia="Times New Roman" w:cs="Times New Roman"/>
          <w:noProof/>
        </w:rPr>
      </w:pPr>
      <w:r>
        <w:rPr>
          <w:noProof/>
        </w:rPr>
        <w:t>Naložba se izvede do 30. junija 2026.</w:t>
      </w:r>
    </w:p>
    <w:p w14:paraId="637EC6F3" w14:textId="77777777" w:rsidR="00F24946" w:rsidRDefault="00613B06">
      <w:pPr>
        <w:pStyle w:val="P68B1DB1-Normal5"/>
        <w:spacing w:before="240" w:after="0" w:line="259" w:lineRule="auto"/>
        <w:ind w:left="851"/>
        <w:jc w:val="both"/>
        <w:outlineLvl w:val="2"/>
        <w:rPr>
          <w:rFonts w:eastAsia="Times New Roman" w:cs="Times New Roman"/>
          <w:noProof/>
        </w:rPr>
      </w:pPr>
      <w:r>
        <w:rPr>
          <w:noProof/>
        </w:rPr>
        <w:t>Naložba TD-C17-i02: Posodobitev informacijskih sistemov davčnega in carinskega organa za obdavčitev nepremičnin na podeželju</w:t>
      </w:r>
    </w:p>
    <w:p w14:paraId="11A35064" w14:textId="77777777" w:rsidR="00F24946" w:rsidRDefault="00613B06">
      <w:pPr>
        <w:pStyle w:val="P68B1DB1-Normal4"/>
        <w:spacing w:before="40" w:after="120" w:line="259" w:lineRule="auto"/>
        <w:jc w:val="both"/>
        <w:rPr>
          <w:rFonts w:eastAsia="Times New Roman" w:cs="Times New Roman"/>
          <w:noProof/>
        </w:rPr>
      </w:pPr>
      <w:r>
        <w:rPr>
          <w:noProof/>
        </w:rPr>
        <w:t>Cilj naložbe je pospešiti digitalizacijo vseh procesov, povezanih z obdavčitvijo nepremičnin na podeželju, zlasti s tem povezanih informacij – kartiranje in povezane značilnosti (kot so poljščine in gospodarski potencial) – ter uvedbo predhodnega izpolnjevanja posebnih deklarativnih obveznosti.</w:t>
      </w:r>
    </w:p>
    <w:p w14:paraId="414FC653" w14:textId="1B3EFAB6" w:rsidR="00F24946" w:rsidRDefault="00613B06">
      <w:pPr>
        <w:pStyle w:val="P68B1DB1-Normal4"/>
        <w:keepNext/>
        <w:spacing w:before="40" w:after="120" w:line="259" w:lineRule="auto"/>
        <w:jc w:val="both"/>
        <w:rPr>
          <w:rFonts w:eastAsia="Times New Roman" w:cs="Times New Roman"/>
          <w:noProof/>
        </w:rPr>
      </w:pPr>
      <w:r>
        <w:rPr>
          <w:noProof/>
        </w:rPr>
        <w:t>Naložbo sestavlja več podnaložb, ki vključujejo: I) digitalizacijo podpornih informacij za matrice nepremičnin; II) krepitev infrastrukture informacijske tehnologije za ohranjanje digitaliziranih informacij o nepremičninah; III) razvoj mehanizmov svetovanja in vizualizacije za matrice nepremičnin; razvoj informacijskega sistema za podporo poenostavljenemu katastrskemu ocenjevanju podeželskih nepremičnin; v) razvoj georeferencirane rešitve za upravljanje informacij; in vi) razvoj deklarativnih storitev predhodnega polnjenja (zlasti za obdavčitev nepremičnin in posebne transakcije, za katere se plača kolkovina).</w:t>
      </w:r>
    </w:p>
    <w:p w14:paraId="2C782842" w14:textId="77777777" w:rsidR="00F24946" w:rsidRDefault="00613B06">
      <w:pPr>
        <w:pStyle w:val="P68B1DB1-Normal4"/>
        <w:spacing w:before="40" w:after="0" w:line="259" w:lineRule="auto"/>
        <w:jc w:val="both"/>
        <w:rPr>
          <w:rFonts w:eastAsia="Times New Roman" w:cs="Times New Roman"/>
          <w:noProof/>
        </w:rPr>
      </w:pPr>
      <w:r>
        <w:rPr>
          <w:noProof/>
        </w:rPr>
        <w:t>Naložba se izvede do 31. decembra 2025.</w:t>
      </w:r>
    </w:p>
    <w:p w14:paraId="18AD381B" w14:textId="77777777" w:rsidR="00F24946" w:rsidRDefault="00613B06">
      <w:pPr>
        <w:pStyle w:val="P68B1DB1-Normal5"/>
        <w:keepNext/>
        <w:spacing w:before="240" w:after="0" w:line="259" w:lineRule="auto"/>
        <w:ind w:left="851"/>
        <w:jc w:val="both"/>
        <w:outlineLvl w:val="2"/>
        <w:rPr>
          <w:rFonts w:eastAsia="Times New Roman" w:cs="Times New Roman"/>
          <w:noProof/>
        </w:rPr>
      </w:pPr>
      <w:r>
        <w:rPr>
          <w:noProof/>
        </w:rPr>
        <w:t>Naložba TD-C17-i03: Digitalni prehod storitev socialne varnosti</w:t>
      </w:r>
    </w:p>
    <w:p w14:paraId="484E2C44" w14:textId="77777777" w:rsidR="00F24946" w:rsidRDefault="00613B06">
      <w:pPr>
        <w:pStyle w:val="P68B1DB1-Normal4"/>
        <w:keepNext/>
        <w:spacing w:before="40" w:after="120" w:line="259" w:lineRule="auto"/>
        <w:jc w:val="both"/>
        <w:rPr>
          <w:rFonts w:eastAsia="Times New Roman" w:cs="Times New Roman"/>
          <w:noProof/>
        </w:rPr>
      </w:pPr>
      <w:r>
        <w:rPr>
          <w:noProof/>
        </w:rPr>
        <w:t>Cilj naložbe je pospešiti digitalizacijo storitev socialne varnosti, da bi postale uporabniku prijaznejše, spodbujati učinkovitost ter zajeziti goljufije in utaje.</w:t>
      </w:r>
    </w:p>
    <w:p w14:paraId="7A04F8FA" w14:textId="77777777" w:rsidR="00F24946" w:rsidRDefault="00613B06">
      <w:pPr>
        <w:pStyle w:val="P68B1DB1-Normal4"/>
        <w:keepNext/>
        <w:spacing w:before="40" w:after="120" w:line="259" w:lineRule="auto"/>
        <w:jc w:val="both"/>
        <w:rPr>
          <w:rFonts w:eastAsia="Times New Roman" w:cs="Times New Roman"/>
          <w:noProof/>
        </w:rPr>
      </w:pPr>
      <w:r>
        <w:rPr>
          <w:noProof/>
        </w:rPr>
        <w:t xml:space="preserve">Naložba je sestavljena iz korakov za: izboljšati zasnovo in organizacijo storitev socialne varnosti na podlagi nadgradnje osnovnih informacijskih sistemov na področjih socialnih prejemkov, socialnih prispevkov, preprečevanja goljufij, upravljanja informacij in plačilnih kanalov; (II) razviti in izvajati nov model odnosov, ki naj bi povezal različne kanale interakcije med državljani, podjetji in storitvami socialne varnosti s pristopom „omni-channel“; prilagoditev delovnih mest služb socialne varnosti, da se omogočijo prožnejše ureditve dela, kot je delo na daljavo; (IV) vzpostavitev infrastrukture informacijske tehnologije, ki temelji na rešitvah v oblaku, ki lahko podpirajo učinkovitost in interoperabilnost; ter v) pregled notranjih procesov in usposabljanje delavcev na področju socialne varnosti, da se podpre nemoteno izvajanje navedenih naložb in strukturnih sprememb. </w:t>
      </w:r>
    </w:p>
    <w:p w14:paraId="1A95DF4E" w14:textId="77777777" w:rsidR="00F24946" w:rsidRDefault="00613B06">
      <w:pPr>
        <w:pStyle w:val="P68B1DB1-Normal4"/>
        <w:spacing w:before="40" w:after="0" w:line="259" w:lineRule="auto"/>
        <w:jc w:val="both"/>
        <w:rPr>
          <w:rFonts w:eastAsia="Times New Roman" w:cs="Times New Roman"/>
          <w:noProof/>
        </w:rPr>
      </w:pPr>
      <w:r>
        <w:rPr>
          <w:noProof/>
        </w:rPr>
        <w:t>Naložba se izvede do 31. decembra 2025.</w:t>
      </w:r>
    </w:p>
    <w:p w14:paraId="4F1F38D4" w14:textId="399786BD" w:rsidR="00F24946" w:rsidRDefault="00613B06">
      <w:pPr>
        <w:pStyle w:val="P68B1DB1-Normal5"/>
        <w:keepNext/>
        <w:spacing w:before="240" w:after="0" w:line="259" w:lineRule="auto"/>
        <w:ind w:left="851"/>
        <w:jc w:val="both"/>
        <w:outlineLvl w:val="2"/>
        <w:rPr>
          <w:rFonts w:eastAsia="Times New Roman" w:cs="Times New Roman"/>
          <w:noProof/>
        </w:rPr>
      </w:pPr>
      <w:bookmarkStart w:id="32" w:name="_Toc137472472"/>
      <w:r>
        <w:rPr>
          <w:noProof/>
        </w:rPr>
        <w:t xml:space="preserve">Reforma TD-C17-r40: Poenostavitev davčnega sistema </w:t>
      </w:r>
      <w:bookmarkEnd w:id="32"/>
    </w:p>
    <w:p w14:paraId="7BD4017E" w14:textId="77777777" w:rsidR="00F24946" w:rsidRDefault="00613B06">
      <w:pPr>
        <w:spacing w:before="40" w:after="0" w:line="259" w:lineRule="auto"/>
        <w:jc w:val="both"/>
        <w:rPr>
          <w:rFonts w:ascii="Times New Roman" w:hAnsi="Times New Roman" w:cs="Times New Roman"/>
          <w:noProof/>
          <w:sz w:val="24"/>
        </w:rPr>
      </w:pPr>
      <w:r>
        <w:rPr>
          <w:rFonts w:ascii="Times New Roman" w:hAnsi="Times New Roman"/>
          <w:noProof/>
          <w:sz w:val="24"/>
        </w:rPr>
        <w:t>Cilj te reforme je izboljšati učinkovitost portugalskega davčnega sistema. Z reformo se uvede stalen sistem za dosledno spremljanje in ocenjevanje novih in obstoječih davčnih ugodnosti („</w:t>
      </w:r>
      <w:r>
        <w:rPr>
          <w:rFonts w:ascii="Times New Roman" w:hAnsi="Times New Roman"/>
          <w:i/>
          <w:noProof/>
          <w:sz w:val="24"/>
        </w:rPr>
        <w:t>benefícios fiscais</w:t>
      </w:r>
      <w:r>
        <w:rPr>
          <w:rFonts w:ascii="Times New Roman" w:hAnsi="Times New Roman"/>
          <w:noProof/>
          <w:sz w:val="24"/>
        </w:rPr>
        <w:t>“)</w:t>
      </w:r>
      <w:r>
        <w:rPr>
          <w:rStyle w:val="FootnoteReference"/>
          <w:rFonts w:ascii="Times New Roman" w:hAnsi="Times New Roman" w:cs="Times New Roman"/>
          <w:noProof/>
          <w:sz w:val="24"/>
        </w:rPr>
        <w:footnoteReference w:id="76"/>
      </w:r>
      <w:r>
        <w:rPr>
          <w:rFonts w:ascii="Times New Roman" w:hAnsi="Times New Roman"/>
          <w:noProof/>
          <w:sz w:val="24"/>
        </w:rPr>
        <w:t>. To bo privedlo do poenostavitve obstoječega okvira z zmanjšanjem števila davčnih ugodnosti, zmanjšanjem z njimi povezanih davčnih odhodkov („</w:t>
      </w:r>
      <w:r>
        <w:rPr>
          <w:rFonts w:ascii="Times New Roman" w:hAnsi="Times New Roman"/>
          <w:i/>
          <w:noProof/>
          <w:sz w:val="24"/>
        </w:rPr>
        <w:t>despesas fiscais</w:t>
      </w:r>
      <w:r>
        <w:rPr>
          <w:rFonts w:ascii="Times New Roman" w:hAnsi="Times New Roman"/>
          <w:noProof/>
          <w:sz w:val="24"/>
        </w:rPr>
        <w:t>“) in krepitvijo stroškovne učinkovitosti tistih davčnih ugodnosti, ki ostajajo.</w:t>
      </w:r>
    </w:p>
    <w:p w14:paraId="0F4A2EDF" w14:textId="77777777" w:rsidR="00F24946" w:rsidRDefault="00613B06">
      <w:pPr>
        <w:pStyle w:val="P68B1DB1-Normal4"/>
        <w:spacing w:before="40" w:after="0" w:line="259" w:lineRule="auto"/>
        <w:jc w:val="both"/>
        <w:rPr>
          <w:rFonts w:eastAsia="@MS Mincho" w:cs="Times New Roman"/>
          <w:noProof/>
        </w:rPr>
      </w:pPr>
      <w:r>
        <w:rPr>
          <w:noProof/>
        </w:rPr>
        <w:t>Reformo sestavlja pravni akt o ustanovitvi stalne tehnične enote za davčno politiko (</w:t>
      </w:r>
      <w:r>
        <w:rPr>
          <w:i/>
          <w:noProof/>
        </w:rPr>
        <w:t>Unidade Técnica de Avaliação Tributária e Aduaneira</w:t>
      </w:r>
      <w:r>
        <w:rPr>
          <w:noProof/>
        </w:rPr>
        <w:t xml:space="preserve">, znana tudi kot U-TAX), katere naloga je sistematično spremljati in ocenjevati nove in obstoječe davčne ugodnosti ter prispevati k oblikovanju, izvajanju in oceni učinka davčnih politik. Enota za davčno politiko prispeva tudi k pripravi pravnih aktov na področju obdavčitve v sodelovanju z drugimi ustreznimi subjekti, kot je </w:t>
      </w:r>
      <w:r>
        <w:rPr>
          <w:i/>
          <w:noProof/>
        </w:rPr>
        <w:t xml:space="preserve">Centro de Estudos Fiscais e Aduaneiros ( </w:t>
      </w:r>
      <w:r>
        <w:rPr>
          <w:noProof/>
        </w:rPr>
        <w:t>CEF). Pravni akt določa formalno strukturo U-TAX, vključno z njegovo organizacijsko shemo, delovanjem in nalogami. U-TAX je tehnično neodvisen od davčne in carinske uprave in neposredno odgovarja ministrstvu za finance. U-TAX sestavlja stalno tehnično osebje s strokovnim znanjem s področja davčnih politik. Pravni akt opredeljuje tudi formalne interakcije med U-TAX ter drugimi ustreznimi javnimi in zasebnimi subjekti kot raziskovalnimi in akademskimi ustanovami ter določa opredelitev sporazumov o souporabi podatkov med U-TAX in ustreznimi javnimi subjekti, kot sta davčni in carinski organ ter portugalski statistični urad (INE). Pravni akt zagotavlja tudi zavezo U-TAX glede kakovosti in preglednosti njegovih analitičnih poročil ter ohranjanja standardov kakovosti podatkov. Ta enota za davčno politiko objavi ocenjevalno poročilo z analizo stroškov in koristi obstoječih davčnih ugodnosti z merili učinkovitosti in uspešnosti ter okoljskimi vidiki. Na podlagi te ocene se izvede revizija pravnega okvira znatnega sklopa davčnih ugodnosti.</w:t>
      </w:r>
    </w:p>
    <w:p w14:paraId="6901A2AB" w14:textId="77777777" w:rsidR="00F24946" w:rsidRDefault="00613B06">
      <w:pPr>
        <w:pStyle w:val="P68B1DB1-Normal4"/>
        <w:spacing w:before="40" w:after="0" w:line="259" w:lineRule="auto"/>
        <w:jc w:val="both"/>
        <w:rPr>
          <w:rFonts w:cs="Times New Roman"/>
          <w:noProof/>
        </w:rPr>
      </w:pPr>
      <w:r>
        <w:rPr>
          <w:noProof/>
        </w:rPr>
        <w:t>Ta reforma se izvede do 31. marca 2026.</w:t>
      </w:r>
    </w:p>
    <w:p w14:paraId="282DA7C3" w14:textId="77777777" w:rsidR="00F24946" w:rsidRDefault="00F24946">
      <w:pPr>
        <w:spacing w:before="40" w:after="0" w:line="259" w:lineRule="auto"/>
        <w:jc w:val="both"/>
        <w:rPr>
          <w:rFonts w:ascii="Times New Roman" w:eastAsia="Times New Roman" w:hAnsi="Times New Roman" w:cs="Times New Roman"/>
          <w:noProof/>
          <w:sz w:val="24"/>
        </w:rPr>
      </w:pPr>
    </w:p>
    <w:p w14:paraId="03613E4E" w14:textId="75A6C9BA" w:rsidR="00F24946" w:rsidRDefault="00F24946">
      <w:pPr>
        <w:spacing w:before="40" w:after="0" w:line="259" w:lineRule="auto"/>
        <w:jc w:val="both"/>
        <w:rPr>
          <w:rFonts w:ascii="Times New Roman" w:eastAsia="Times New Roman" w:hAnsi="Times New Roman" w:cs="Times New Roman"/>
          <w:noProof/>
          <w:sz w:val="24"/>
        </w:rPr>
        <w:sectPr w:rsidR="00F24946" w:rsidSect="00E00EDD">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p w14:paraId="449FF56D"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Q.2. Mejniki, cilji, kazalniki in časovni razpored za spremljanje in izvajanje nepovratne finančne podpore Naslednje;</w:t>
      </w:r>
    </w:p>
    <w:p w14:paraId="47972E30"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52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036"/>
        <w:gridCol w:w="1161"/>
        <w:gridCol w:w="1034"/>
        <w:gridCol w:w="1539"/>
        <w:gridCol w:w="1356"/>
        <w:gridCol w:w="909"/>
        <w:gridCol w:w="908"/>
        <w:gridCol w:w="657"/>
        <w:gridCol w:w="530"/>
        <w:gridCol w:w="656"/>
        <w:gridCol w:w="5456"/>
      </w:tblGrid>
      <w:tr w:rsidR="00F24946" w14:paraId="0CC744D9" w14:textId="77777777">
        <w:trPr>
          <w:trHeight w:val="910"/>
          <w:tblHeader/>
        </w:trPr>
        <w:tc>
          <w:tcPr>
            <w:tcW w:w="1043" w:type="dxa"/>
            <w:gridSpan w:val="2"/>
            <w:vMerge w:val="restart"/>
            <w:shd w:val="clear" w:color="auto" w:fill="BDD6EE"/>
            <w:vAlign w:val="center"/>
            <w:hideMark/>
          </w:tcPr>
          <w:p w14:paraId="0DD3CE3E"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161" w:type="dxa"/>
            <w:vMerge w:val="restart"/>
            <w:shd w:val="clear" w:color="auto" w:fill="BDD6EE"/>
            <w:vAlign w:val="center"/>
            <w:hideMark/>
          </w:tcPr>
          <w:p w14:paraId="119BDC18"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034" w:type="dxa"/>
            <w:vMerge w:val="restart"/>
            <w:shd w:val="clear" w:color="auto" w:fill="BDD6EE"/>
            <w:vAlign w:val="center"/>
            <w:hideMark/>
          </w:tcPr>
          <w:p w14:paraId="68B0DBF9" w14:textId="77777777" w:rsidR="00F24946" w:rsidRDefault="00613B06">
            <w:pPr>
              <w:pStyle w:val="P68B1DB1-Normal6"/>
              <w:spacing w:after="0" w:line="240" w:lineRule="auto"/>
              <w:jc w:val="center"/>
              <w:rPr>
                <w:rFonts w:eastAsia="Times New Roman" w:cs="Times New Roman"/>
                <w:noProof/>
              </w:rPr>
            </w:pPr>
            <w:r>
              <w:rPr>
                <w:noProof/>
              </w:rPr>
              <w:t>Mejnik/</w:t>
            </w:r>
          </w:p>
          <w:p w14:paraId="235747B5" w14:textId="63F3C043" w:rsidR="00F24946" w:rsidRDefault="00613B06">
            <w:pPr>
              <w:pStyle w:val="P68B1DB1-Normal6"/>
              <w:spacing w:after="0" w:line="240" w:lineRule="auto"/>
              <w:jc w:val="center"/>
              <w:rPr>
                <w:rFonts w:eastAsia="Times New Roman" w:cs="Times New Roman"/>
                <w:noProof/>
              </w:rPr>
            </w:pPr>
            <w:r>
              <w:rPr>
                <w:noProof/>
              </w:rPr>
              <w:t>Tarča</w:t>
            </w:r>
          </w:p>
        </w:tc>
        <w:tc>
          <w:tcPr>
            <w:tcW w:w="1539" w:type="dxa"/>
            <w:vMerge w:val="restart"/>
            <w:shd w:val="clear" w:color="auto" w:fill="BDD6EE"/>
            <w:vAlign w:val="center"/>
            <w:hideMark/>
          </w:tcPr>
          <w:p w14:paraId="6666AD10" w14:textId="77777777" w:rsidR="00F24946" w:rsidRDefault="00613B06">
            <w:pPr>
              <w:pStyle w:val="P68B1DB1-Normal6"/>
              <w:spacing w:after="0" w:line="240" w:lineRule="auto"/>
              <w:jc w:val="center"/>
              <w:rPr>
                <w:rFonts w:eastAsia="Times New Roman" w:cs="Times New Roman"/>
                <w:noProof/>
              </w:rPr>
            </w:pPr>
            <w:r>
              <w:rPr>
                <w:noProof/>
              </w:rPr>
              <w:t>Ime</w:t>
            </w:r>
          </w:p>
        </w:tc>
        <w:tc>
          <w:tcPr>
            <w:tcW w:w="1356" w:type="dxa"/>
            <w:vMerge w:val="restart"/>
            <w:shd w:val="clear" w:color="auto" w:fill="BDD6EE"/>
            <w:vAlign w:val="center"/>
            <w:hideMark/>
          </w:tcPr>
          <w:p w14:paraId="0C0A3581"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474" w:type="dxa"/>
            <w:gridSpan w:val="3"/>
            <w:shd w:val="clear" w:color="auto" w:fill="BDD6EE"/>
            <w:vAlign w:val="center"/>
            <w:hideMark/>
          </w:tcPr>
          <w:p w14:paraId="7EB33E8C"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186" w:type="dxa"/>
            <w:gridSpan w:val="2"/>
            <w:shd w:val="clear" w:color="auto" w:fill="BDD6EE"/>
            <w:vAlign w:val="center"/>
            <w:hideMark/>
          </w:tcPr>
          <w:p w14:paraId="3D7372E7"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5456" w:type="dxa"/>
            <w:vMerge w:val="restart"/>
            <w:shd w:val="clear" w:color="auto" w:fill="BDD6EE"/>
            <w:noWrap/>
            <w:vAlign w:val="center"/>
            <w:hideMark/>
          </w:tcPr>
          <w:p w14:paraId="110BCD14"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26D58C7B" w14:textId="77777777">
        <w:trPr>
          <w:trHeight w:val="521"/>
          <w:tblHeader/>
        </w:trPr>
        <w:tc>
          <w:tcPr>
            <w:tcW w:w="1043" w:type="dxa"/>
            <w:gridSpan w:val="2"/>
            <w:vMerge/>
            <w:vAlign w:val="center"/>
          </w:tcPr>
          <w:p w14:paraId="0A90FC04" w14:textId="77777777" w:rsidR="00F24946" w:rsidRDefault="00F24946">
            <w:pPr>
              <w:spacing w:after="0" w:line="240" w:lineRule="auto"/>
              <w:jc w:val="center"/>
              <w:rPr>
                <w:rFonts w:ascii="Calibri" w:eastAsia="Times New Roman" w:hAnsi="Calibri" w:cs="Calibri"/>
                <w:b/>
                <w:noProof/>
                <w:sz w:val="16"/>
              </w:rPr>
            </w:pPr>
          </w:p>
        </w:tc>
        <w:tc>
          <w:tcPr>
            <w:tcW w:w="1161" w:type="dxa"/>
            <w:vMerge/>
            <w:noWrap/>
            <w:vAlign w:val="center"/>
          </w:tcPr>
          <w:p w14:paraId="7720E5AA" w14:textId="77777777" w:rsidR="00F24946" w:rsidRDefault="00F24946">
            <w:pPr>
              <w:spacing w:after="0" w:line="240" w:lineRule="auto"/>
              <w:jc w:val="center"/>
              <w:rPr>
                <w:rFonts w:ascii="Calibri" w:eastAsia="Times New Roman" w:hAnsi="Calibri" w:cs="Calibri"/>
                <w:noProof/>
                <w:sz w:val="16"/>
              </w:rPr>
            </w:pPr>
          </w:p>
        </w:tc>
        <w:tc>
          <w:tcPr>
            <w:tcW w:w="1034" w:type="dxa"/>
            <w:vMerge/>
            <w:noWrap/>
            <w:vAlign w:val="center"/>
          </w:tcPr>
          <w:p w14:paraId="44179E26" w14:textId="77777777" w:rsidR="00F24946" w:rsidRDefault="00F24946">
            <w:pPr>
              <w:spacing w:after="0" w:line="240" w:lineRule="auto"/>
              <w:jc w:val="center"/>
              <w:rPr>
                <w:rFonts w:ascii="Calibri" w:eastAsia="Times New Roman" w:hAnsi="Calibri" w:cs="Calibri"/>
                <w:noProof/>
                <w:sz w:val="16"/>
              </w:rPr>
            </w:pPr>
          </w:p>
        </w:tc>
        <w:tc>
          <w:tcPr>
            <w:tcW w:w="1539" w:type="dxa"/>
            <w:vMerge/>
            <w:noWrap/>
            <w:vAlign w:val="center"/>
          </w:tcPr>
          <w:p w14:paraId="591AE727" w14:textId="77777777" w:rsidR="00F24946" w:rsidRDefault="00F24946">
            <w:pPr>
              <w:spacing w:after="0" w:line="240" w:lineRule="auto"/>
              <w:jc w:val="center"/>
              <w:rPr>
                <w:rFonts w:ascii="Calibri" w:eastAsia="Times New Roman" w:hAnsi="Calibri" w:cs="Calibri"/>
                <w:noProof/>
                <w:sz w:val="16"/>
              </w:rPr>
            </w:pPr>
          </w:p>
        </w:tc>
        <w:tc>
          <w:tcPr>
            <w:tcW w:w="1356" w:type="dxa"/>
            <w:vMerge/>
            <w:noWrap/>
            <w:vAlign w:val="center"/>
          </w:tcPr>
          <w:p w14:paraId="7822AAB7" w14:textId="77777777" w:rsidR="00F24946" w:rsidRDefault="00F24946">
            <w:pPr>
              <w:spacing w:after="0" w:line="240" w:lineRule="auto"/>
              <w:jc w:val="center"/>
              <w:rPr>
                <w:rFonts w:ascii="Calibri" w:eastAsia="Times New Roman" w:hAnsi="Calibri" w:cs="Calibri"/>
                <w:noProof/>
                <w:sz w:val="16"/>
              </w:rPr>
            </w:pPr>
          </w:p>
        </w:tc>
        <w:tc>
          <w:tcPr>
            <w:tcW w:w="909" w:type="dxa"/>
            <w:shd w:val="clear" w:color="auto" w:fill="BDD6EE"/>
            <w:noWrap/>
            <w:vAlign w:val="center"/>
          </w:tcPr>
          <w:p w14:paraId="64FC2FBB" w14:textId="4031209A" w:rsidR="00F24946" w:rsidRDefault="00613B06">
            <w:pPr>
              <w:pStyle w:val="P68B1DB1-Normal6"/>
              <w:spacing w:after="0" w:line="240" w:lineRule="auto"/>
              <w:jc w:val="center"/>
              <w:rPr>
                <w:rFonts w:ascii="Calibri" w:eastAsia="Times New Roman" w:hAnsi="Calibri" w:cs="Calibri"/>
                <w:noProof/>
                <w:sz w:val="16"/>
              </w:rPr>
            </w:pPr>
            <w:r>
              <w:rPr>
                <w:noProof/>
              </w:rPr>
              <w:t>Merska enota</w:t>
            </w:r>
          </w:p>
        </w:tc>
        <w:tc>
          <w:tcPr>
            <w:tcW w:w="908" w:type="dxa"/>
            <w:shd w:val="clear" w:color="auto" w:fill="BDD6EE"/>
            <w:noWrap/>
            <w:vAlign w:val="center"/>
          </w:tcPr>
          <w:p w14:paraId="39BFFF83" w14:textId="07A9DA21" w:rsidR="00F24946" w:rsidRDefault="00613B06">
            <w:pPr>
              <w:pStyle w:val="P68B1DB1-Normal6"/>
              <w:spacing w:after="0" w:line="240" w:lineRule="auto"/>
              <w:jc w:val="center"/>
              <w:rPr>
                <w:rFonts w:ascii="Calibri" w:eastAsia="Times New Roman" w:hAnsi="Calibri" w:cs="Calibri"/>
                <w:noProof/>
                <w:sz w:val="16"/>
              </w:rPr>
            </w:pPr>
            <w:r>
              <w:rPr>
                <w:noProof/>
              </w:rPr>
              <w:t>Izhodišče</w:t>
            </w:r>
          </w:p>
        </w:tc>
        <w:tc>
          <w:tcPr>
            <w:tcW w:w="657" w:type="dxa"/>
            <w:shd w:val="clear" w:color="auto" w:fill="BDD6EE"/>
            <w:noWrap/>
            <w:vAlign w:val="center"/>
          </w:tcPr>
          <w:p w14:paraId="15BA119E" w14:textId="139D46FC" w:rsidR="00F24946" w:rsidRDefault="00613B06">
            <w:pPr>
              <w:pStyle w:val="P68B1DB1-Normal6"/>
              <w:spacing w:after="0" w:line="240" w:lineRule="auto"/>
              <w:jc w:val="center"/>
              <w:rPr>
                <w:rFonts w:ascii="Calibri" w:eastAsia="Times New Roman" w:hAnsi="Calibri" w:cs="Calibri"/>
                <w:noProof/>
                <w:sz w:val="16"/>
              </w:rPr>
            </w:pPr>
            <w:r>
              <w:rPr>
                <w:noProof/>
              </w:rPr>
              <w:t>Cilj</w:t>
            </w:r>
          </w:p>
        </w:tc>
        <w:tc>
          <w:tcPr>
            <w:tcW w:w="530" w:type="dxa"/>
            <w:shd w:val="clear" w:color="auto" w:fill="BDD6EE"/>
            <w:noWrap/>
            <w:vAlign w:val="center"/>
          </w:tcPr>
          <w:p w14:paraId="1E42A9C0" w14:textId="475D06D5" w:rsidR="00F24946" w:rsidRDefault="00613B06">
            <w:pPr>
              <w:pStyle w:val="P68B1DB1-Normal6"/>
              <w:spacing w:after="0" w:line="240" w:lineRule="auto"/>
              <w:jc w:val="center"/>
              <w:rPr>
                <w:rFonts w:ascii="Calibri" w:eastAsia="Times New Roman" w:hAnsi="Calibri" w:cs="Calibri"/>
                <w:noProof/>
                <w:sz w:val="16"/>
              </w:rPr>
            </w:pPr>
            <w:r>
              <w:rPr>
                <w:noProof/>
              </w:rPr>
              <w:t>Q</w:t>
            </w:r>
          </w:p>
        </w:tc>
        <w:tc>
          <w:tcPr>
            <w:tcW w:w="656" w:type="dxa"/>
            <w:shd w:val="clear" w:color="auto" w:fill="BDD6EE"/>
            <w:noWrap/>
            <w:vAlign w:val="center"/>
          </w:tcPr>
          <w:p w14:paraId="7E76EBEF" w14:textId="6888EA5F" w:rsidR="00F24946" w:rsidRDefault="00613B06">
            <w:pPr>
              <w:pStyle w:val="P68B1DB1-Normal6"/>
              <w:spacing w:after="0" w:line="240" w:lineRule="auto"/>
              <w:jc w:val="center"/>
              <w:rPr>
                <w:rFonts w:ascii="Calibri" w:eastAsia="Times New Roman" w:hAnsi="Calibri" w:cs="Calibri"/>
                <w:noProof/>
                <w:sz w:val="16"/>
              </w:rPr>
            </w:pPr>
            <w:r>
              <w:rPr>
                <w:noProof/>
              </w:rPr>
              <w:t>Leto</w:t>
            </w:r>
          </w:p>
        </w:tc>
        <w:tc>
          <w:tcPr>
            <w:tcW w:w="5456" w:type="dxa"/>
            <w:vMerge/>
            <w:noWrap/>
            <w:vAlign w:val="center"/>
          </w:tcPr>
          <w:p w14:paraId="33463114" w14:textId="77777777" w:rsidR="00F24946" w:rsidRDefault="00F24946">
            <w:pPr>
              <w:spacing w:after="0" w:line="240" w:lineRule="auto"/>
              <w:jc w:val="both"/>
              <w:rPr>
                <w:rFonts w:ascii="Calibri" w:eastAsia="Times New Roman" w:hAnsi="Calibri" w:cs="Calibri"/>
                <w:noProof/>
                <w:sz w:val="16"/>
              </w:rPr>
            </w:pPr>
          </w:p>
        </w:tc>
      </w:tr>
      <w:tr w:rsidR="00F24946" w14:paraId="7694BA31" w14:textId="77777777">
        <w:trPr>
          <w:trHeight w:val="850"/>
        </w:trPr>
        <w:tc>
          <w:tcPr>
            <w:tcW w:w="1043" w:type="dxa"/>
            <w:gridSpan w:val="2"/>
            <w:shd w:val="clear" w:color="auto" w:fill="C4EFCE"/>
            <w:vAlign w:val="center"/>
            <w:hideMark/>
          </w:tcPr>
          <w:p w14:paraId="3E3FBA2E" w14:textId="77777777" w:rsidR="00F24946" w:rsidRDefault="00613B06">
            <w:pPr>
              <w:pStyle w:val="P68B1DB1-Normal7"/>
              <w:spacing w:after="0" w:line="240" w:lineRule="auto"/>
              <w:jc w:val="center"/>
              <w:rPr>
                <w:rFonts w:eastAsia="Times New Roman" w:cs="Calibri"/>
                <w:noProof/>
              </w:rPr>
            </w:pPr>
            <w:r>
              <w:rPr>
                <w:noProof/>
              </w:rPr>
              <w:t>17.1</w:t>
            </w:r>
          </w:p>
        </w:tc>
        <w:tc>
          <w:tcPr>
            <w:tcW w:w="1161" w:type="dxa"/>
            <w:shd w:val="clear" w:color="auto" w:fill="C4EFCE"/>
            <w:noWrap/>
            <w:vAlign w:val="center"/>
            <w:hideMark/>
          </w:tcPr>
          <w:p w14:paraId="2DD63E92"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F2B21F0"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4C19ED3" w14:textId="77777777" w:rsidR="00F24946" w:rsidRDefault="00613B06">
            <w:pPr>
              <w:pStyle w:val="P68B1DB1-Normal8"/>
              <w:spacing w:after="0" w:line="240" w:lineRule="auto"/>
              <w:jc w:val="center"/>
              <w:rPr>
                <w:rFonts w:eastAsia="Times New Roman" w:cs="Calibri"/>
                <w:noProof/>
              </w:rPr>
            </w:pPr>
            <w:r>
              <w:rPr>
                <w:noProof/>
              </w:rPr>
              <w:t>Dokončati zasnovo in izvajanje novih modelov javnega naročanja za nacionalni osrednji sistem javnega naročanja, kot je predvideno v strateškem načrtu za obdobje 2020–2023 subjekta za skupne storitve javne uprave;</w:t>
            </w:r>
          </w:p>
        </w:tc>
        <w:tc>
          <w:tcPr>
            <w:tcW w:w="1356" w:type="dxa"/>
            <w:shd w:val="clear" w:color="auto" w:fill="C4EFCE"/>
            <w:noWrap/>
            <w:vAlign w:val="center"/>
            <w:hideMark/>
          </w:tcPr>
          <w:p w14:paraId="12F6C5B1" w14:textId="77777777" w:rsidR="00F24946" w:rsidRDefault="00613B06">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200AE441"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5CE359FE" w14:textId="77777777" w:rsidR="00F24946" w:rsidRDefault="00613B06">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190050F3" w14:textId="77777777" w:rsidR="00F24946" w:rsidRDefault="00613B06">
            <w:pPr>
              <w:pStyle w:val="P68B1DB1-Normal8"/>
              <w:spacing w:after="0" w:line="240" w:lineRule="auto"/>
              <w:jc w:val="center"/>
              <w:rPr>
                <w:rFonts w:eastAsia="Times New Roman" w:cs="Calibri"/>
                <w:noProof/>
              </w:rPr>
            </w:pPr>
            <w:r>
              <w:rPr>
                <w:noProof/>
              </w:rPr>
              <w:t>10</w:t>
            </w:r>
          </w:p>
        </w:tc>
        <w:tc>
          <w:tcPr>
            <w:tcW w:w="530" w:type="dxa"/>
            <w:shd w:val="clear" w:color="auto" w:fill="C4EFCE"/>
            <w:noWrap/>
            <w:vAlign w:val="center"/>
            <w:hideMark/>
          </w:tcPr>
          <w:p w14:paraId="3C2E2E6E"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52B7F59F" w14:textId="77777777" w:rsidR="00F24946" w:rsidRDefault="00613B06">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7656AF6C" w14:textId="77777777" w:rsidR="00F24946" w:rsidRDefault="00613B06">
            <w:pPr>
              <w:pStyle w:val="P68B1DB1-Normal8"/>
              <w:spacing w:after="0" w:line="240" w:lineRule="auto"/>
              <w:jc w:val="both"/>
              <w:rPr>
                <w:rFonts w:eastAsia="Times New Roman" w:cs="Calibri"/>
                <w:noProof/>
              </w:rPr>
            </w:pPr>
            <w:r>
              <w:rPr>
                <w:noProof/>
              </w:rPr>
              <w:t>Število revidiranih okvirnih sporazumov in modelov sklepanja pogodb, da se: spodbuja upravno poenostavitev; (II) okrepitev mehanizmov spremljanja in nadzora; III) spodbujanje stroškovne učinkovitosti in racionalizacije; IV) razširitev seznama blaga in storitev, ki so predmet centraliziranega javnega naročanja; in v) spodbuja sodelovanje med notranjimi in zunanjimi deležniki.</w:t>
            </w:r>
          </w:p>
        </w:tc>
      </w:tr>
      <w:tr w:rsidR="00F24946" w14:paraId="5D6E4B31" w14:textId="77777777">
        <w:trPr>
          <w:trHeight w:val="640"/>
        </w:trPr>
        <w:tc>
          <w:tcPr>
            <w:tcW w:w="1043" w:type="dxa"/>
            <w:gridSpan w:val="2"/>
            <w:shd w:val="clear" w:color="auto" w:fill="C4EFCE"/>
            <w:vAlign w:val="center"/>
            <w:hideMark/>
          </w:tcPr>
          <w:p w14:paraId="42B7E2A9" w14:textId="77777777" w:rsidR="00F24946" w:rsidRDefault="00613B06">
            <w:pPr>
              <w:pStyle w:val="P68B1DB1-Normal7"/>
              <w:spacing w:after="0" w:line="240" w:lineRule="auto"/>
              <w:jc w:val="center"/>
              <w:rPr>
                <w:rFonts w:eastAsia="Times New Roman" w:cs="Calibri"/>
                <w:noProof/>
              </w:rPr>
            </w:pPr>
            <w:r>
              <w:rPr>
                <w:noProof/>
              </w:rPr>
              <w:t>17.2</w:t>
            </w:r>
          </w:p>
        </w:tc>
        <w:tc>
          <w:tcPr>
            <w:tcW w:w="1161" w:type="dxa"/>
            <w:shd w:val="clear" w:color="auto" w:fill="C4EFCE"/>
            <w:noWrap/>
            <w:vAlign w:val="center"/>
            <w:hideMark/>
          </w:tcPr>
          <w:p w14:paraId="237F46C9"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64CB5B3E"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8784BA3" w14:textId="77777777" w:rsidR="00F24946" w:rsidRDefault="00613B06">
            <w:pPr>
              <w:pStyle w:val="P68B1DB1-Normal8"/>
              <w:spacing w:after="0" w:line="240" w:lineRule="auto"/>
              <w:jc w:val="center"/>
              <w:rPr>
                <w:rFonts w:eastAsia="Times New Roman" w:cs="Calibri"/>
                <w:noProof/>
              </w:rPr>
            </w:pPr>
            <w:r>
              <w:rPr>
                <w:noProof/>
              </w:rPr>
              <w:t>Začetek veljavnosti zakonodaje, na kateri temelji državni računovodski subjekt</w:t>
            </w:r>
          </w:p>
        </w:tc>
        <w:tc>
          <w:tcPr>
            <w:tcW w:w="1356" w:type="dxa"/>
            <w:shd w:val="clear" w:color="auto" w:fill="C4EFCE"/>
            <w:noWrap/>
            <w:vAlign w:val="center"/>
            <w:hideMark/>
          </w:tcPr>
          <w:p w14:paraId="69FA9E8E" w14:textId="77777777" w:rsidR="00F24946" w:rsidRDefault="00613B06">
            <w:pPr>
              <w:pStyle w:val="P68B1DB1-Normal8"/>
              <w:spacing w:after="0" w:line="240" w:lineRule="auto"/>
              <w:jc w:val="center"/>
              <w:rPr>
                <w:rFonts w:eastAsia="Times New Roman" w:cs="Calibri"/>
                <w:noProof/>
              </w:rPr>
            </w:pPr>
            <w:r>
              <w:rPr>
                <w:noProof/>
              </w:rPr>
              <w:t>Začetek veljavnosti zakonodaje, na kateri temelji državni računovodski subjekt</w:t>
            </w:r>
          </w:p>
        </w:tc>
        <w:tc>
          <w:tcPr>
            <w:tcW w:w="909" w:type="dxa"/>
            <w:shd w:val="clear" w:color="auto" w:fill="C4EFCE"/>
            <w:noWrap/>
            <w:vAlign w:val="center"/>
            <w:hideMark/>
          </w:tcPr>
          <w:p w14:paraId="4EA18E78"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26E3661D"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7CD13C2D"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1FE7BCB"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1ADFCE86" w14:textId="77777777" w:rsidR="00F24946" w:rsidRDefault="00613B06">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1702B1DE" w14:textId="77777777" w:rsidR="00F24946" w:rsidRDefault="00613B06">
            <w:pPr>
              <w:pStyle w:val="P68B1DB1-Normal8"/>
              <w:spacing w:after="0" w:line="240" w:lineRule="auto"/>
              <w:jc w:val="both"/>
              <w:rPr>
                <w:rFonts w:eastAsia="Times New Roman" w:cs="Calibri"/>
                <w:noProof/>
              </w:rPr>
            </w:pPr>
            <w:r>
              <w:rPr>
                <w:noProof/>
              </w:rPr>
              <w:t>Začetek veljavnosti sekundarne zakonodaje (in/ali upravnih smernic), ki ureja, katere posebne postavke prihodkov in odhodkov se vključijo v proračun državnega računovodskega subjekta, ob popolnem upoštevanju členov 49 in 55 zakona o proračunskem okviru za leto 2015.</w:t>
            </w:r>
          </w:p>
        </w:tc>
      </w:tr>
      <w:tr w:rsidR="00F24946" w14:paraId="2670F13A" w14:textId="77777777">
        <w:trPr>
          <w:trHeight w:val="640"/>
        </w:trPr>
        <w:tc>
          <w:tcPr>
            <w:tcW w:w="1043" w:type="dxa"/>
            <w:gridSpan w:val="2"/>
            <w:shd w:val="clear" w:color="auto" w:fill="C4EFCE"/>
            <w:vAlign w:val="center"/>
            <w:hideMark/>
          </w:tcPr>
          <w:p w14:paraId="6B4783D2" w14:textId="77777777" w:rsidR="00F24946" w:rsidRDefault="00613B06">
            <w:pPr>
              <w:pStyle w:val="P68B1DB1-Normal7"/>
              <w:spacing w:after="0" w:line="240" w:lineRule="auto"/>
              <w:jc w:val="center"/>
              <w:rPr>
                <w:rFonts w:eastAsia="Times New Roman" w:cs="Calibri"/>
                <w:noProof/>
              </w:rPr>
            </w:pPr>
            <w:r>
              <w:rPr>
                <w:noProof/>
              </w:rPr>
              <w:t>17.3</w:t>
            </w:r>
          </w:p>
        </w:tc>
        <w:tc>
          <w:tcPr>
            <w:tcW w:w="1161" w:type="dxa"/>
            <w:shd w:val="clear" w:color="auto" w:fill="C4EFCE"/>
            <w:noWrap/>
            <w:vAlign w:val="center"/>
            <w:hideMark/>
          </w:tcPr>
          <w:p w14:paraId="3198F425"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53DAF5CC"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148275" w14:textId="77777777" w:rsidR="00F24946" w:rsidRDefault="00613B06">
            <w:pPr>
              <w:pStyle w:val="P68B1DB1-Normal8"/>
              <w:spacing w:after="0" w:line="240" w:lineRule="auto"/>
              <w:jc w:val="center"/>
              <w:rPr>
                <w:rFonts w:eastAsia="Times New Roman" w:cs="Calibri"/>
                <w:noProof/>
              </w:rPr>
            </w:pPr>
            <w:r>
              <w:rPr>
                <w:noProof/>
              </w:rPr>
              <w:t>Dokončanje in odobritev modela za spremljanje izvrševanja proračuna in finančnega izvrševanja sektorja država</w:t>
            </w:r>
          </w:p>
        </w:tc>
        <w:tc>
          <w:tcPr>
            <w:tcW w:w="1356" w:type="dxa"/>
            <w:shd w:val="clear" w:color="auto" w:fill="C4EFCE"/>
            <w:noWrap/>
            <w:vAlign w:val="center"/>
            <w:hideMark/>
          </w:tcPr>
          <w:p w14:paraId="37DD72D5" w14:textId="77777777" w:rsidR="00F24946" w:rsidRDefault="00613B06">
            <w:pPr>
              <w:pStyle w:val="P68B1DB1-Normal8"/>
              <w:spacing w:after="0" w:line="240" w:lineRule="auto"/>
              <w:jc w:val="center"/>
              <w:rPr>
                <w:rFonts w:eastAsia="Times New Roman" w:cs="Calibri"/>
                <w:noProof/>
              </w:rPr>
            </w:pPr>
            <w:r>
              <w:rPr>
                <w:noProof/>
              </w:rPr>
              <w:t>Dokončanje in odobritev modela za spremljanje izvrševanja proračuna in finančnega izvrševanja sektorja država</w:t>
            </w:r>
          </w:p>
        </w:tc>
        <w:tc>
          <w:tcPr>
            <w:tcW w:w="909" w:type="dxa"/>
            <w:shd w:val="clear" w:color="auto" w:fill="C4EFCE"/>
            <w:noWrap/>
            <w:vAlign w:val="center"/>
            <w:hideMark/>
          </w:tcPr>
          <w:p w14:paraId="458B3549"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881E8B"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690878FC"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516481F"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42D9884E" w14:textId="77777777" w:rsidR="00F24946" w:rsidRDefault="00613B06">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2E4EF746" w14:textId="77777777" w:rsidR="00F24946" w:rsidRDefault="00613B06">
            <w:pPr>
              <w:pStyle w:val="P68B1DB1-Normal8"/>
              <w:spacing w:after="0" w:line="240" w:lineRule="auto"/>
              <w:jc w:val="both"/>
              <w:rPr>
                <w:rFonts w:eastAsia="Times New Roman" w:cs="Calibri"/>
                <w:noProof/>
              </w:rPr>
            </w:pPr>
            <w:r>
              <w:rPr>
                <w:noProof/>
              </w:rPr>
              <w:t xml:space="preserve">Dokončanje in odobritev modela za nadzor in spremljanje izvrševanja proračuna in finančnega izvrševanja sektorja država s strani ministrstva za finance ob popolnem upoštevanju določb zakona o proračunskem okviru za leto 2015 in načel računovodskega standarda za javno upravo na podlagi nastanka poslovnega dogodka. </w:t>
            </w:r>
          </w:p>
        </w:tc>
      </w:tr>
      <w:tr w:rsidR="00F24946" w14:paraId="5A197FDC" w14:textId="77777777">
        <w:trPr>
          <w:trHeight w:val="640"/>
        </w:trPr>
        <w:tc>
          <w:tcPr>
            <w:tcW w:w="1043" w:type="dxa"/>
            <w:gridSpan w:val="2"/>
            <w:shd w:val="clear" w:color="auto" w:fill="C4EFCE"/>
            <w:vAlign w:val="center"/>
            <w:hideMark/>
          </w:tcPr>
          <w:p w14:paraId="55E30BC5" w14:textId="77777777" w:rsidR="00F24946" w:rsidRDefault="00613B06">
            <w:pPr>
              <w:pStyle w:val="P68B1DB1-Normal7"/>
              <w:spacing w:after="0" w:line="240" w:lineRule="auto"/>
              <w:jc w:val="center"/>
              <w:rPr>
                <w:rFonts w:eastAsia="Times New Roman" w:cs="Calibri"/>
                <w:noProof/>
              </w:rPr>
            </w:pPr>
            <w:r>
              <w:rPr>
                <w:noProof/>
              </w:rPr>
              <w:t>17.4</w:t>
            </w:r>
          </w:p>
        </w:tc>
        <w:tc>
          <w:tcPr>
            <w:tcW w:w="1161" w:type="dxa"/>
            <w:shd w:val="clear" w:color="auto" w:fill="C4EFCE"/>
            <w:noWrap/>
            <w:vAlign w:val="center"/>
            <w:hideMark/>
          </w:tcPr>
          <w:p w14:paraId="02476C45"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9115588"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90AFA4D" w14:textId="77777777" w:rsidR="00F24946" w:rsidRDefault="00613B06">
            <w:pPr>
              <w:pStyle w:val="P68B1DB1-Normal8"/>
              <w:spacing w:after="0" w:line="240" w:lineRule="auto"/>
              <w:jc w:val="center"/>
              <w:rPr>
                <w:rFonts w:eastAsia="Times New Roman" w:cs="Calibri"/>
                <w:noProof/>
              </w:rPr>
            </w:pPr>
            <w:r>
              <w:rPr>
                <w:noProof/>
              </w:rPr>
              <w:t>Sprejetje stroškovnega modela za pripravo proračuna programa</w:t>
            </w:r>
          </w:p>
        </w:tc>
        <w:tc>
          <w:tcPr>
            <w:tcW w:w="1356" w:type="dxa"/>
            <w:shd w:val="clear" w:color="auto" w:fill="C4EFCE"/>
            <w:noWrap/>
            <w:vAlign w:val="center"/>
            <w:hideMark/>
          </w:tcPr>
          <w:p w14:paraId="35316023" w14:textId="77777777" w:rsidR="00F24946" w:rsidRDefault="00613B06">
            <w:pPr>
              <w:pStyle w:val="P68B1DB1-Normal8"/>
              <w:spacing w:after="0" w:line="240" w:lineRule="auto"/>
              <w:jc w:val="center"/>
              <w:rPr>
                <w:rFonts w:eastAsia="Times New Roman" w:cs="Calibri"/>
                <w:noProof/>
              </w:rPr>
            </w:pPr>
            <w:r>
              <w:rPr>
                <w:noProof/>
              </w:rPr>
              <w:t>Sprejetje zakonodaje za model obračunavanja stroškov za pripravo proračuna programa</w:t>
            </w:r>
          </w:p>
        </w:tc>
        <w:tc>
          <w:tcPr>
            <w:tcW w:w="909" w:type="dxa"/>
            <w:shd w:val="clear" w:color="auto" w:fill="C4EFCE"/>
            <w:noWrap/>
            <w:vAlign w:val="center"/>
            <w:hideMark/>
          </w:tcPr>
          <w:p w14:paraId="4241F94E"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805EFF6"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6D3AD47"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51AB287A"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2E3CA631"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67C05F6B" w14:textId="31DDD4CA" w:rsidR="00F24946" w:rsidRDefault="00613B06">
            <w:pPr>
              <w:pStyle w:val="P68B1DB1-Normal8"/>
              <w:spacing w:after="0" w:line="240" w:lineRule="auto"/>
              <w:jc w:val="both"/>
              <w:rPr>
                <w:rFonts w:eastAsia="Times New Roman" w:cs="Calibri"/>
                <w:noProof/>
              </w:rPr>
            </w:pPr>
            <w:r>
              <w:rPr>
                <w:noProof/>
              </w:rPr>
              <w:t>Sprejetje sekundarne zakonodaje (in/ali upravnih smernic) za določitev načel za izračun stroškov in spremljanje skladnosti s kazalniki uspešnosti, opredeljenimi za vsak proračunski program in javno politiko, z namenom, da začne veljati do prvega četrtletja-2027.</w:t>
            </w:r>
          </w:p>
        </w:tc>
      </w:tr>
      <w:tr w:rsidR="00F24946" w14:paraId="38313B89" w14:textId="77777777">
        <w:trPr>
          <w:trHeight w:val="420"/>
        </w:trPr>
        <w:tc>
          <w:tcPr>
            <w:tcW w:w="1043" w:type="dxa"/>
            <w:gridSpan w:val="2"/>
            <w:shd w:val="clear" w:color="auto" w:fill="C4EFCE"/>
            <w:vAlign w:val="center"/>
            <w:hideMark/>
          </w:tcPr>
          <w:p w14:paraId="1F4AFBA8" w14:textId="77777777" w:rsidR="00F24946" w:rsidRDefault="00613B06">
            <w:pPr>
              <w:pStyle w:val="P68B1DB1-Normal7"/>
              <w:spacing w:after="0" w:line="240" w:lineRule="auto"/>
              <w:jc w:val="center"/>
              <w:rPr>
                <w:rFonts w:eastAsia="Times New Roman" w:cs="Calibri"/>
                <w:noProof/>
              </w:rPr>
            </w:pPr>
            <w:r>
              <w:rPr>
                <w:noProof/>
              </w:rPr>
              <w:t>17.5</w:t>
            </w:r>
          </w:p>
        </w:tc>
        <w:tc>
          <w:tcPr>
            <w:tcW w:w="1161" w:type="dxa"/>
            <w:shd w:val="clear" w:color="auto" w:fill="C4EFCE"/>
            <w:noWrap/>
            <w:vAlign w:val="center"/>
            <w:hideMark/>
          </w:tcPr>
          <w:p w14:paraId="1AA5229E"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C2DBEEB"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022E11" w14:textId="77777777" w:rsidR="00F24946" w:rsidRDefault="00613B06">
            <w:pPr>
              <w:pStyle w:val="P68B1DB1-Normal8"/>
              <w:spacing w:after="0" w:line="240" w:lineRule="auto"/>
              <w:jc w:val="center"/>
              <w:rPr>
                <w:rFonts w:eastAsia="Times New Roman" w:cs="Calibri"/>
                <w:noProof/>
              </w:rPr>
            </w:pPr>
            <w:r>
              <w:rPr>
                <w:noProof/>
              </w:rPr>
              <w:t>Izvajanje mehanizmov za vključitev pregledov porabe v redni proračunski postopek, vključno z naknadnim vrednotenjem prihrankov zaradi učinkovitosti</w:t>
            </w:r>
          </w:p>
        </w:tc>
        <w:tc>
          <w:tcPr>
            <w:tcW w:w="1356" w:type="dxa"/>
            <w:shd w:val="clear" w:color="auto" w:fill="C4EFCE"/>
            <w:noWrap/>
            <w:vAlign w:val="center"/>
            <w:hideMark/>
          </w:tcPr>
          <w:p w14:paraId="78ADFCD7" w14:textId="77777777" w:rsidR="00F24946" w:rsidRDefault="00613B06">
            <w:pPr>
              <w:pStyle w:val="P68B1DB1-Normal8"/>
              <w:spacing w:after="0" w:line="240" w:lineRule="auto"/>
              <w:jc w:val="center"/>
              <w:rPr>
                <w:rFonts w:eastAsia="Times New Roman" w:cs="Calibri"/>
                <w:noProof/>
              </w:rPr>
            </w:pPr>
            <w:r>
              <w:rPr>
                <w:noProof/>
              </w:rPr>
              <w:t>Poročilo o vključitvi pregledov porabe v redni proračunski postopek in njihovo naknadno vrednotenje</w:t>
            </w:r>
          </w:p>
        </w:tc>
        <w:tc>
          <w:tcPr>
            <w:tcW w:w="909" w:type="dxa"/>
            <w:shd w:val="clear" w:color="auto" w:fill="C4EFCE"/>
            <w:noWrap/>
            <w:vAlign w:val="center"/>
            <w:hideMark/>
          </w:tcPr>
          <w:p w14:paraId="45C9CCED" w14:textId="5C00014C" w:rsidR="00F24946" w:rsidRDefault="00F24946">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69C76DA5" w14:textId="073E9F9F" w:rsidR="00F24946" w:rsidRDefault="00F24946">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22C65312" w14:textId="087E5688" w:rsidR="00F24946" w:rsidRDefault="00F24946">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2D6DA43E"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6242BC08" w14:textId="77777777" w:rsidR="00F24946" w:rsidRDefault="00613B06">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ADBED7B" w14:textId="14A7F5C0" w:rsidR="00F24946" w:rsidRDefault="00613B06">
            <w:pPr>
              <w:pStyle w:val="P68B1DB1-Normal8"/>
              <w:spacing w:after="0" w:line="240" w:lineRule="auto"/>
              <w:jc w:val="both"/>
              <w:rPr>
                <w:rFonts w:eastAsia="Times New Roman" w:cs="Calibri"/>
                <w:noProof/>
              </w:rPr>
            </w:pPr>
            <w:r>
              <w:rPr>
                <w:noProof/>
              </w:rPr>
              <w:t xml:space="preserve">Razvije se strukturni in institucionalni okvir za preglede porabe, da se jih v celoti vključi v letni proračunski postopek in srednjeročni proračunski okvir Portugalske. </w:t>
            </w:r>
          </w:p>
          <w:p w14:paraId="0D6B1F45" w14:textId="62498E10" w:rsidR="00F24946" w:rsidRDefault="00613B06">
            <w:pPr>
              <w:pStyle w:val="P68B1DB1-Normal8"/>
              <w:spacing w:after="0" w:line="240" w:lineRule="auto"/>
              <w:jc w:val="both"/>
              <w:rPr>
                <w:rFonts w:eastAsia="Times New Roman" w:cs="Calibri"/>
                <w:noProof/>
              </w:rPr>
            </w:pPr>
            <w:r>
              <w:rPr>
                <w:noProof/>
              </w:rPr>
              <w:t>Postopek vključuje diagnosticiranje, zasnovo rešitev in opredelitev modela, ki omogoča povečanje učinkovitosti pri zagotavljanju javnih storitev, spodbujanje razširitve pregledov porabe na dodatne sektorje znotraj sektorja država in sprostitev virov za digitalni in zeleni prehod s povečanjem učinkovitosti.</w:t>
            </w:r>
          </w:p>
          <w:p w14:paraId="3534731F" w14:textId="619B412E" w:rsidR="00F24946" w:rsidRDefault="00613B06">
            <w:pPr>
              <w:pStyle w:val="P68B1DB1-Normal8"/>
              <w:spacing w:after="0" w:line="240" w:lineRule="auto"/>
              <w:jc w:val="both"/>
              <w:rPr>
                <w:rFonts w:eastAsia="Times New Roman" w:cs="Calibri"/>
                <w:noProof/>
              </w:rPr>
            </w:pPr>
            <w:r>
              <w:rPr>
                <w:noProof/>
              </w:rPr>
              <w:t>Pregledi porabe se poleg vključevanja pregledov porabe v letni proračunski postopek izvajajo tudi z učinkovitimi letnimi naknadnimi ocenami, da se ugotovi doseženo povečanje učinkovitosti. To lahko vključuje večjo uporabo skupnih storitev in centraliziranih javnih naročil na podlagi uporabe tehnoloških platform in skupnih virov.</w:t>
            </w:r>
          </w:p>
        </w:tc>
      </w:tr>
      <w:tr w:rsidR="00F24946" w14:paraId="621F6AC1" w14:textId="77777777">
        <w:trPr>
          <w:trHeight w:val="640"/>
        </w:trPr>
        <w:tc>
          <w:tcPr>
            <w:tcW w:w="1043" w:type="dxa"/>
            <w:gridSpan w:val="2"/>
            <w:shd w:val="clear" w:color="auto" w:fill="C4EFCE"/>
            <w:vAlign w:val="center"/>
            <w:hideMark/>
          </w:tcPr>
          <w:p w14:paraId="47662CD7" w14:textId="77777777" w:rsidR="00F24946" w:rsidRDefault="00613B06">
            <w:pPr>
              <w:pStyle w:val="P68B1DB1-Normal7"/>
              <w:spacing w:after="0" w:line="240" w:lineRule="auto"/>
              <w:jc w:val="center"/>
              <w:rPr>
                <w:rFonts w:eastAsia="Times New Roman" w:cs="Calibri"/>
                <w:noProof/>
              </w:rPr>
            </w:pPr>
            <w:r>
              <w:rPr>
                <w:noProof/>
              </w:rPr>
              <w:t>17.6</w:t>
            </w:r>
          </w:p>
        </w:tc>
        <w:tc>
          <w:tcPr>
            <w:tcW w:w="1161" w:type="dxa"/>
            <w:shd w:val="clear" w:color="auto" w:fill="C4EFCE"/>
            <w:noWrap/>
            <w:vAlign w:val="center"/>
            <w:hideMark/>
          </w:tcPr>
          <w:p w14:paraId="35D30780"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7BD399B4"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FBC9748" w14:textId="77777777" w:rsidR="00F24946" w:rsidRDefault="00613B06">
            <w:pPr>
              <w:pStyle w:val="P68B1DB1-Normal8"/>
              <w:spacing w:after="0" w:line="240" w:lineRule="auto"/>
              <w:jc w:val="center"/>
              <w:rPr>
                <w:rFonts w:eastAsia="Times New Roman" w:cs="Calibri"/>
                <w:noProof/>
              </w:rPr>
            </w:pPr>
            <w:r>
              <w:rPr>
                <w:noProof/>
              </w:rPr>
              <w:t>Začetek veljavnosti nove predloge pogodbe o upravljanju v okviru novega sistema spodbud/kazni za upravljanje podjetij v državni lasti</w:t>
            </w:r>
          </w:p>
        </w:tc>
        <w:tc>
          <w:tcPr>
            <w:tcW w:w="1356" w:type="dxa"/>
            <w:shd w:val="clear" w:color="auto" w:fill="C4EFCE"/>
            <w:noWrap/>
            <w:vAlign w:val="center"/>
            <w:hideMark/>
          </w:tcPr>
          <w:p w14:paraId="01049FF8" w14:textId="77777777" w:rsidR="00F24946" w:rsidRDefault="00613B06">
            <w:pPr>
              <w:pStyle w:val="P68B1DB1-Normal8"/>
              <w:spacing w:after="0" w:line="240" w:lineRule="auto"/>
              <w:jc w:val="center"/>
              <w:rPr>
                <w:rFonts w:eastAsia="Times New Roman" w:cs="Calibri"/>
                <w:noProof/>
              </w:rPr>
            </w:pPr>
            <w:r>
              <w:rPr>
                <w:noProof/>
              </w:rPr>
              <w:t>Začetek veljavnosti nove predloge pogodbe o upravljanju</w:t>
            </w:r>
          </w:p>
        </w:tc>
        <w:tc>
          <w:tcPr>
            <w:tcW w:w="909" w:type="dxa"/>
            <w:shd w:val="clear" w:color="auto" w:fill="C4EFCE"/>
            <w:noWrap/>
            <w:vAlign w:val="center"/>
            <w:hideMark/>
          </w:tcPr>
          <w:p w14:paraId="2979957B"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86865DA"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8183D31"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74F04CA0"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41B88F6F" w14:textId="77777777" w:rsidR="00F24946" w:rsidRDefault="00613B06">
            <w:pPr>
              <w:pStyle w:val="P68B1DB1-Normal8"/>
              <w:spacing w:after="0" w:line="240" w:lineRule="auto"/>
              <w:jc w:val="center"/>
              <w:rPr>
                <w:rFonts w:eastAsia="Times New Roman" w:cs="Calibri"/>
                <w:noProof/>
              </w:rPr>
            </w:pPr>
            <w:r>
              <w:rPr>
                <w:noProof/>
              </w:rPr>
              <w:t>2021</w:t>
            </w:r>
          </w:p>
        </w:tc>
        <w:tc>
          <w:tcPr>
            <w:tcW w:w="5456" w:type="dxa"/>
            <w:shd w:val="clear" w:color="auto" w:fill="C4EFCE"/>
            <w:noWrap/>
            <w:vAlign w:val="center"/>
            <w:hideMark/>
          </w:tcPr>
          <w:p w14:paraId="60637229" w14:textId="77777777" w:rsidR="00F24946" w:rsidRDefault="00613B06">
            <w:pPr>
              <w:pStyle w:val="P68B1DB1-Normal8"/>
              <w:spacing w:after="0" w:line="240" w:lineRule="auto"/>
              <w:jc w:val="both"/>
              <w:rPr>
                <w:rFonts w:eastAsia="Times New Roman" w:cs="Calibri"/>
                <w:noProof/>
              </w:rPr>
            </w:pPr>
            <w:r>
              <w:rPr>
                <w:noProof/>
              </w:rPr>
              <w:t>Začetek veljavnosti nove predloge pogodbe o upravljanju, ki se podpiše z javnimi vodstvenimi delavci, imenovanimi v upravne odbore podjetij v državni lasti, da se povečata odgovornost in odgovornost pri upravljanju javnih sredstev z novim sistemom spodbud/kazni, usmerjenih v uspešnost.</w:t>
            </w:r>
          </w:p>
        </w:tc>
      </w:tr>
      <w:tr w:rsidR="00F24946" w14:paraId="05E11610" w14:textId="77777777">
        <w:trPr>
          <w:trHeight w:val="640"/>
        </w:trPr>
        <w:tc>
          <w:tcPr>
            <w:tcW w:w="1043" w:type="dxa"/>
            <w:gridSpan w:val="2"/>
            <w:shd w:val="clear" w:color="auto" w:fill="C4EFCE"/>
            <w:vAlign w:val="center"/>
            <w:hideMark/>
          </w:tcPr>
          <w:p w14:paraId="6A4F627A" w14:textId="77777777" w:rsidR="00F24946" w:rsidRDefault="00613B06">
            <w:pPr>
              <w:pStyle w:val="P68B1DB1-Normal7"/>
              <w:spacing w:after="0" w:line="240" w:lineRule="auto"/>
              <w:jc w:val="center"/>
              <w:rPr>
                <w:rFonts w:eastAsia="Times New Roman" w:cs="Calibri"/>
                <w:noProof/>
              </w:rPr>
            </w:pPr>
            <w:r>
              <w:rPr>
                <w:noProof/>
              </w:rPr>
              <w:t>17.7</w:t>
            </w:r>
          </w:p>
        </w:tc>
        <w:tc>
          <w:tcPr>
            <w:tcW w:w="1161" w:type="dxa"/>
            <w:shd w:val="clear" w:color="auto" w:fill="C4EFCE"/>
            <w:noWrap/>
            <w:vAlign w:val="center"/>
            <w:hideMark/>
          </w:tcPr>
          <w:p w14:paraId="0281BF89"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69D9CBF"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27932B26" w14:textId="77777777" w:rsidR="00F24946" w:rsidRDefault="00613B06">
            <w:pPr>
              <w:pStyle w:val="P68B1DB1-Normal8"/>
              <w:spacing w:after="0" w:line="240" w:lineRule="auto"/>
              <w:jc w:val="center"/>
              <w:rPr>
                <w:rFonts w:eastAsia="Times New Roman" w:cs="Calibri"/>
                <w:noProof/>
              </w:rPr>
            </w:pPr>
            <w:r>
              <w:rPr>
                <w:noProof/>
              </w:rPr>
              <w:t>Začetek veljavnosti novega modela za analizo in razkritje finančnega stanja in uspešnosti podjetij v državni lasti</w:t>
            </w:r>
          </w:p>
        </w:tc>
        <w:tc>
          <w:tcPr>
            <w:tcW w:w="1356" w:type="dxa"/>
            <w:shd w:val="clear" w:color="auto" w:fill="C4EFCE"/>
            <w:noWrap/>
            <w:vAlign w:val="center"/>
            <w:hideMark/>
          </w:tcPr>
          <w:p w14:paraId="53EB2087" w14:textId="77777777" w:rsidR="00F24946" w:rsidRDefault="00613B06">
            <w:pPr>
              <w:pStyle w:val="P68B1DB1-Normal8"/>
              <w:spacing w:after="0" w:line="240" w:lineRule="auto"/>
              <w:jc w:val="center"/>
              <w:rPr>
                <w:rFonts w:eastAsia="Times New Roman" w:cs="Calibri"/>
                <w:noProof/>
              </w:rPr>
            </w:pPr>
            <w:r>
              <w:rPr>
                <w:noProof/>
              </w:rPr>
              <w:t>Začetek veljavnosti novega poročila s podrobnim opisom finančnega stanja in uspešnosti podjetij v državni lasti</w:t>
            </w:r>
          </w:p>
        </w:tc>
        <w:tc>
          <w:tcPr>
            <w:tcW w:w="909" w:type="dxa"/>
            <w:shd w:val="clear" w:color="auto" w:fill="C4EFCE"/>
            <w:noWrap/>
            <w:vAlign w:val="center"/>
            <w:hideMark/>
          </w:tcPr>
          <w:p w14:paraId="7E4BBF12"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AEE0230"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57D6AD99"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1CEAF54"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5129272B" w14:textId="77777777" w:rsidR="00F24946" w:rsidRDefault="00613B06">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32D08DEA" w14:textId="77777777" w:rsidR="00F24946" w:rsidRDefault="00613B06">
            <w:pPr>
              <w:pStyle w:val="P68B1DB1-Normal8"/>
              <w:spacing w:after="0" w:line="240" w:lineRule="auto"/>
              <w:jc w:val="both"/>
              <w:rPr>
                <w:rFonts w:eastAsia="Times New Roman" w:cs="Calibri"/>
                <w:noProof/>
              </w:rPr>
            </w:pPr>
            <w:r>
              <w:rPr>
                <w:noProof/>
              </w:rPr>
              <w:t>Začetek veljavnosti novega poročila, v katerem sta redno in pravočasno podrobno opisana finančno stanje in uspešnost podjetij v državni lasti, ki vključuje finančne podatke, zbrane prek novega informacijskega sistema za sektor podjetij v državni lasti.</w:t>
            </w:r>
          </w:p>
        </w:tc>
      </w:tr>
      <w:tr w:rsidR="00F24946" w14:paraId="67B2B5AF" w14:textId="77777777">
        <w:trPr>
          <w:trHeight w:val="1060"/>
        </w:trPr>
        <w:tc>
          <w:tcPr>
            <w:tcW w:w="1043" w:type="dxa"/>
            <w:gridSpan w:val="2"/>
            <w:shd w:val="clear" w:color="auto" w:fill="C4EFCE"/>
            <w:vAlign w:val="center"/>
            <w:hideMark/>
          </w:tcPr>
          <w:p w14:paraId="2718254D" w14:textId="77777777" w:rsidR="00F24946" w:rsidRDefault="00613B06">
            <w:pPr>
              <w:pStyle w:val="P68B1DB1-Normal7"/>
              <w:spacing w:after="0" w:line="240" w:lineRule="auto"/>
              <w:jc w:val="center"/>
              <w:rPr>
                <w:rFonts w:eastAsia="Times New Roman" w:cs="Calibri"/>
                <w:noProof/>
              </w:rPr>
            </w:pPr>
            <w:r>
              <w:rPr>
                <w:noProof/>
              </w:rPr>
              <w:t>17.8</w:t>
            </w:r>
          </w:p>
        </w:tc>
        <w:tc>
          <w:tcPr>
            <w:tcW w:w="1161" w:type="dxa"/>
            <w:shd w:val="clear" w:color="auto" w:fill="C4EFCE"/>
            <w:noWrap/>
            <w:vAlign w:val="center"/>
            <w:hideMark/>
          </w:tcPr>
          <w:p w14:paraId="645BCB5E" w14:textId="77777777" w:rsidR="00F24946" w:rsidRDefault="00613B06">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3095D188"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7E9415F6" w14:textId="77777777" w:rsidR="00F24946" w:rsidRDefault="00613B06">
            <w:pPr>
              <w:pStyle w:val="P68B1DB1-Normal8"/>
              <w:spacing w:after="0" w:line="240" w:lineRule="auto"/>
              <w:jc w:val="center"/>
              <w:rPr>
                <w:rFonts w:eastAsia="Times New Roman" w:cs="Calibri"/>
                <w:noProof/>
              </w:rPr>
            </w:pPr>
            <w:r>
              <w:rPr>
                <w:noProof/>
              </w:rPr>
              <w:t>Število proračunskih načrtov in načrtov dejavnosti podjetij v državni lasti, ki jih dosledno odobrijo minister za finance in ustrezni resorni ministri</w:t>
            </w:r>
          </w:p>
        </w:tc>
        <w:tc>
          <w:tcPr>
            <w:tcW w:w="1356" w:type="dxa"/>
            <w:shd w:val="clear" w:color="auto" w:fill="C4EFCE"/>
            <w:noWrap/>
            <w:vAlign w:val="center"/>
            <w:hideMark/>
          </w:tcPr>
          <w:p w14:paraId="121B6A1E" w14:textId="77777777" w:rsidR="00F24946" w:rsidRDefault="00613B06">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40C2BC2B"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09B98B1A" w14:textId="77777777" w:rsidR="00F24946" w:rsidRDefault="00613B06">
            <w:pPr>
              <w:pStyle w:val="P68B1DB1-Normal8"/>
              <w:spacing w:after="0" w:line="240" w:lineRule="auto"/>
              <w:jc w:val="center"/>
              <w:rPr>
                <w:rFonts w:eastAsia="Times New Roman" w:cs="Calibri"/>
                <w:noProof/>
              </w:rPr>
            </w:pPr>
            <w:r>
              <w:rPr>
                <w:noProof/>
              </w:rPr>
              <w:t>74</w:t>
            </w:r>
          </w:p>
        </w:tc>
        <w:tc>
          <w:tcPr>
            <w:tcW w:w="657" w:type="dxa"/>
            <w:shd w:val="clear" w:color="auto" w:fill="C4EFCE"/>
            <w:noWrap/>
            <w:vAlign w:val="center"/>
            <w:hideMark/>
          </w:tcPr>
          <w:p w14:paraId="2E1A10E1" w14:textId="77777777" w:rsidR="00F24946" w:rsidRDefault="00613B06">
            <w:pPr>
              <w:pStyle w:val="P68B1DB1-Normal8"/>
              <w:spacing w:after="0" w:line="240" w:lineRule="auto"/>
              <w:jc w:val="center"/>
              <w:rPr>
                <w:rFonts w:eastAsia="Times New Roman" w:cs="Calibri"/>
                <w:noProof/>
              </w:rPr>
            </w:pPr>
            <w:r>
              <w:rPr>
                <w:noProof/>
              </w:rPr>
              <w:t>136</w:t>
            </w:r>
          </w:p>
        </w:tc>
        <w:tc>
          <w:tcPr>
            <w:tcW w:w="530" w:type="dxa"/>
            <w:shd w:val="clear" w:color="auto" w:fill="C4EFCE"/>
            <w:noWrap/>
            <w:vAlign w:val="center"/>
            <w:hideMark/>
          </w:tcPr>
          <w:p w14:paraId="39065690"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4333AF73"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0DEA027" w14:textId="77777777" w:rsidR="00F24946" w:rsidRDefault="00613B06">
            <w:pPr>
              <w:pStyle w:val="P68B1DB1-Normal8"/>
              <w:spacing w:after="0" w:line="240" w:lineRule="auto"/>
              <w:jc w:val="both"/>
              <w:rPr>
                <w:rFonts w:eastAsia="Times New Roman" w:cs="Calibri"/>
                <w:noProof/>
              </w:rPr>
            </w:pPr>
            <w:r>
              <w:rPr>
                <w:noProof/>
              </w:rPr>
              <w:t>Pravočasno oceniti proračun in načrte dejavnosti podjetij v državni lasti. To so triletni strateški načrti upravljanja, v katerih podjetja v državni lasti določajo glavne ukrepe, portfelj storitev, človeške vire, naložbeni načrt, ravni dejavnosti pomoči in gospodarsko-računovodsko izjavo za triletno obdobje in se o njih pogajajo z ministrom za finance in zadevnimi resornimi ministrstvi, poleg tega pa pojasnjujejo učinkovitost in povečanje produktivnosti, ki zagotavlja njihovo srednjeročno in dolgoročno finančno vzdržnost.</w:t>
            </w:r>
          </w:p>
        </w:tc>
      </w:tr>
      <w:tr w:rsidR="00F24946" w14:paraId="17BCAA4C" w14:textId="77777777">
        <w:trPr>
          <w:trHeight w:val="430"/>
        </w:trPr>
        <w:tc>
          <w:tcPr>
            <w:tcW w:w="1043" w:type="dxa"/>
            <w:gridSpan w:val="2"/>
            <w:shd w:val="clear" w:color="auto" w:fill="C4EFCE"/>
            <w:vAlign w:val="center"/>
            <w:hideMark/>
          </w:tcPr>
          <w:p w14:paraId="4DF0D948" w14:textId="41156502" w:rsidR="00F24946" w:rsidRDefault="00613B06">
            <w:pPr>
              <w:pStyle w:val="P68B1DB1-Normal7"/>
              <w:spacing w:after="0" w:line="240" w:lineRule="auto"/>
              <w:jc w:val="center"/>
              <w:rPr>
                <w:rFonts w:eastAsia="Times New Roman" w:cs="Calibri"/>
                <w:noProof/>
              </w:rPr>
            </w:pPr>
            <w:r>
              <w:rPr>
                <w:noProof/>
              </w:rPr>
              <w:t>17.9</w:t>
            </w:r>
          </w:p>
        </w:tc>
        <w:tc>
          <w:tcPr>
            <w:tcW w:w="1161" w:type="dxa"/>
            <w:shd w:val="clear" w:color="auto" w:fill="C4EFCE"/>
            <w:noWrap/>
            <w:vAlign w:val="center"/>
            <w:hideMark/>
          </w:tcPr>
          <w:p w14:paraId="2BCC8FC6"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1B478FE"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3928ED9" w14:textId="77777777" w:rsidR="00F24946" w:rsidRDefault="00613B06">
            <w:pPr>
              <w:pStyle w:val="P68B1DB1-Normal8"/>
              <w:spacing w:after="0" w:line="240" w:lineRule="auto"/>
              <w:jc w:val="center"/>
              <w:rPr>
                <w:rFonts w:eastAsia="Times New Roman" w:cs="Calibri"/>
                <w:noProof/>
              </w:rPr>
            </w:pPr>
            <w:r>
              <w:rPr>
                <w:noProof/>
              </w:rPr>
              <w:t>Zaključek izvajanja državnega računovodskega subjekta</w:t>
            </w:r>
          </w:p>
        </w:tc>
        <w:tc>
          <w:tcPr>
            <w:tcW w:w="1356" w:type="dxa"/>
            <w:shd w:val="clear" w:color="auto" w:fill="C4EFCE"/>
            <w:noWrap/>
            <w:vAlign w:val="center"/>
            <w:hideMark/>
          </w:tcPr>
          <w:p w14:paraId="087F0E3A" w14:textId="77777777" w:rsidR="00F24946" w:rsidRDefault="00613B06">
            <w:pPr>
              <w:pStyle w:val="P68B1DB1-Normal8"/>
              <w:spacing w:after="0" w:line="240" w:lineRule="auto"/>
              <w:jc w:val="center"/>
              <w:rPr>
                <w:rFonts w:eastAsia="Times New Roman" w:cs="Calibri"/>
                <w:noProof/>
              </w:rPr>
            </w:pPr>
            <w:r>
              <w:rPr>
                <w:noProof/>
              </w:rPr>
              <w:t>Zaključek izvajanja državnega računovodskega subjekta</w:t>
            </w:r>
          </w:p>
        </w:tc>
        <w:tc>
          <w:tcPr>
            <w:tcW w:w="909" w:type="dxa"/>
            <w:shd w:val="clear" w:color="auto" w:fill="C4EFCE"/>
            <w:noWrap/>
            <w:vAlign w:val="center"/>
            <w:hideMark/>
          </w:tcPr>
          <w:p w14:paraId="0D51700F"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44B0A4"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E39381A"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42A23F4" w14:textId="77D292C3" w:rsidR="00F24946" w:rsidRDefault="00613B06">
            <w:pPr>
              <w:pStyle w:val="P68B1DB1-Normal8"/>
              <w:spacing w:after="0" w:line="240" w:lineRule="auto"/>
              <w:jc w:val="center"/>
              <w:rPr>
                <w:rFonts w:eastAsia="Times New Roman" w:cs="Calibri"/>
                <w:noProof/>
              </w:rPr>
            </w:pPr>
            <w:r>
              <w:rPr>
                <w:noProof/>
              </w:rPr>
              <w:t>Q2</w:t>
            </w:r>
          </w:p>
        </w:tc>
        <w:tc>
          <w:tcPr>
            <w:tcW w:w="656" w:type="dxa"/>
            <w:shd w:val="clear" w:color="auto" w:fill="C4EFCE"/>
            <w:noWrap/>
            <w:vAlign w:val="center"/>
            <w:hideMark/>
          </w:tcPr>
          <w:p w14:paraId="5FB1E755" w14:textId="64553DDF" w:rsidR="00F24946" w:rsidRDefault="00613B06">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4704A1B6" w14:textId="77777777" w:rsidR="00F24946" w:rsidRDefault="00613B06">
            <w:pPr>
              <w:pStyle w:val="P68B1DB1-Normal8"/>
              <w:spacing w:after="0" w:line="240" w:lineRule="auto"/>
              <w:jc w:val="both"/>
              <w:rPr>
                <w:rFonts w:eastAsia="Times New Roman" w:cs="Calibri"/>
                <w:noProof/>
              </w:rPr>
            </w:pPr>
            <w:r>
              <w:rPr>
                <w:noProof/>
              </w:rPr>
              <w:t>Dokončati izvajanje državnega računovodskega subjekta ob popolnem upoštevanju členov 49 in 55 zakona o proračunskem okviru za leto 2015.</w:t>
            </w:r>
          </w:p>
        </w:tc>
      </w:tr>
      <w:tr w:rsidR="00F24946" w14:paraId="162E15E3" w14:textId="77777777">
        <w:trPr>
          <w:trHeight w:val="640"/>
        </w:trPr>
        <w:tc>
          <w:tcPr>
            <w:tcW w:w="1043" w:type="dxa"/>
            <w:gridSpan w:val="2"/>
            <w:shd w:val="clear" w:color="auto" w:fill="C4EFCE"/>
            <w:vAlign w:val="center"/>
            <w:hideMark/>
          </w:tcPr>
          <w:p w14:paraId="3BDDDDA8" w14:textId="77777777" w:rsidR="00F24946" w:rsidRDefault="00613B06">
            <w:pPr>
              <w:pStyle w:val="P68B1DB1-Normal7"/>
              <w:spacing w:after="0" w:line="240" w:lineRule="auto"/>
              <w:jc w:val="center"/>
              <w:rPr>
                <w:rFonts w:eastAsia="Times New Roman" w:cs="Calibri"/>
                <w:noProof/>
              </w:rPr>
            </w:pPr>
            <w:r>
              <w:rPr>
                <w:noProof/>
              </w:rPr>
              <w:t>17.10</w:t>
            </w:r>
          </w:p>
        </w:tc>
        <w:tc>
          <w:tcPr>
            <w:tcW w:w="1161" w:type="dxa"/>
            <w:shd w:val="clear" w:color="auto" w:fill="C4EFCE"/>
            <w:noWrap/>
            <w:vAlign w:val="center"/>
            <w:hideMark/>
          </w:tcPr>
          <w:p w14:paraId="498D4AC6"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4C7A787A"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16CC567" w14:textId="77777777" w:rsidR="00F24946" w:rsidRDefault="00613B06">
            <w:pPr>
              <w:pStyle w:val="P68B1DB1-Normal8"/>
              <w:spacing w:after="0" w:line="240" w:lineRule="auto"/>
              <w:jc w:val="center"/>
              <w:rPr>
                <w:rFonts w:eastAsia="Times New Roman" w:cs="Calibri"/>
                <w:noProof/>
              </w:rPr>
            </w:pPr>
            <w:r>
              <w:rPr>
                <w:noProof/>
              </w:rPr>
              <w:t>Začetek delovanja informacijskega sistema za preoblikovanje in izvajanje proračunskega postopka, ki vključuje pripravo proračuna programa</w:t>
            </w:r>
          </w:p>
        </w:tc>
        <w:tc>
          <w:tcPr>
            <w:tcW w:w="1356" w:type="dxa"/>
            <w:shd w:val="clear" w:color="auto" w:fill="C4EFCE"/>
            <w:noWrap/>
            <w:vAlign w:val="center"/>
            <w:hideMark/>
          </w:tcPr>
          <w:p w14:paraId="14DDB52C" w14:textId="77777777" w:rsidR="00F24946" w:rsidRDefault="00613B06">
            <w:pPr>
              <w:pStyle w:val="P68B1DB1-Normal8"/>
              <w:spacing w:after="0" w:line="240" w:lineRule="auto"/>
              <w:jc w:val="center"/>
              <w:rPr>
                <w:rFonts w:eastAsia="Times New Roman" w:cs="Calibri"/>
                <w:noProof/>
              </w:rPr>
            </w:pPr>
            <w:r>
              <w:rPr>
                <w:noProof/>
              </w:rPr>
              <w:t>Začetek delovanja informacijskega sistema za preoblikovanje in izvajanje proračunskega postopka</w:t>
            </w:r>
          </w:p>
        </w:tc>
        <w:tc>
          <w:tcPr>
            <w:tcW w:w="909" w:type="dxa"/>
            <w:shd w:val="clear" w:color="auto" w:fill="C4EFCE"/>
            <w:noWrap/>
            <w:vAlign w:val="center"/>
            <w:hideMark/>
          </w:tcPr>
          <w:p w14:paraId="187C07AB"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693EE4D0"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CDCFA85"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34839CEE"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38281D6B" w14:textId="77777777" w:rsidR="00F24946" w:rsidRDefault="00613B06">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75FD6C3B" w14:textId="77777777" w:rsidR="00F24946" w:rsidRDefault="00613B06">
            <w:pPr>
              <w:pStyle w:val="P68B1DB1-Normal8"/>
              <w:spacing w:after="0" w:line="240" w:lineRule="auto"/>
              <w:jc w:val="both"/>
              <w:rPr>
                <w:rFonts w:eastAsia="Times New Roman" w:cs="Calibri"/>
                <w:noProof/>
              </w:rPr>
            </w:pPr>
            <w:r>
              <w:rPr>
                <w:noProof/>
              </w:rPr>
              <w:t>Začetek delovanja informacijskega sistema za zagotovitev, da vsi subjekti države predstavijo proračunske/računovodske informacije v skladu z novimi oblikami, določenimi v zakonu o proračunskem okviru za leto 2015, tudi v zvezi z novimi proračunskimi programi, ki temeljijo na smotrnosti.</w:t>
            </w:r>
          </w:p>
        </w:tc>
      </w:tr>
      <w:tr w:rsidR="00F24946" w14:paraId="6E9D296B" w14:textId="77777777">
        <w:trPr>
          <w:trHeight w:val="640"/>
        </w:trPr>
        <w:tc>
          <w:tcPr>
            <w:tcW w:w="1043" w:type="dxa"/>
            <w:gridSpan w:val="2"/>
            <w:shd w:val="clear" w:color="auto" w:fill="C4EFCE"/>
            <w:vAlign w:val="center"/>
            <w:hideMark/>
          </w:tcPr>
          <w:p w14:paraId="010A6216" w14:textId="77777777" w:rsidR="00F24946" w:rsidRDefault="00613B06">
            <w:pPr>
              <w:pStyle w:val="P68B1DB1-Normal7"/>
              <w:spacing w:after="0" w:line="240" w:lineRule="auto"/>
              <w:jc w:val="center"/>
              <w:rPr>
                <w:rFonts w:eastAsia="Times New Roman" w:cs="Calibri"/>
                <w:noProof/>
              </w:rPr>
            </w:pPr>
            <w:r>
              <w:rPr>
                <w:noProof/>
              </w:rPr>
              <w:t>17.11</w:t>
            </w:r>
          </w:p>
        </w:tc>
        <w:tc>
          <w:tcPr>
            <w:tcW w:w="1161" w:type="dxa"/>
            <w:shd w:val="clear" w:color="auto" w:fill="C4EFCE"/>
            <w:noWrap/>
            <w:vAlign w:val="center"/>
            <w:hideMark/>
          </w:tcPr>
          <w:p w14:paraId="06619773"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8FBC5C2"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DDE848B" w14:textId="77777777" w:rsidR="00F24946" w:rsidRDefault="00613B06">
            <w:pPr>
              <w:pStyle w:val="P68B1DB1-Normal8"/>
              <w:spacing w:after="0" w:line="240" w:lineRule="auto"/>
              <w:jc w:val="center"/>
              <w:rPr>
                <w:rFonts w:eastAsia="Times New Roman" w:cs="Calibri"/>
                <w:noProof/>
              </w:rPr>
            </w:pPr>
            <w:r>
              <w:rPr>
                <w:noProof/>
              </w:rPr>
              <w:t>Začetek delovanja podpornega informacijskega sistema za novi model proračunskega in finančnega nadzora</w:t>
            </w:r>
          </w:p>
        </w:tc>
        <w:tc>
          <w:tcPr>
            <w:tcW w:w="1356" w:type="dxa"/>
            <w:shd w:val="clear" w:color="auto" w:fill="C4EFCE"/>
            <w:noWrap/>
            <w:vAlign w:val="center"/>
            <w:hideMark/>
          </w:tcPr>
          <w:p w14:paraId="7C8F93A5" w14:textId="77777777" w:rsidR="00F24946" w:rsidRDefault="00613B06">
            <w:pPr>
              <w:pStyle w:val="P68B1DB1-Normal8"/>
              <w:spacing w:after="0" w:line="240" w:lineRule="auto"/>
              <w:jc w:val="center"/>
              <w:rPr>
                <w:rFonts w:eastAsia="Times New Roman" w:cs="Calibri"/>
                <w:noProof/>
              </w:rPr>
            </w:pPr>
            <w:r>
              <w:rPr>
                <w:noProof/>
              </w:rPr>
              <w:t>Delujoči informacijski sistem</w:t>
            </w:r>
          </w:p>
        </w:tc>
        <w:tc>
          <w:tcPr>
            <w:tcW w:w="909" w:type="dxa"/>
            <w:shd w:val="clear" w:color="auto" w:fill="C4EFCE"/>
            <w:noWrap/>
            <w:vAlign w:val="center"/>
            <w:hideMark/>
          </w:tcPr>
          <w:p w14:paraId="2B202843"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BB56DFB"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A48EF47"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B10605D"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6E4DCD5D"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9CC531C" w14:textId="77777777" w:rsidR="00F24946" w:rsidRDefault="00613B06">
            <w:pPr>
              <w:pStyle w:val="P68B1DB1-Normal8"/>
              <w:spacing w:after="0" w:line="240" w:lineRule="auto"/>
              <w:jc w:val="both"/>
              <w:rPr>
                <w:rFonts w:eastAsia="Times New Roman" w:cs="Calibri"/>
                <w:noProof/>
              </w:rPr>
            </w:pPr>
            <w:r>
              <w:rPr>
                <w:noProof/>
              </w:rPr>
              <w:t>Začetek delovanja podpornega informacijskega sistema za zagotovitev nadzora in spremljanja proračunskih/računovodskih informacij v skladu z novimi oblikami, določenimi v zakonu o proračunskem okviru za leto 2015, s strani vseh subjektov sektorja država.</w:t>
            </w:r>
          </w:p>
        </w:tc>
      </w:tr>
      <w:tr w:rsidR="00F24946" w14:paraId="0407FA88" w14:textId="77777777">
        <w:trPr>
          <w:trHeight w:val="1060"/>
        </w:trPr>
        <w:tc>
          <w:tcPr>
            <w:tcW w:w="1043" w:type="dxa"/>
            <w:gridSpan w:val="2"/>
            <w:shd w:val="clear" w:color="auto" w:fill="C4EFCE"/>
            <w:vAlign w:val="center"/>
            <w:hideMark/>
          </w:tcPr>
          <w:p w14:paraId="1E4ADC51" w14:textId="77777777" w:rsidR="00F24946" w:rsidRDefault="00613B06">
            <w:pPr>
              <w:pStyle w:val="P68B1DB1-Normal7"/>
              <w:spacing w:after="0" w:line="240" w:lineRule="auto"/>
              <w:jc w:val="center"/>
              <w:rPr>
                <w:rFonts w:eastAsia="Times New Roman" w:cs="Calibri"/>
                <w:noProof/>
              </w:rPr>
            </w:pPr>
            <w:r>
              <w:rPr>
                <w:noProof/>
              </w:rPr>
              <w:t>17.12</w:t>
            </w:r>
          </w:p>
        </w:tc>
        <w:tc>
          <w:tcPr>
            <w:tcW w:w="1161" w:type="dxa"/>
            <w:shd w:val="clear" w:color="auto" w:fill="C4EFCE"/>
            <w:noWrap/>
            <w:vAlign w:val="center"/>
            <w:hideMark/>
          </w:tcPr>
          <w:p w14:paraId="38F2DF60"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58703872"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64324DB2" w14:textId="77777777" w:rsidR="00F24946" w:rsidRDefault="00613B06">
            <w:pPr>
              <w:pStyle w:val="P68B1DB1-Normal8"/>
              <w:spacing w:after="0" w:line="240" w:lineRule="auto"/>
              <w:jc w:val="center"/>
              <w:rPr>
                <w:rFonts w:eastAsia="Times New Roman" w:cs="Calibri"/>
                <w:noProof/>
              </w:rPr>
            </w:pPr>
            <w:r>
              <w:rPr>
                <w:noProof/>
              </w:rPr>
              <w:t>Dokončati posodobitev in poenostavitev informacijskih sistemov osrednjega nacionalnega sistema javnih naročil</w:t>
            </w:r>
          </w:p>
        </w:tc>
        <w:tc>
          <w:tcPr>
            <w:tcW w:w="1356" w:type="dxa"/>
            <w:shd w:val="clear" w:color="auto" w:fill="C4EFCE"/>
            <w:noWrap/>
            <w:vAlign w:val="center"/>
            <w:hideMark/>
          </w:tcPr>
          <w:p w14:paraId="78DB8F29" w14:textId="77777777" w:rsidR="00F24946" w:rsidRDefault="00613B06">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1A100E82"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75095961" w14:textId="77777777" w:rsidR="00F24946" w:rsidRDefault="00613B06">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02B6DB5F" w14:textId="77777777" w:rsidR="00F24946" w:rsidRDefault="00613B06">
            <w:pPr>
              <w:pStyle w:val="P68B1DB1-Normal8"/>
              <w:spacing w:after="0" w:line="240" w:lineRule="auto"/>
              <w:jc w:val="center"/>
              <w:rPr>
                <w:rFonts w:eastAsia="Times New Roman" w:cs="Calibri"/>
                <w:noProof/>
              </w:rPr>
            </w:pPr>
            <w:r>
              <w:rPr>
                <w:noProof/>
              </w:rPr>
              <w:t>11</w:t>
            </w:r>
          </w:p>
        </w:tc>
        <w:tc>
          <w:tcPr>
            <w:tcW w:w="530" w:type="dxa"/>
            <w:shd w:val="clear" w:color="auto" w:fill="C4EFCE"/>
            <w:noWrap/>
            <w:vAlign w:val="center"/>
            <w:hideMark/>
          </w:tcPr>
          <w:p w14:paraId="3C0A8C2D"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7BB06AD2" w14:textId="77777777" w:rsidR="00F24946" w:rsidRDefault="00613B06">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9FEEE47" w14:textId="77777777" w:rsidR="00F24946" w:rsidRDefault="00613B06">
            <w:pPr>
              <w:pStyle w:val="P68B1DB1-Normal8"/>
              <w:spacing w:after="0" w:line="240" w:lineRule="auto"/>
              <w:jc w:val="both"/>
              <w:rPr>
                <w:rFonts w:eastAsia="Times New Roman" w:cs="Calibri"/>
                <w:noProof/>
              </w:rPr>
            </w:pPr>
            <w:r>
              <w:rPr>
                <w:noProof/>
              </w:rPr>
              <w:t>Število posodobljenih in poenostavljenih informacijskih sistemov osrednjega nacionalnega sistema javnih naročil, da se: spodbuja upravno poenostavitev; (II) okrepitev mehanizmov spremljanja in nadzora; III) spodbujanje stroškovne učinkovitosti in racionalizacije; IV) razširitev seznama blaga in storitev, ki so predmet centraliziranega javnega naročanja; in v) spodbuja sodelovanje med notranjimi in zunanjimi deležniki. Doseganje tega cilja se meri s številom novih informacijskih sistemov, ki delujejo.</w:t>
            </w:r>
          </w:p>
        </w:tc>
      </w:tr>
      <w:tr w:rsidR="00F24946" w14:paraId="305B2486" w14:textId="77777777">
        <w:trPr>
          <w:trHeight w:val="300"/>
        </w:trPr>
        <w:tc>
          <w:tcPr>
            <w:tcW w:w="1043" w:type="dxa"/>
            <w:gridSpan w:val="2"/>
            <w:shd w:val="clear" w:color="auto" w:fill="C4EFCE"/>
            <w:vAlign w:val="center"/>
            <w:hideMark/>
          </w:tcPr>
          <w:p w14:paraId="4122D3A0" w14:textId="77777777" w:rsidR="00F24946" w:rsidRDefault="00613B06">
            <w:pPr>
              <w:pStyle w:val="P68B1DB1-Normal7"/>
              <w:spacing w:after="0" w:line="240" w:lineRule="auto"/>
              <w:jc w:val="center"/>
              <w:rPr>
                <w:rFonts w:eastAsia="Times New Roman" w:cs="Calibri"/>
                <w:noProof/>
              </w:rPr>
            </w:pPr>
            <w:r>
              <w:rPr>
                <w:noProof/>
              </w:rPr>
              <w:t>17.13</w:t>
            </w:r>
          </w:p>
        </w:tc>
        <w:tc>
          <w:tcPr>
            <w:tcW w:w="1161" w:type="dxa"/>
            <w:shd w:val="clear" w:color="auto" w:fill="C4EFCE"/>
            <w:noWrap/>
            <w:vAlign w:val="center"/>
            <w:hideMark/>
          </w:tcPr>
          <w:p w14:paraId="701D7F02"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369E606B" w14:textId="353377BE"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4E5C9E6" w14:textId="128584CD" w:rsidR="00F24946" w:rsidRDefault="00613B06">
            <w:pPr>
              <w:pStyle w:val="P68B1DB1-Normal8"/>
              <w:spacing w:after="0" w:line="240" w:lineRule="auto"/>
              <w:jc w:val="center"/>
              <w:rPr>
                <w:rFonts w:eastAsia="Times New Roman" w:cs="Calibri"/>
                <w:noProof/>
              </w:rPr>
            </w:pPr>
            <w:r>
              <w:rPr>
                <w:noProof/>
              </w:rPr>
              <w:t xml:space="preserve">Zaključek izvajanja </w:t>
            </w:r>
            <w:r>
              <w:rPr>
                <w:i/>
                <w:noProof/>
              </w:rPr>
              <w:t>Sistema de Gestão de Património Imobiliário Público</w:t>
            </w:r>
            <w:r>
              <w:rPr>
                <w:noProof/>
              </w:rPr>
              <w:t xml:space="preserve"> (SIGPIP) in posodobitve informacijskih sistemov za vozila v državni lasti</w:t>
            </w:r>
          </w:p>
        </w:tc>
        <w:tc>
          <w:tcPr>
            <w:tcW w:w="1356" w:type="dxa"/>
            <w:shd w:val="clear" w:color="auto" w:fill="C4EFCE"/>
            <w:noWrap/>
            <w:vAlign w:val="center"/>
            <w:hideMark/>
          </w:tcPr>
          <w:p w14:paraId="2E7F8560" w14:textId="2744589B" w:rsidR="00F24946" w:rsidRDefault="00613B06">
            <w:pPr>
              <w:pStyle w:val="P68B1DB1-Normal8"/>
              <w:spacing w:after="0" w:line="240" w:lineRule="auto"/>
              <w:rPr>
                <w:rFonts w:eastAsia="Times New Roman" w:cs="Calibri"/>
                <w:noProof/>
              </w:rPr>
            </w:pPr>
            <w:r>
              <w:rPr>
                <w:noProof/>
              </w:rPr>
              <w:t>Dokončana izvedba SIGPIP in začetek delovanja informacijskih sistemov za vozila v državni lasti</w:t>
            </w:r>
          </w:p>
        </w:tc>
        <w:tc>
          <w:tcPr>
            <w:tcW w:w="909" w:type="dxa"/>
            <w:shd w:val="clear" w:color="auto" w:fill="C4EFCE"/>
            <w:noWrap/>
            <w:vAlign w:val="center"/>
            <w:hideMark/>
          </w:tcPr>
          <w:p w14:paraId="6D2C816C" w14:textId="04080BA1" w:rsidR="00F24946" w:rsidRDefault="00F24946">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5F6E0C5C" w14:textId="43B2C062" w:rsidR="00F24946" w:rsidRDefault="00F24946">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1BDD16A4" w14:textId="3B8B3F7A" w:rsidR="00F24946" w:rsidRDefault="00F24946">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0BBA56AA" w14:textId="77777777" w:rsidR="00F24946" w:rsidRDefault="00613B06">
            <w:pPr>
              <w:pStyle w:val="P68B1DB1-Normal8"/>
              <w:spacing w:after="0" w:line="240" w:lineRule="auto"/>
              <w:jc w:val="center"/>
              <w:rPr>
                <w:rFonts w:eastAsia="Times New Roman" w:cs="Calibri"/>
                <w:noProof/>
              </w:rPr>
            </w:pPr>
            <w:r>
              <w:rPr>
                <w:noProof/>
              </w:rPr>
              <w:t>Q2</w:t>
            </w:r>
          </w:p>
        </w:tc>
        <w:tc>
          <w:tcPr>
            <w:tcW w:w="656" w:type="dxa"/>
            <w:shd w:val="clear" w:color="auto" w:fill="C4EFCE"/>
            <w:noWrap/>
            <w:vAlign w:val="center"/>
            <w:hideMark/>
          </w:tcPr>
          <w:p w14:paraId="069B7D5F" w14:textId="77777777" w:rsidR="00F24946" w:rsidRDefault="00613B06">
            <w:pPr>
              <w:pStyle w:val="P68B1DB1-Normal8"/>
              <w:spacing w:after="0" w:line="240" w:lineRule="auto"/>
              <w:jc w:val="center"/>
              <w:rPr>
                <w:rFonts w:eastAsia="Times New Roman" w:cs="Calibri"/>
                <w:noProof/>
              </w:rPr>
            </w:pPr>
            <w:r>
              <w:rPr>
                <w:noProof/>
              </w:rPr>
              <w:t>2026</w:t>
            </w:r>
          </w:p>
        </w:tc>
        <w:tc>
          <w:tcPr>
            <w:tcW w:w="5456" w:type="dxa"/>
            <w:shd w:val="clear" w:color="auto" w:fill="C4EFCE"/>
            <w:noWrap/>
            <w:vAlign w:val="center"/>
            <w:hideMark/>
          </w:tcPr>
          <w:p w14:paraId="29151ECC" w14:textId="22FC8058" w:rsidR="00F24946" w:rsidRDefault="00613B06">
            <w:pPr>
              <w:pStyle w:val="P68B1DB1-Normal8"/>
              <w:spacing w:after="0" w:line="240" w:lineRule="auto"/>
              <w:jc w:val="both"/>
              <w:rPr>
                <w:rFonts w:eastAsia="Times New Roman" w:cs="Calibri"/>
                <w:noProof/>
              </w:rPr>
            </w:pPr>
            <w:r>
              <w:rPr>
                <w:noProof/>
              </w:rPr>
              <w:t>Končano izvajanje sistema „sistema</w:t>
            </w:r>
            <w:r>
              <w:rPr>
                <w:i/>
                <w:noProof/>
              </w:rPr>
              <w:t>de Gestão de Património Imobiliário Público“</w:t>
            </w:r>
            <w:r>
              <w:rPr>
                <w:noProof/>
              </w:rPr>
              <w:t xml:space="preserve"> (SIGPIP), ki upravlja informacije o javnih nepremičninah. </w:t>
            </w:r>
          </w:p>
          <w:p w14:paraId="16254F2D" w14:textId="680EF6EC" w:rsidR="00F24946" w:rsidRDefault="00613B06">
            <w:pPr>
              <w:pStyle w:val="P68B1DB1-Normal8"/>
              <w:spacing w:after="0" w:line="240" w:lineRule="auto"/>
              <w:jc w:val="both"/>
              <w:rPr>
                <w:rFonts w:eastAsia="Times New Roman" w:cs="Calibri"/>
                <w:noProof/>
              </w:rPr>
            </w:pPr>
            <w:r>
              <w:rPr>
                <w:noProof/>
              </w:rPr>
              <w:t>Dva nova informacijska sistema, ki delujeta za popis in spremljanje vozil v državni lasti.</w:t>
            </w:r>
          </w:p>
        </w:tc>
      </w:tr>
      <w:tr w:rsidR="00F24946" w14:paraId="29D028EC" w14:textId="77777777">
        <w:trPr>
          <w:trHeight w:val="430"/>
        </w:trPr>
        <w:tc>
          <w:tcPr>
            <w:tcW w:w="1043" w:type="dxa"/>
            <w:gridSpan w:val="2"/>
            <w:shd w:val="clear" w:color="auto" w:fill="C4EFCE"/>
            <w:vAlign w:val="center"/>
            <w:hideMark/>
          </w:tcPr>
          <w:p w14:paraId="339504D8" w14:textId="62CAECE8" w:rsidR="00F24946" w:rsidRDefault="00613B06">
            <w:pPr>
              <w:pStyle w:val="P68B1DB1-Normal7"/>
              <w:spacing w:after="0" w:line="240" w:lineRule="auto"/>
              <w:jc w:val="center"/>
              <w:rPr>
                <w:rFonts w:eastAsia="Times New Roman" w:cs="Calibri"/>
                <w:noProof/>
              </w:rPr>
            </w:pPr>
            <w:r>
              <w:rPr>
                <w:noProof/>
              </w:rPr>
              <w:t>17.14</w:t>
            </w:r>
          </w:p>
        </w:tc>
        <w:tc>
          <w:tcPr>
            <w:tcW w:w="1161" w:type="dxa"/>
            <w:shd w:val="clear" w:color="auto" w:fill="C4EFCE"/>
            <w:noWrap/>
            <w:vAlign w:val="center"/>
            <w:hideMark/>
          </w:tcPr>
          <w:p w14:paraId="76E795FA" w14:textId="77777777" w:rsidR="00F24946" w:rsidRDefault="00613B06">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2D718AE9"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7EAE67B" w14:textId="77777777" w:rsidR="00F24946" w:rsidRDefault="00613B06">
            <w:pPr>
              <w:pStyle w:val="P68B1DB1-Normal8"/>
              <w:spacing w:after="0" w:line="240" w:lineRule="auto"/>
              <w:jc w:val="center"/>
              <w:rPr>
                <w:rFonts w:eastAsia="Times New Roman" w:cs="Calibri"/>
                <w:noProof/>
              </w:rPr>
            </w:pPr>
            <w:r>
              <w:rPr>
                <w:noProof/>
              </w:rPr>
              <w:t>Dokončati izvajanje centra za varnostne operacije</w:t>
            </w:r>
          </w:p>
        </w:tc>
        <w:tc>
          <w:tcPr>
            <w:tcW w:w="1356" w:type="dxa"/>
            <w:shd w:val="clear" w:color="auto" w:fill="C4EFCE"/>
            <w:noWrap/>
            <w:vAlign w:val="center"/>
            <w:hideMark/>
          </w:tcPr>
          <w:p w14:paraId="0998F4B9" w14:textId="77777777" w:rsidR="00F24946" w:rsidRDefault="00613B06">
            <w:pPr>
              <w:pStyle w:val="P68B1DB1-Normal8"/>
              <w:spacing w:after="0" w:line="240" w:lineRule="auto"/>
              <w:jc w:val="center"/>
              <w:rPr>
                <w:rFonts w:eastAsia="Times New Roman" w:cs="Calibri"/>
                <w:noProof/>
              </w:rPr>
            </w:pPr>
            <w:r>
              <w:rPr>
                <w:noProof/>
              </w:rPr>
              <w:t>Dokončanje izvajanja centra za varnostne operacije</w:t>
            </w:r>
          </w:p>
        </w:tc>
        <w:tc>
          <w:tcPr>
            <w:tcW w:w="909" w:type="dxa"/>
            <w:shd w:val="clear" w:color="auto" w:fill="C4EFCE"/>
            <w:noWrap/>
            <w:vAlign w:val="center"/>
            <w:hideMark/>
          </w:tcPr>
          <w:p w14:paraId="4BF11062"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A0E5BC3"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3E331B7"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DF70649"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58B8D8F6"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46684948" w14:textId="77777777" w:rsidR="00F24946" w:rsidRDefault="00613B06">
            <w:pPr>
              <w:pStyle w:val="P68B1DB1-Normal8"/>
              <w:spacing w:after="0" w:line="240" w:lineRule="auto"/>
              <w:jc w:val="both"/>
              <w:rPr>
                <w:rFonts w:eastAsia="Times New Roman" w:cs="Calibri"/>
                <w:noProof/>
              </w:rPr>
            </w:pPr>
            <w:r>
              <w:rPr>
                <w:noProof/>
              </w:rPr>
              <w:t>Dokončanje izvajanja centra za varnostne operacije, da se omogoči večja varnost informacij in dostop do podatkov ter izvajanje varnostnih politik in rešitev za kibernetsko varnost.</w:t>
            </w:r>
          </w:p>
        </w:tc>
      </w:tr>
      <w:tr w:rsidR="00F24946" w14:paraId="5362F69D" w14:textId="77777777">
        <w:trPr>
          <w:trHeight w:val="640"/>
        </w:trPr>
        <w:tc>
          <w:tcPr>
            <w:tcW w:w="1043" w:type="dxa"/>
            <w:gridSpan w:val="2"/>
            <w:shd w:val="clear" w:color="auto" w:fill="C4EFCE"/>
            <w:vAlign w:val="center"/>
            <w:hideMark/>
          </w:tcPr>
          <w:p w14:paraId="31BEB070" w14:textId="6A625FBD" w:rsidR="00F24946" w:rsidRDefault="00613B06">
            <w:pPr>
              <w:pStyle w:val="P68B1DB1-Normal7"/>
              <w:spacing w:after="0" w:line="240" w:lineRule="auto"/>
              <w:jc w:val="center"/>
              <w:rPr>
                <w:rFonts w:eastAsia="Times New Roman" w:cs="Calibri"/>
                <w:noProof/>
              </w:rPr>
            </w:pPr>
            <w:r>
              <w:rPr>
                <w:noProof/>
              </w:rPr>
              <w:t>17.15</w:t>
            </w:r>
          </w:p>
        </w:tc>
        <w:tc>
          <w:tcPr>
            <w:tcW w:w="1161" w:type="dxa"/>
            <w:shd w:val="clear" w:color="auto" w:fill="C4EFCE"/>
            <w:noWrap/>
            <w:vAlign w:val="center"/>
            <w:hideMark/>
          </w:tcPr>
          <w:p w14:paraId="7B839632" w14:textId="77777777" w:rsidR="00F24946" w:rsidRDefault="00613B06">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0225F062"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4838897" w14:textId="77777777" w:rsidR="00F24946" w:rsidRDefault="00613B06">
            <w:pPr>
              <w:pStyle w:val="P68B1DB1-Normal8"/>
              <w:spacing w:after="0" w:line="240" w:lineRule="auto"/>
              <w:jc w:val="center"/>
              <w:rPr>
                <w:rFonts w:eastAsia="Times New Roman" w:cs="Calibri"/>
                <w:noProof/>
              </w:rPr>
            </w:pPr>
            <w:r>
              <w:rPr>
                <w:noProof/>
              </w:rPr>
              <w:t>Dokončati predhodno izpolnitev prijave vzorca 1 občinskega davka na nepremičnine (IMI) na podlagi podatkov, ki jih ima na voljo davčna in carinska uprava;</w:t>
            </w:r>
          </w:p>
        </w:tc>
        <w:tc>
          <w:tcPr>
            <w:tcW w:w="1356" w:type="dxa"/>
            <w:shd w:val="clear" w:color="auto" w:fill="C4EFCE"/>
            <w:noWrap/>
            <w:vAlign w:val="center"/>
            <w:hideMark/>
          </w:tcPr>
          <w:p w14:paraId="451BCA0C" w14:textId="77777777" w:rsidR="00F24946" w:rsidRDefault="00613B06">
            <w:pPr>
              <w:pStyle w:val="P68B1DB1-Normal8"/>
              <w:spacing w:after="0" w:line="240" w:lineRule="auto"/>
              <w:jc w:val="center"/>
              <w:rPr>
                <w:rFonts w:eastAsia="Times New Roman" w:cs="Calibri"/>
                <w:noProof/>
              </w:rPr>
            </w:pPr>
            <w:r>
              <w:rPr>
                <w:noProof/>
              </w:rPr>
              <w:t>Dokončati predhodno izpolnitev obrazca 1 prijave občinskega davka na nepremičnine (IMI)</w:t>
            </w:r>
          </w:p>
        </w:tc>
        <w:tc>
          <w:tcPr>
            <w:tcW w:w="909" w:type="dxa"/>
            <w:shd w:val="clear" w:color="auto" w:fill="C4EFCE"/>
            <w:noWrap/>
            <w:vAlign w:val="center"/>
            <w:hideMark/>
          </w:tcPr>
          <w:p w14:paraId="5622F9E0"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16D8FAE4"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D1DC19D"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19997423" w14:textId="77777777" w:rsidR="00F24946" w:rsidRDefault="00613B06">
            <w:pPr>
              <w:pStyle w:val="P68B1DB1-Normal8"/>
              <w:spacing w:after="0" w:line="240" w:lineRule="auto"/>
              <w:jc w:val="center"/>
              <w:rPr>
                <w:rFonts w:eastAsia="Times New Roman" w:cs="Calibri"/>
                <w:noProof/>
              </w:rPr>
            </w:pPr>
            <w:r>
              <w:rPr>
                <w:noProof/>
              </w:rPr>
              <w:t>Q2</w:t>
            </w:r>
          </w:p>
        </w:tc>
        <w:tc>
          <w:tcPr>
            <w:tcW w:w="656" w:type="dxa"/>
            <w:shd w:val="clear" w:color="auto" w:fill="C4EFCE"/>
            <w:noWrap/>
            <w:vAlign w:val="center"/>
            <w:hideMark/>
          </w:tcPr>
          <w:p w14:paraId="2F091CDC" w14:textId="77777777" w:rsidR="00F24946" w:rsidRDefault="00613B06">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0BA4FBF7" w14:textId="77777777" w:rsidR="00F24946" w:rsidRDefault="00613B06">
            <w:pPr>
              <w:pStyle w:val="P68B1DB1-Normal8"/>
              <w:spacing w:after="0" w:line="240" w:lineRule="auto"/>
              <w:jc w:val="both"/>
              <w:rPr>
                <w:rFonts w:eastAsia="Times New Roman" w:cs="Calibri"/>
                <w:noProof/>
              </w:rPr>
            </w:pPr>
            <w:r>
              <w:rPr>
                <w:noProof/>
              </w:rPr>
              <w:t>Izmenjava podatkov med davčno in carinsko upravo ter občinami za predhodno izpolnitev vzorčne prijave občinskega davka na nepremičnine („</w:t>
            </w:r>
            <w:r>
              <w:rPr>
                <w:i/>
                <w:noProof/>
              </w:rPr>
              <w:t>Imposto Municipal sobre Imóveis</w:t>
            </w:r>
            <w:r>
              <w:rPr>
                <w:noProof/>
              </w:rPr>
              <w:t>“, IMI), pri čemer se izkoristijo obstoječe informacije o nepremičninah v zadevnih informacijskih sistemih.</w:t>
            </w:r>
          </w:p>
        </w:tc>
      </w:tr>
      <w:tr w:rsidR="00F24946" w14:paraId="0B05BC3F" w14:textId="77777777">
        <w:trPr>
          <w:trHeight w:val="640"/>
        </w:trPr>
        <w:tc>
          <w:tcPr>
            <w:tcW w:w="1043" w:type="dxa"/>
            <w:gridSpan w:val="2"/>
            <w:shd w:val="clear" w:color="auto" w:fill="C4EFCE"/>
            <w:vAlign w:val="center"/>
          </w:tcPr>
          <w:p w14:paraId="62EFB6DD" w14:textId="15BA45D9" w:rsidR="00F24946" w:rsidRDefault="00613B06">
            <w:pPr>
              <w:pStyle w:val="P68B1DB1-Normal11"/>
              <w:spacing w:after="0" w:line="240" w:lineRule="auto"/>
              <w:jc w:val="center"/>
              <w:rPr>
                <w:rFonts w:ascii="Calibri" w:eastAsia="Times New Roman" w:hAnsi="Calibri" w:cs="Calibri"/>
                <w:noProof/>
              </w:rPr>
            </w:pPr>
            <w:r>
              <w:rPr>
                <w:noProof/>
              </w:rPr>
              <w:t>17.21</w:t>
            </w:r>
          </w:p>
        </w:tc>
        <w:tc>
          <w:tcPr>
            <w:tcW w:w="1161" w:type="dxa"/>
            <w:shd w:val="clear" w:color="auto" w:fill="C4EFCE"/>
            <w:noWrap/>
            <w:vAlign w:val="center"/>
          </w:tcPr>
          <w:p w14:paraId="21471993" w14:textId="2900E5A4" w:rsidR="00F24946" w:rsidRDefault="00613B06">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tcPr>
          <w:p w14:paraId="3FACD559" w14:textId="22769DF8"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tcPr>
          <w:p w14:paraId="648192F8" w14:textId="3B970152" w:rsidR="00F24946" w:rsidRDefault="00613B06">
            <w:pPr>
              <w:pStyle w:val="P68B1DB1-Normal8"/>
              <w:spacing w:after="0" w:line="240" w:lineRule="auto"/>
              <w:jc w:val="center"/>
              <w:rPr>
                <w:rFonts w:eastAsia="Times New Roman" w:cs="Calibri"/>
                <w:noProof/>
              </w:rPr>
            </w:pPr>
            <w:r>
              <w:rPr>
                <w:noProof/>
              </w:rPr>
              <w:t>Dokončati predhodno izpolnjevanje posebnih transakcij, za katere velja kolkovina</w:t>
            </w:r>
          </w:p>
        </w:tc>
        <w:tc>
          <w:tcPr>
            <w:tcW w:w="1356" w:type="dxa"/>
            <w:shd w:val="clear" w:color="auto" w:fill="C4EFCE"/>
            <w:noWrap/>
            <w:vAlign w:val="center"/>
          </w:tcPr>
          <w:p w14:paraId="59F0138D" w14:textId="2B1A728B" w:rsidR="00F24946" w:rsidRDefault="00613B06">
            <w:pPr>
              <w:pStyle w:val="P68B1DB1-Normal8"/>
              <w:spacing w:after="0" w:line="240" w:lineRule="auto"/>
              <w:jc w:val="center"/>
              <w:rPr>
                <w:rFonts w:eastAsia="Times New Roman" w:cs="Calibri"/>
                <w:noProof/>
              </w:rPr>
            </w:pPr>
            <w:r>
              <w:rPr>
                <w:noProof/>
              </w:rPr>
              <w:t>Dokončanje izvajanja predhodnega izpolnjevanja posebnih transakcij, za katere velja kolkovina</w:t>
            </w:r>
          </w:p>
        </w:tc>
        <w:tc>
          <w:tcPr>
            <w:tcW w:w="909" w:type="dxa"/>
            <w:shd w:val="clear" w:color="auto" w:fill="C4EFCE"/>
            <w:noWrap/>
            <w:vAlign w:val="center"/>
          </w:tcPr>
          <w:p w14:paraId="6A2AF1CB" w14:textId="77777777" w:rsidR="00F24946" w:rsidRDefault="00F24946">
            <w:pPr>
              <w:spacing w:after="0" w:line="240" w:lineRule="auto"/>
              <w:jc w:val="center"/>
              <w:rPr>
                <w:rFonts w:ascii="Calibri" w:eastAsia="Times New Roman" w:hAnsi="Calibri" w:cs="Calibri"/>
                <w:noProof/>
                <w:sz w:val="16"/>
              </w:rPr>
            </w:pPr>
          </w:p>
        </w:tc>
        <w:tc>
          <w:tcPr>
            <w:tcW w:w="908" w:type="dxa"/>
            <w:shd w:val="clear" w:color="auto" w:fill="C4EFCE"/>
            <w:noWrap/>
            <w:vAlign w:val="center"/>
          </w:tcPr>
          <w:p w14:paraId="0C8AF654" w14:textId="77777777" w:rsidR="00F24946" w:rsidRDefault="00F24946">
            <w:pPr>
              <w:spacing w:after="0" w:line="240" w:lineRule="auto"/>
              <w:jc w:val="center"/>
              <w:rPr>
                <w:rFonts w:ascii="Calibri" w:eastAsia="Times New Roman" w:hAnsi="Calibri" w:cs="Calibri"/>
                <w:noProof/>
                <w:sz w:val="16"/>
              </w:rPr>
            </w:pPr>
          </w:p>
        </w:tc>
        <w:tc>
          <w:tcPr>
            <w:tcW w:w="657" w:type="dxa"/>
            <w:shd w:val="clear" w:color="auto" w:fill="C4EFCE"/>
            <w:noWrap/>
            <w:vAlign w:val="center"/>
          </w:tcPr>
          <w:p w14:paraId="4A18B87A" w14:textId="77777777" w:rsidR="00F24946" w:rsidRDefault="00F24946">
            <w:pPr>
              <w:spacing w:after="0" w:line="240" w:lineRule="auto"/>
              <w:jc w:val="center"/>
              <w:rPr>
                <w:rFonts w:ascii="Calibri" w:eastAsia="Times New Roman" w:hAnsi="Calibri" w:cs="Calibri"/>
                <w:noProof/>
                <w:sz w:val="16"/>
              </w:rPr>
            </w:pPr>
          </w:p>
        </w:tc>
        <w:tc>
          <w:tcPr>
            <w:tcW w:w="530" w:type="dxa"/>
            <w:shd w:val="clear" w:color="auto" w:fill="C4EFCE"/>
            <w:noWrap/>
            <w:vAlign w:val="center"/>
          </w:tcPr>
          <w:p w14:paraId="3169F07F" w14:textId="30A90A7A"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tcPr>
          <w:p w14:paraId="483BF940" w14:textId="6003A4D6" w:rsidR="00F24946" w:rsidRDefault="00613B06">
            <w:pPr>
              <w:pStyle w:val="P68B1DB1-Normal8"/>
              <w:spacing w:after="0" w:line="240" w:lineRule="auto"/>
              <w:jc w:val="center"/>
              <w:rPr>
                <w:rFonts w:eastAsia="Times New Roman" w:cs="Calibri"/>
                <w:noProof/>
              </w:rPr>
            </w:pPr>
            <w:r>
              <w:rPr>
                <w:noProof/>
              </w:rPr>
              <w:t>2023</w:t>
            </w:r>
          </w:p>
        </w:tc>
        <w:tc>
          <w:tcPr>
            <w:tcW w:w="5456" w:type="dxa"/>
            <w:shd w:val="clear" w:color="auto" w:fill="C4EFCE"/>
            <w:noWrap/>
            <w:vAlign w:val="center"/>
          </w:tcPr>
          <w:p w14:paraId="3FD5E02C" w14:textId="06D7A0A1" w:rsidR="00F24946" w:rsidRDefault="00613B06">
            <w:pPr>
              <w:pStyle w:val="P68B1DB1-Normal8"/>
              <w:spacing w:after="0" w:line="240" w:lineRule="auto"/>
              <w:jc w:val="both"/>
              <w:rPr>
                <w:rFonts w:eastAsia="Times New Roman" w:cs="Calibri"/>
                <w:noProof/>
              </w:rPr>
            </w:pPr>
            <w:r>
              <w:rPr>
                <w:noProof/>
              </w:rPr>
              <w:t>Dokončati izvajanje storitev predhodnega polnjenja za transakcije prenosa nepremičnin in vozil, za katere se plača kolkovina (</w:t>
            </w:r>
            <w:r>
              <w:rPr>
                <w:i/>
                <w:noProof/>
              </w:rPr>
              <w:t>Imposto de Selo</w:t>
            </w:r>
            <w:r>
              <w:rPr>
                <w:noProof/>
              </w:rPr>
              <w:t>), pri čemer se izkoristijo obstoječe informacije o nepremičninah, ki so na voljo davčnim in carinskim organom, Inštitutu za mobilnost in promet</w:t>
            </w:r>
            <w:r>
              <w:rPr>
                <w:i/>
                <w:noProof/>
              </w:rPr>
              <w:t xml:space="preserve">. </w:t>
            </w:r>
            <w:r>
              <w:rPr>
                <w:noProof/>
              </w:rPr>
              <w:t>(IMT) in Inštitut za registre in notarje (IRN).</w:t>
            </w:r>
          </w:p>
        </w:tc>
      </w:tr>
      <w:tr w:rsidR="00F24946" w14:paraId="5A586D67" w14:textId="77777777">
        <w:trPr>
          <w:trHeight w:val="430"/>
        </w:trPr>
        <w:tc>
          <w:tcPr>
            <w:tcW w:w="1043" w:type="dxa"/>
            <w:gridSpan w:val="2"/>
            <w:shd w:val="clear" w:color="auto" w:fill="C4EFCE"/>
            <w:vAlign w:val="center"/>
            <w:hideMark/>
          </w:tcPr>
          <w:p w14:paraId="169BD49B" w14:textId="22DC1B0C" w:rsidR="00F24946" w:rsidRDefault="00613B06">
            <w:pPr>
              <w:pStyle w:val="P68B1DB1-Normal7"/>
              <w:spacing w:after="0" w:line="240" w:lineRule="auto"/>
              <w:jc w:val="center"/>
              <w:rPr>
                <w:rFonts w:eastAsia="Times New Roman" w:cs="Calibri"/>
                <w:noProof/>
              </w:rPr>
            </w:pPr>
            <w:r>
              <w:rPr>
                <w:noProof/>
              </w:rPr>
              <w:t>17.16</w:t>
            </w:r>
          </w:p>
        </w:tc>
        <w:tc>
          <w:tcPr>
            <w:tcW w:w="1161" w:type="dxa"/>
            <w:shd w:val="clear" w:color="auto" w:fill="C4EFCE"/>
            <w:noWrap/>
            <w:vAlign w:val="center"/>
            <w:hideMark/>
          </w:tcPr>
          <w:p w14:paraId="7338038A" w14:textId="77777777" w:rsidR="00F24946" w:rsidRDefault="00613B06">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46ECBF0B" w14:textId="77777777" w:rsidR="00F24946" w:rsidRDefault="00613B06">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369D0DB" w14:textId="77777777" w:rsidR="00F24946" w:rsidRDefault="00613B06">
            <w:pPr>
              <w:pStyle w:val="P68B1DB1-Normal8"/>
              <w:spacing w:after="0" w:line="240" w:lineRule="auto"/>
              <w:jc w:val="center"/>
              <w:rPr>
                <w:rFonts w:eastAsia="Times New Roman" w:cs="Calibri"/>
                <w:noProof/>
              </w:rPr>
            </w:pPr>
            <w:r>
              <w:rPr>
                <w:noProof/>
              </w:rPr>
              <w:t>Zagotavljanje in operacionalizacija končne različice informacijskega sistema, ki podpira poenostavljeno oceno podeželskih nepremičnin</w:t>
            </w:r>
          </w:p>
        </w:tc>
        <w:tc>
          <w:tcPr>
            <w:tcW w:w="1356" w:type="dxa"/>
            <w:shd w:val="clear" w:color="auto" w:fill="C4EFCE"/>
            <w:noWrap/>
            <w:vAlign w:val="center"/>
            <w:hideMark/>
          </w:tcPr>
          <w:p w14:paraId="0D7E1C75" w14:textId="77777777" w:rsidR="00F24946" w:rsidRDefault="00613B06">
            <w:pPr>
              <w:pStyle w:val="P68B1DB1-Normal8"/>
              <w:spacing w:after="0" w:line="240" w:lineRule="auto"/>
              <w:jc w:val="center"/>
              <w:rPr>
                <w:rFonts w:eastAsia="Times New Roman" w:cs="Calibri"/>
                <w:noProof/>
              </w:rPr>
            </w:pPr>
            <w:r>
              <w:rPr>
                <w:noProof/>
              </w:rPr>
              <w:t>Zagotavljanje in operacionalizacija končne različice informacijskega sistema, ki podpira poenostavljeno oceno podeželskih nepremičnin</w:t>
            </w:r>
          </w:p>
        </w:tc>
        <w:tc>
          <w:tcPr>
            <w:tcW w:w="909" w:type="dxa"/>
            <w:shd w:val="clear" w:color="auto" w:fill="C4EFCE"/>
            <w:noWrap/>
            <w:vAlign w:val="center"/>
            <w:hideMark/>
          </w:tcPr>
          <w:p w14:paraId="3A165F24" w14:textId="77777777" w:rsidR="00F24946" w:rsidRDefault="00613B06">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74CA91F" w14:textId="77777777" w:rsidR="00F24946" w:rsidRDefault="00613B06">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300B0DA" w14:textId="77777777" w:rsidR="00F24946" w:rsidRDefault="00613B06">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C8D6393"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0731EA14"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0EDB57E" w14:textId="77777777" w:rsidR="00F24946" w:rsidRDefault="00613B06">
            <w:pPr>
              <w:pStyle w:val="P68B1DB1-Normal8"/>
              <w:spacing w:after="0" w:line="240" w:lineRule="auto"/>
              <w:jc w:val="both"/>
              <w:rPr>
                <w:rFonts w:eastAsia="Times New Roman" w:cs="Calibri"/>
                <w:noProof/>
              </w:rPr>
            </w:pPr>
            <w:r>
              <w:rPr>
                <w:noProof/>
              </w:rPr>
              <w:t>Zagotavljanje informacijskega sistema, ki podpira poenostavljeno oceno podeželskih nepremičnin kot pomožnega ukrepa k splošnemu prevrednotenju te vrste nepremičnin.</w:t>
            </w:r>
          </w:p>
        </w:tc>
      </w:tr>
      <w:tr w:rsidR="00F24946" w14:paraId="4384BCD2" w14:textId="77777777">
        <w:trPr>
          <w:trHeight w:val="640"/>
        </w:trPr>
        <w:tc>
          <w:tcPr>
            <w:tcW w:w="1043" w:type="dxa"/>
            <w:gridSpan w:val="2"/>
            <w:shd w:val="clear" w:color="auto" w:fill="C4EFCE"/>
            <w:vAlign w:val="center"/>
            <w:hideMark/>
          </w:tcPr>
          <w:p w14:paraId="0D69DEF7" w14:textId="1C27A11A" w:rsidR="00F24946" w:rsidRDefault="00613B06">
            <w:pPr>
              <w:pStyle w:val="P68B1DB1-Normal7"/>
              <w:spacing w:after="0" w:line="240" w:lineRule="auto"/>
              <w:jc w:val="center"/>
              <w:rPr>
                <w:rFonts w:eastAsia="Times New Roman" w:cs="Calibri"/>
                <w:noProof/>
              </w:rPr>
            </w:pPr>
            <w:r>
              <w:rPr>
                <w:noProof/>
              </w:rPr>
              <w:t>17.17</w:t>
            </w:r>
          </w:p>
        </w:tc>
        <w:tc>
          <w:tcPr>
            <w:tcW w:w="1161" w:type="dxa"/>
            <w:shd w:val="clear" w:color="auto" w:fill="C4EFCE"/>
            <w:noWrap/>
            <w:vAlign w:val="center"/>
            <w:hideMark/>
          </w:tcPr>
          <w:p w14:paraId="319B5557" w14:textId="77777777" w:rsidR="00F24946" w:rsidRDefault="00613B06">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2F25B982"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554A6DF7" w14:textId="77777777" w:rsidR="00F24946" w:rsidRDefault="00613B06">
            <w:pPr>
              <w:pStyle w:val="P68B1DB1-Normal8"/>
              <w:spacing w:after="0" w:line="240" w:lineRule="auto"/>
              <w:jc w:val="center"/>
              <w:rPr>
                <w:rFonts w:eastAsia="Times New Roman" w:cs="Calibri"/>
                <w:noProof/>
              </w:rPr>
            </w:pPr>
            <w:r>
              <w:rPr>
                <w:noProof/>
              </w:rPr>
              <w:t>Dokončati edafo-climato-morfološko (tla in podnebje) in oceno gospodarskega potenciala podeželskih lastnosti</w:t>
            </w:r>
          </w:p>
        </w:tc>
        <w:tc>
          <w:tcPr>
            <w:tcW w:w="1356" w:type="dxa"/>
            <w:shd w:val="clear" w:color="auto" w:fill="C4EFCE"/>
            <w:noWrap/>
            <w:vAlign w:val="center"/>
            <w:hideMark/>
          </w:tcPr>
          <w:p w14:paraId="23699059" w14:textId="77777777" w:rsidR="00F24946" w:rsidRDefault="00613B06">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23D3643A" w14:textId="77777777" w:rsidR="00F24946" w:rsidRDefault="00613B06">
            <w:pPr>
              <w:pStyle w:val="P68B1DB1-Normal8"/>
              <w:spacing w:after="0" w:line="240" w:lineRule="auto"/>
              <w:jc w:val="center"/>
              <w:rPr>
                <w:rFonts w:eastAsia="Times New Roman" w:cs="Calibri"/>
                <w:noProof/>
              </w:rPr>
            </w:pPr>
            <w:r>
              <w:rPr>
                <w:noProof/>
              </w:rPr>
              <w:t>%</w:t>
            </w:r>
          </w:p>
        </w:tc>
        <w:tc>
          <w:tcPr>
            <w:tcW w:w="908" w:type="dxa"/>
            <w:shd w:val="clear" w:color="auto" w:fill="C4EFCE"/>
            <w:noWrap/>
            <w:vAlign w:val="center"/>
            <w:hideMark/>
          </w:tcPr>
          <w:p w14:paraId="7FB8B9E4" w14:textId="77777777" w:rsidR="00F24946" w:rsidRDefault="00613B06">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6CC06233" w14:textId="77777777" w:rsidR="00F24946" w:rsidRDefault="00613B06">
            <w:pPr>
              <w:pStyle w:val="P68B1DB1-Normal8"/>
              <w:spacing w:after="0" w:line="240" w:lineRule="auto"/>
              <w:jc w:val="center"/>
              <w:rPr>
                <w:rFonts w:eastAsia="Times New Roman" w:cs="Calibri"/>
                <w:noProof/>
              </w:rPr>
            </w:pPr>
            <w:r>
              <w:rPr>
                <w:noProof/>
              </w:rPr>
              <w:t>90</w:t>
            </w:r>
          </w:p>
        </w:tc>
        <w:tc>
          <w:tcPr>
            <w:tcW w:w="530" w:type="dxa"/>
            <w:shd w:val="clear" w:color="auto" w:fill="C4EFCE"/>
            <w:noWrap/>
            <w:vAlign w:val="center"/>
            <w:hideMark/>
          </w:tcPr>
          <w:p w14:paraId="2B8440D4"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0BB7DA10"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7355182" w14:textId="77777777" w:rsidR="00F24946" w:rsidRDefault="00613B06">
            <w:pPr>
              <w:pStyle w:val="P68B1DB1-Normal8"/>
              <w:spacing w:after="0" w:line="240" w:lineRule="auto"/>
              <w:jc w:val="both"/>
              <w:rPr>
                <w:rFonts w:eastAsia="Times New Roman" w:cs="Calibri"/>
                <w:noProof/>
              </w:rPr>
            </w:pPr>
            <w:r>
              <w:rPr>
                <w:noProof/>
              </w:rPr>
              <w:t>Odstotek podeželskega območja celinske Portugalske, katerega edafo-climato-morfološka (tla in podnebje) ter ocena gospodarskega potenciala se zaključita, kar podpira razvoj georeferenčne rešitve za upravljanje informacij.</w:t>
            </w:r>
          </w:p>
        </w:tc>
      </w:tr>
      <w:tr w:rsidR="00F24946" w14:paraId="636011DB" w14:textId="77777777">
        <w:trPr>
          <w:trHeight w:val="1270"/>
        </w:trPr>
        <w:tc>
          <w:tcPr>
            <w:tcW w:w="1043" w:type="dxa"/>
            <w:gridSpan w:val="2"/>
            <w:shd w:val="clear" w:color="auto" w:fill="C4EFCE"/>
            <w:vAlign w:val="center"/>
            <w:hideMark/>
          </w:tcPr>
          <w:p w14:paraId="564CA0E6" w14:textId="3B2D5A91" w:rsidR="00F24946" w:rsidRDefault="00613B06">
            <w:pPr>
              <w:pStyle w:val="P68B1DB1-Normal7"/>
              <w:spacing w:after="0" w:line="240" w:lineRule="auto"/>
              <w:jc w:val="center"/>
              <w:rPr>
                <w:rFonts w:eastAsia="Times New Roman" w:cs="Calibri"/>
                <w:noProof/>
              </w:rPr>
            </w:pPr>
            <w:r>
              <w:rPr>
                <w:noProof/>
              </w:rPr>
              <w:t>17.18</w:t>
            </w:r>
          </w:p>
        </w:tc>
        <w:tc>
          <w:tcPr>
            <w:tcW w:w="1161" w:type="dxa"/>
            <w:shd w:val="clear" w:color="auto" w:fill="C4EFCE"/>
            <w:noWrap/>
            <w:vAlign w:val="center"/>
            <w:hideMark/>
          </w:tcPr>
          <w:p w14:paraId="54C584E0" w14:textId="77777777" w:rsidR="00F24946" w:rsidRDefault="00613B06">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38875FBD"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C70B1BF" w14:textId="77777777" w:rsidR="00F24946" w:rsidRDefault="00613B06">
            <w:pPr>
              <w:pStyle w:val="P68B1DB1-Normal8"/>
              <w:spacing w:after="0" w:line="240" w:lineRule="auto"/>
              <w:jc w:val="center"/>
              <w:rPr>
                <w:rFonts w:eastAsia="Times New Roman" w:cs="Calibri"/>
                <w:noProof/>
              </w:rPr>
            </w:pPr>
            <w:r>
              <w:rPr>
                <w:noProof/>
              </w:rPr>
              <w:t xml:space="preserve">Razširitev funkcij spletnega mesta </w:t>
            </w:r>
            <w:r>
              <w:rPr>
                <w:i/>
                <w:noProof/>
              </w:rPr>
              <w:t>Segurança Social</w:t>
            </w:r>
            <w:r>
              <w:rPr>
                <w:noProof/>
              </w:rPr>
              <w:t xml:space="preserve"> Direta z dodajanjem petih novih spletnih storitev</w:t>
            </w:r>
          </w:p>
        </w:tc>
        <w:tc>
          <w:tcPr>
            <w:tcW w:w="1356" w:type="dxa"/>
            <w:shd w:val="clear" w:color="auto" w:fill="C4EFCE"/>
            <w:noWrap/>
            <w:vAlign w:val="center"/>
            <w:hideMark/>
          </w:tcPr>
          <w:p w14:paraId="4A5FCF4B" w14:textId="77777777" w:rsidR="00F24946" w:rsidRDefault="00613B06">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58A04118"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16EE0F30" w14:textId="77777777" w:rsidR="00F24946" w:rsidRDefault="00613B06">
            <w:pPr>
              <w:pStyle w:val="P68B1DB1-Normal8"/>
              <w:spacing w:after="0" w:line="240" w:lineRule="auto"/>
              <w:jc w:val="center"/>
              <w:rPr>
                <w:rFonts w:eastAsia="Times New Roman" w:cs="Calibri"/>
                <w:noProof/>
              </w:rPr>
            </w:pPr>
            <w:r>
              <w:rPr>
                <w:noProof/>
              </w:rPr>
              <w:t>3</w:t>
            </w:r>
          </w:p>
        </w:tc>
        <w:tc>
          <w:tcPr>
            <w:tcW w:w="657" w:type="dxa"/>
            <w:shd w:val="clear" w:color="auto" w:fill="C4EFCE"/>
            <w:noWrap/>
            <w:vAlign w:val="center"/>
            <w:hideMark/>
          </w:tcPr>
          <w:p w14:paraId="45C95345" w14:textId="77777777" w:rsidR="00F24946" w:rsidRDefault="00613B06">
            <w:pPr>
              <w:pStyle w:val="P68B1DB1-Normal8"/>
              <w:spacing w:after="0" w:line="240" w:lineRule="auto"/>
              <w:jc w:val="center"/>
              <w:rPr>
                <w:rFonts w:eastAsia="Times New Roman" w:cs="Calibri"/>
                <w:noProof/>
              </w:rPr>
            </w:pPr>
            <w:r>
              <w:rPr>
                <w:noProof/>
              </w:rPr>
              <w:t>8</w:t>
            </w:r>
          </w:p>
        </w:tc>
        <w:tc>
          <w:tcPr>
            <w:tcW w:w="530" w:type="dxa"/>
            <w:shd w:val="clear" w:color="auto" w:fill="C4EFCE"/>
            <w:noWrap/>
            <w:vAlign w:val="center"/>
            <w:hideMark/>
          </w:tcPr>
          <w:p w14:paraId="578C45B2"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3B5AB061"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12D569A" w14:textId="0C5219B1" w:rsidR="00F24946" w:rsidRDefault="00613B06">
            <w:pPr>
              <w:pStyle w:val="P68B1DB1-Normal8"/>
              <w:spacing w:after="0" w:line="240" w:lineRule="auto"/>
              <w:jc w:val="both"/>
              <w:rPr>
                <w:rFonts w:eastAsia="Times New Roman" w:cs="Calibri"/>
                <w:noProof/>
              </w:rPr>
            </w:pPr>
            <w:r>
              <w:rPr>
                <w:noProof/>
              </w:rPr>
              <w:t xml:space="preserve">Število novih spletnih storitev, dodanih na spletno mesto </w:t>
            </w:r>
            <w:r>
              <w:rPr>
                <w:i/>
                <w:noProof/>
              </w:rPr>
              <w:t>Segurança Social</w:t>
            </w:r>
            <w:r>
              <w:rPr>
                <w:noProof/>
              </w:rPr>
              <w:t xml:space="preserve"> Direta za razširitev njegovih funkcij, in sicer: I) informacijski sistem za tehnično pomoč sodiščem – postopek civilnega skrbništva ter postopek spodbujanja in zaščite; II) dodatne dajatve – prijava statusa brezposelnosti; III) </w:t>
            </w:r>
            <w:r>
              <w:rPr>
                <w:i/>
                <w:noProof/>
              </w:rPr>
              <w:t>družinske dajatve – ponovna ocena</w:t>
            </w:r>
            <w:r>
              <w:rPr>
                <w:noProof/>
              </w:rPr>
              <w:t xml:space="preserve">; IV) subvencija zaradi začasne ustavitve dejavnosti; in v) preživelih pokojnin. Cilj je povečati relativno težo družbe </w:t>
            </w:r>
            <w:r>
              <w:rPr>
                <w:i/>
                <w:noProof/>
              </w:rPr>
              <w:t>Segurança Social Direta na</w:t>
            </w:r>
            <w:r>
              <w:rPr>
                <w:noProof/>
              </w:rPr>
              <w:t xml:space="preserve"> vseh komunikacijskih kanalih s socialno varnostjo glede na uvedbo 360-stopinjskega načrta vizije.</w:t>
            </w:r>
          </w:p>
        </w:tc>
      </w:tr>
      <w:tr w:rsidR="00F24946" w14:paraId="67757C18" w14:textId="77777777">
        <w:trPr>
          <w:trHeight w:val="850"/>
        </w:trPr>
        <w:tc>
          <w:tcPr>
            <w:tcW w:w="1043" w:type="dxa"/>
            <w:gridSpan w:val="2"/>
            <w:shd w:val="clear" w:color="auto" w:fill="C4EFCE"/>
            <w:vAlign w:val="center"/>
            <w:hideMark/>
          </w:tcPr>
          <w:p w14:paraId="7799FC6F" w14:textId="77E3C44D" w:rsidR="00F24946" w:rsidRDefault="00613B06">
            <w:pPr>
              <w:pStyle w:val="P68B1DB1-Normal7"/>
              <w:spacing w:after="0" w:line="240" w:lineRule="auto"/>
              <w:jc w:val="center"/>
              <w:rPr>
                <w:rFonts w:eastAsia="Times New Roman" w:cs="Calibri"/>
                <w:noProof/>
              </w:rPr>
            </w:pPr>
            <w:r>
              <w:rPr>
                <w:noProof/>
              </w:rPr>
              <w:t>17.19</w:t>
            </w:r>
          </w:p>
        </w:tc>
        <w:tc>
          <w:tcPr>
            <w:tcW w:w="1161" w:type="dxa"/>
            <w:shd w:val="clear" w:color="auto" w:fill="C4EFCE"/>
            <w:noWrap/>
            <w:vAlign w:val="center"/>
            <w:hideMark/>
          </w:tcPr>
          <w:p w14:paraId="69763485" w14:textId="77777777" w:rsidR="00F24946" w:rsidRDefault="00613B06">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76C9B871"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3B5B6FF" w14:textId="77777777" w:rsidR="00F24946" w:rsidRDefault="00613B06">
            <w:pPr>
              <w:pStyle w:val="P68B1DB1-Normal8"/>
              <w:spacing w:after="0" w:line="240" w:lineRule="auto"/>
              <w:jc w:val="center"/>
              <w:rPr>
                <w:rFonts w:eastAsia="Times New Roman" w:cs="Calibri"/>
                <w:noProof/>
              </w:rPr>
            </w:pPr>
            <w:r>
              <w:rPr>
                <w:noProof/>
              </w:rPr>
              <w:t>80-odstotno zmanjšanje povprečnega števila dni, potrebnih za dodelitev socialnih prejemkov, za katere se plačujejo prispevki, za tiste, katerih povprečni čas dodelitve je daljši od 10 dni</w:t>
            </w:r>
          </w:p>
        </w:tc>
        <w:tc>
          <w:tcPr>
            <w:tcW w:w="1356" w:type="dxa"/>
            <w:shd w:val="clear" w:color="auto" w:fill="C4EFCE"/>
            <w:noWrap/>
            <w:vAlign w:val="center"/>
            <w:hideMark/>
          </w:tcPr>
          <w:p w14:paraId="5D3A167F" w14:textId="77777777" w:rsidR="00F24946" w:rsidRDefault="00613B06">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187DF961"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33D4BFA7" w14:textId="77777777" w:rsidR="00F24946" w:rsidRDefault="00613B06">
            <w:pPr>
              <w:pStyle w:val="P68B1DB1-Normal8"/>
              <w:spacing w:after="0" w:line="240" w:lineRule="auto"/>
              <w:jc w:val="center"/>
              <w:rPr>
                <w:rFonts w:eastAsia="Times New Roman" w:cs="Calibri"/>
                <w:noProof/>
              </w:rPr>
            </w:pPr>
            <w:r>
              <w:rPr>
                <w:noProof/>
              </w:rPr>
              <w:t>109</w:t>
            </w:r>
          </w:p>
        </w:tc>
        <w:tc>
          <w:tcPr>
            <w:tcW w:w="657" w:type="dxa"/>
            <w:shd w:val="clear" w:color="auto" w:fill="C4EFCE"/>
            <w:noWrap/>
            <w:vAlign w:val="center"/>
            <w:hideMark/>
          </w:tcPr>
          <w:p w14:paraId="03C9331A" w14:textId="77777777" w:rsidR="00F24946" w:rsidRDefault="00613B06">
            <w:pPr>
              <w:pStyle w:val="P68B1DB1-Normal8"/>
              <w:spacing w:after="0" w:line="240" w:lineRule="auto"/>
              <w:jc w:val="center"/>
              <w:rPr>
                <w:rFonts w:eastAsia="Times New Roman" w:cs="Calibri"/>
                <w:noProof/>
              </w:rPr>
            </w:pPr>
            <w:r>
              <w:rPr>
                <w:noProof/>
              </w:rPr>
              <w:t>22</w:t>
            </w:r>
          </w:p>
        </w:tc>
        <w:tc>
          <w:tcPr>
            <w:tcW w:w="530" w:type="dxa"/>
            <w:shd w:val="clear" w:color="auto" w:fill="C4EFCE"/>
            <w:noWrap/>
            <w:vAlign w:val="center"/>
            <w:hideMark/>
          </w:tcPr>
          <w:p w14:paraId="58BA2038"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7772F1E3"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0FB680BD" w14:textId="77777777" w:rsidR="00F24946" w:rsidRDefault="00613B06">
            <w:pPr>
              <w:pStyle w:val="P68B1DB1-Normal8"/>
              <w:spacing w:after="0" w:line="240" w:lineRule="auto"/>
              <w:jc w:val="both"/>
              <w:rPr>
                <w:rFonts w:eastAsia="Times New Roman" w:cs="Calibri"/>
                <w:noProof/>
              </w:rPr>
            </w:pPr>
            <w:r>
              <w:rPr>
                <w:noProof/>
              </w:rPr>
              <w:t xml:space="preserve">80-odstotno zmanjšanje povprečnega števila dni, potrebnih za dodelitev socialnih prejemkov, za katere se plačujejo prispevki, za tiste, ki imajo povprečno obdobje, daljše od 10 dni, zaradi izboljšav, izvedenih na </w:t>
            </w:r>
            <w:r>
              <w:rPr>
                <w:i/>
                <w:noProof/>
              </w:rPr>
              <w:t>spletišču Segurança Social</w:t>
            </w:r>
            <w:r>
              <w:rPr>
                <w:noProof/>
              </w:rPr>
              <w:t xml:space="preserve"> Direta (v zvezi s starostnimi pokojninami za upokojence s poklicno potjo, ki temelji na prispevkih, samo na Portugalskem).</w:t>
            </w:r>
          </w:p>
        </w:tc>
      </w:tr>
      <w:tr w:rsidR="00F24946" w14:paraId="4C7418F3" w14:textId="77777777">
        <w:trPr>
          <w:gridBefore w:val="1"/>
          <w:wBefore w:w="7" w:type="dxa"/>
          <w:trHeight w:val="1480"/>
        </w:trPr>
        <w:tc>
          <w:tcPr>
            <w:tcW w:w="1036" w:type="dxa"/>
            <w:shd w:val="clear" w:color="auto" w:fill="C4EFCE"/>
            <w:vAlign w:val="center"/>
            <w:hideMark/>
          </w:tcPr>
          <w:p w14:paraId="21268FB8" w14:textId="1D9AEF2B" w:rsidR="00F24946" w:rsidRDefault="00613B06">
            <w:pPr>
              <w:pStyle w:val="P68B1DB1-Normal7"/>
              <w:spacing w:after="0" w:line="240" w:lineRule="auto"/>
              <w:jc w:val="center"/>
              <w:rPr>
                <w:rFonts w:eastAsia="Times New Roman" w:cs="Calibri"/>
                <w:noProof/>
              </w:rPr>
            </w:pPr>
            <w:r>
              <w:rPr>
                <w:noProof/>
              </w:rPr>
              <w:t>17.20</w:t>
            </w:r>
          </w:p>
        </w:tc>
        <w:tc>
          <w:tcPr>
            <w:tcW w:w="1161" w:type="dxa"/>
            <w:shd w:val="clear" w:color="auto" w:fill="C4EFCE"/>
            <w:noWrap/>
            <w:vAlign w:val="center"/>
            <w:hideMark/>
          </w:tcPr>
          <w:p w14:paraId="5F644801" w14:textId="77777777" w:rsidR="00F24946" w:rsidRDefault="00613B06">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252B371D" w14:textId="77777777" w:rsidR="00F24946" w:rsidRDefault="00613B06">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5EE2AD5" w14:textId="77777777" w:rsidR="00F24946" w:rsidRDefault="00613B06">
            <w:pPr>
              <w:pStyle w:val="P68B1DB1-Normal8"/>
              <w:spacing w:after="0" w:line="240" w:lineRule="auto"/>
              <w:jc w:val="center"/>
              <w:rPr>
                <w:rFonts w:eastAsia="Times New Roman" w:cs="Calibri"/>
                <w:noProof/>
              </w:rPr>
            </w:pPr>
            <w:r>
              <w:rPr>
                <w:noProof/>
              </w:rPr>
              <w:t>Izvajanje inteligentnih modelov nadzora v podporo preprečevanju goljufij, ki temeljijo na postopkih strojnega učenja</w:t>
            </w:r>
          </w:p>
        </w:tc>
        <w:tc>
          <w:tcPr>
            <w:tcW w:w="1356" w:type="dxa"/>
            <w:shd w:val="clear" w:color="auto" w:fill="C4EFCE"/>
            <w:noWrap/>
            <w:vAlign w:val="center"/>
            <w:hideMark/>
          </w:tcPr>
          <w:p w14:paraId="1CEDD1F2" w14:textId="77777777" w:rsidR="00F24946" w:rsidRDefault="00613B06">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6A9BFCF7" w14:textId="77777777" w:rsidR="00F24946" w:rsidRDefault="00613B06">
            <w:pPr>
              <w:pStyle w:val="P68B1DB1-Normal8"/>
              <w:spacing w:after="0" w:line="240" w:lineRule="auto"/>
              <w:jc w:val="center"/>
              <w:rPr>
                <w:rFonts w:eastAsia="Times New Roman" w:cs="Calibri"/>
                <w:noProof/>
              </w:rPr>
            </w:pPr>
            <w:r>
              <w:rPr>
                <w:noProof/>
              </w:rPr>
              <w:t>Število</w:t>
            </w:r>
          </w:p>
        </w:tc>
        <w:tc>
          <w:tcPr>
            <w:tcW w:w="908" w:type="dxa"/>
            <w:shd w:val="clear" w:color="auto" w:fill="C4EFCE"/>
            <w:noWrap/>
            <w:vAlign w:val="center"/>
            <w:hideMark/>
          </w:tcPr>
          <w:p w14:paraId="7D447794" w14:textId="77777777" w:rsidR="00F24946" w:rsidRDefault="00613B06">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46AC5F87" w14:textId="77777777" w:rsidR="00F24946" w:rsidRDefault="00613B06">
            <w:pPr>
              <w:pStyle w:val="P68B1DB1-Normal8"/>
              <w:spacing w:after="0" w:line="240" w:lineRule="auto"/>
              <w:jc w:val="center"/>
              <w:rPr>
                <w:rFonts w:eastAsia="Times New Roman" w:cs="Calibri"/>
                <w:noProof/>
              </w:rPr>
            </w:pPr>
            <w:r>
              <w:rPr>
                <w:noProof/>
              </w:rPr>
              <w:t>2</w:t>
            </w:r>
          </w:p>
        </w:tc>
        <w:tc>
          <w:tcPr>
            <w:tcW w:w="530" w:type="dxa"/>
            <w:shd w:val="clear" w:color="auto" w:fill="C4EFCE"/>
            <w:noWrap/>
            <w:vAlign w:val="center"/>
            <w:hideMark/>
          </w:tcPr>
          <w:p w14:paraId="5DD99422" w14:textId="77777777" w:rsidR="00F24946" w:rsidRDefault="00613B06">
            <w:pPr>
              <w:pStyle w:val="P68B1DB1-Normal8"/>
              <w:spacing w:after="0" w:line="240" w:lineRule="auto"/>
              <w:jc w:val="center"/>
              <w:rPr>
                <w:rFonts w:eastAsia="Times New Roman" w:cs="Calibri"/>
                <w:noProof/>
              </w:rPr>
            </w:pPr>
            <w:r>
              <w:rPr>
                <w:noProof/>
              </w:rPr>
              <w:t>Q4</w:t>
            </w:r>
          </w:p>
        </w:tc>
        <w:tc>
          <w:tcPr>
            <w:tcW w:w="656" w:type="dxa"/>
            <w:shd w:val="clear" w:color="auto" w:fill="C4EFCE"/>
            <w:noWrap/>
            <w:vAlign w:val="center"/>
            <w:hideMark/>
          </w:tcPr>
          <w:p w14:paraId="7F14D13C" w14:textId="77777777" w:rsidR="00F24946" w:rsidRDefault="00613B06">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5CABF8C9" w14:textId="77777777" w:rsidR="00F24946" w:rsidRDefault="00613B06">
            <w:pPr>
              <w:pStyle w:val="P68B1DB1-Normal8"/>
              <w:spacing w:after="0" w:line="240" w:lineRule="auto"/>
              <w:jc w:val="both"/>
              <w:rPr>
                <w:rFonts w:eastAsia="Times New Roman" w:cs="Calibri"/>
                <w:noProof/>
              </w:rPr>
            </w:pPr>
            <w:r>
              <w:rPr>
                <w:noProof/>
              </w:rPr>
              <w:t>Zagotovita se dva inteligentna nadzorna modela, ki uporabljata postopke strojnega učenja, in postaneta operativna. Modela, ki ju je treba oblikovati in izvajati, sta: I) napovedni model, ki lahko označi subjekte, ki jih je treba pregledati, na podlagi rezultatov učnih algoritmov, pri čemer se uporabijo pretekli podatki iz nadzornega informacijskega podsistema informacijskega sistema za socialno varnost, da se izvedejo bolj ciljno usmerjeni nadzorni ukrepi z manjšim operativnim naporom in odločnejšimi rezultati, s čimer se izboljšata uspešnost in učinkovitost nadzornega sistema ter izkoristijo drugi viri informacij; model indeksov tveganja za upravičence do socialnih prejemkov.</w:t>
            </w:r>
          </w:p>
        </w:tc>
      </w:tr>
      <w:tr w:rsidR="00F24946" w14:paraId="69E96EC0" w14:textId="77777777">
        <w:trPr>
          <w:gridBefore w:val="1"/>
          <w:wBefore w:w="7" w:type="dxa"/>
          <w:trHeight w:val="1480"/>
        </w:trPr>
        <w:tc>
          <w:tcPr>
            <w:tcW w:w="1036" w:type="dxa"/>
            <w:shd w:val="clear" w:color="auto" w:fill="C4EFCE"/>
            <w:vAlign w:val="center"/>
          </w:tcPr>
          <w:p w14:paraId="01D7CF90" w14:textId="67468CFC" w:rsidR="00F24946" w:rsidRDefault="00613B06">
            <w:pPr>
              <w:pStyle w:val="P68B1DB1-Normal11"/>
              <w:spacing w:after="0" w:line="240" w:lineRule="auto"/>
              <w:jc w:val="center"/>
              <w:rPr>
                <w:rFonts w:eastAsia="Times New Roman"/>
                <w:noProof/>
              </w:rPr>
            </w:pPr>
            <w:r>
              <w:rPr>
                <w:noProof/>
              </w:rPr>
              <w:t>17.22</w:t>
            </w:r>
          </w:p>
        </w:tc>
        <w:tc>
          <w:tcPr>
            <w:tcW w:w="1161" w:type="dxa"/>
            <w:shd w:val="clear" w:color="auto" w:fill="C4EFCE"/>
            <w:noWrap/>
            <w:vAlign w:val="center"/>
          </w:tcPr>
          <w:p w14:paraId="4F426F40" w14:textId="196A5CF9" w:rsidR="00F24946" w:rsidRDefault="00613B06">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42B2BCF9" w14:textId="55495B11" w:rsidR="00F24946" w:rsidRDefault="00613B06">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5E087B51" w14:textId="7A377310" w:rsidR="00F24946" w:rsidRDefault="00613B06">
            <w:pPr>
              <w:pStyle w:val="P68B1DB1-Normal12"/>
              <w:spacing w:after="0" w:line="240" w:lineRule="auto"/>
              <w:jc w:val="center"/>
              <w:rPr>
                <w:rFonts w:eastAsia="Times New Roman" w:cstheme="minorHAnsi"/>
                <w:noProof/>
              </w:rPr>
            </w:pPr>
            <w:r>
              <w:rPr>
                <w:noProof/>
              </w:rPr>
              <w:t>Začetek veljavnosti pravnega akta, ki spreminja pravni okvir izbranih davčnih ugodnosti</w:t>
            </w:r>
          </w:p>
        </w:tc>
        <w:tc>
          <w:tcPr>
            <w:tcW w:w="1356" w:type="dxa"/>
            <w:shd w:val="clear" w:color="auto" w:fill="C4EFCE"/>
            <w:noWrap/>
            <w:vAlign w:val="center"/>
          </w:tcPr>
          <w:p w14:paraId="066FAA9F" w14:textId="6052F03F" w:rsidR="00F24946" w:rsidRDefault="00613B06">
            <w:pPr>
              <w:pStyle w:val="P68B1DB1-Normal12"/>
              <w:spacing w:after="0" w:line="240" w:lineRule="auto"/>
              <w:jc w:val="center"/>
              <w:rPr>
                <w:rFonts w:eastAsia="Times New Roman" w:cstheme="minorHAnsi"/>
                <w:noProof/>
              </w:rPr>
            </w:pPr>
            <w:r>
              <w:rPr>
                <w:noProof/>
              </w:rPr>
              <w:t xml:space="preserve">Določba v pravnem aktu o začetku veljavnosti pravnega akta </w:t>
            </w:r>
          </w:p>
        </w:tc>
        <w:tc>
          <w:tcPr>
            <w:tcW w:w="909" w:type="dxa"/>
            <w:shd w:val="clear" w:color="auto" w:fill="C4EFCE"/>
            <w:noWrap/>
            <w:vAlign w:val="center"/>
          </w:tcPr>
          <w:p w14:paraId="04F14139" w14:textId="77777777" w:rsidR="00F24946" w:rsidRDefault="00F24946">
            <w:pPr>
              <w:spacing w:after="0" w:line="240" w:lineRule="auto"/>
              <w:jc w:val="center"/>
              <w:rPr>
                <w:rFonts w:eastAsia="Times New Roman" w:cstheme="minorHAnsi"/>
                <w:noProof/>
                <w:sz w:val="16"/>
              </w:rPr>
            </w:pPr>
          </w:p>
        </w:tc>
        <w:tc>
          <w:tcPr>
            <w:tcW w:w="908" w:type="dxa"/>
            <w:shd w:val="clear" w:color="auto" w:fill="C4EFCE"/>
            <w:noWrap/>
            <w:vAlign w:val="center"/>
          </w:tcPr>
          <w:p w14:paraId="365FE8AC" w14:textId="77777777" w:rsidR="00F24946" w:rsidRDefault="00F24946">
            <w:pPr>
              <w:spacing w:after="0" w:line="240" w:lineRule="auto"/>
              <w:jc w:val="center"/>
              <w:rPr>
                <w:rFonts w:eastAsia="Times New Roman" w:cstheme="minorHAnsi"/>
                <w:noProof/>
                <w:sz w:val="16"/>
              </w:rPr>
            </w:pPr>
          </w:p>
        </w:tc>
        <w:tc>
          <w:tcPr>
            <w:tcW w:w="657" w:type="dxa"/>
            <w:shd w:val="clear" w:color="auto" w:fill="C4EFCE"/>
            <w:noWrap/>
            <w:vAlign w:val="center"/>
          </w:tcPr>
          <w:p w14:paraId="186DD478" w14:textId="77777777" w:rsidR="00F24946" w:rsidRDefault="00F24946">
            <w:pPr>
              <w:spacing w:after="0" w:line="240" w:lineRule="auto"/>
              <w:jc w:val="center"/>
              <w:rPr>
                <w:rFonts w:eastAsia="Times New Roman" w:cstheme="minorHAnsi"/>
                <w:noProof/>
                <w:sz w:val="16"/>
              </w:rPr>
            </w:pPr>
          </w:p>
        </w:tc>
        <w:tc>
          <w:tcPr>
            <w:tcW w:w="530" w:type="dxa"/>
            <w:shd w:val="clear" w:color="auto" w:fill="C4EFCE"/>
            <w:noWrap/>
            <w:vAlign w:val="center"/>
          </w:tcPr>
          <w:p w14:paraId="487CCC18" w14:textId="5AA3F23D" w:rsidR="00F24946" w:rsidRDefault="00613B06">
            <w:pPr>
              <w:pStyle w:val="P68B1DB1-Normal12"/>
              <w:spacing w:after="0" w:line="240" w:lineRule="auto"/>
              <w:jc w:val="center"/>
              <w:rPr>
                <w:rFonts w:eastAsia="Times New Roman"/>
                <w:noProof/>
              </w:rPr>
            </w:pPr>
            <w:r>
              <w:rPr>
                <w:noProof/>
              </w:rPr>
              <w:t>Q2</w:t>
            </w:r>
          </w:p>
        </w:tc>
        <w:tc>
          <w:tcPr>
            <w:tcW w:w="656" w:type="dxa"/>
            <w:shd w:val="clear" w:color="auto" w:fill="C4EFCE"/>
            <w:noWrap/>
            <w:vAlign w:val="center"/>
          </w:tcPr>
          <w:p w14:paraId="76AEA003" w14:textId="7985F81C" w:rsidR="00F24946" w:rsidRDefault="00613B06">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243D977D" w14:textId="31C1F2BF" w:rsidR="00F24946" w:rsidRDefault="00613B06">
            <w:pPr>
              <w:pStyle w:val="P68B1DB1-Normal12"/>
              <w:spacing w:after="0" w:line="240" w:lineRule="auto"/>
              <w:jc w:val="both"/>
              <w:rPr>
                <w:rFonts w:eastAsia="Times New Roman" w:cstheme="minorHAnsi"/>
                <w:noProof/>
              </w:rPr>
            </w:pPr>
            <w:r>
              <w:rPr>
                <w:noProof/>
              </w:rPr>
              <w:t xml:space="preserve">Začetek veljavnosti pravnega akta, s katerim se odpravi ali razširi ciljno usmerjen sklop davčnih ugodnosti. Pravni akt vključuje davčne ugodnosti, ki prenehajo veljati v letu, ki sledi začetku njegove veljavnosti, ki niso več usklajene s prvotnim ciljem javne politike ali imajo majhno število upravičencev in so lahko škodljive za okolje. </w:t>
            </w:r>
          </w:p>
        </w:tc>
      </w:tr>
      <w:tr w:rsidR="00F24946" w14:paraId="7D159597" w14:textId="77777777">
        <w:trPr>
          <w:gridBefore w:val="1"/>
          <w:wBefore w:w="7" w:type="dxa"/>
          <w:trHeight w:val="1480"/>
        </w:trPr>
        <w:tc>
          <w:tcPr>
            <w:tcW w:w="1036" w:type="dxa"/>
            <w:shd w:val="clear" w:color="auto" w:fill="C4EFCE"/>
            <w:vAlign w:val="center"/>
          </w:tcPr>
          <w:p w14:paraId="4663EF1C" w14:textId="69D49F94" w:rsidR="00F24946" w:rsidRDefault="00613B06">
            <w:pPr>
              <w:pStyle w:val="P68B1DB1-Normal11"/>
              <w:spacing w:after="0" w:line="240" w:lineRule="auto"/>
              <w:jc w:val="center"/>
              <w:rPr>
                <w:rFonts w:eastAsia="Times New Roman"/>
                <w:noProof/>
              </w:rPr>
            </w:pPr>
            <w:r>
              <w:rPr>
                <w:noProof/>
              </w:rPr>
              <w:t>17.23</w:t>
            </w:r>
          </w:p>
        </w:tc>
        <w:tc>
          <w:tcPr>
            <w:tcW w:w="1161" w:type="dxa"/>
            <w:shd w:val="clear" w:color="auto" w:fill="C4EFCE"/>
            <w:noWrap/>
            <w:vAlign w:val="center"/>
          </w:tcPr>
          <w:p w14:paraId="02D8E2E9" w14:textId="15919057" w:rsidR="00F24946" w:rsidRDefault="00613B06">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5585C109" w14:textId="6D8FEF48" w:rsidR="00F24946" w:rsidRDefault="00613B06">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074B5F8D" w14:textId="45DB9125" w:rsidR="00F24946" w:rsidRDefault="00613B06">
            <w:pPr>
              <w:pStyle w:val="P68B1DB1-Normal12"/>
              <w:spacing w:after="0" w:line="240" w:lineRule="auto"/>
              <w:jc w:val="center"/>
              <w:rPr>
                <w:rFonts w:eastAsia="Times New Roman" w:cstheme="minorHAnsi"/>
                <w:noProof/>
              </w:rPr>
            </w:pPr>
            <w:r>
              <w:rPr>
                <w:noProof/>
              </w:rPr>
              <w:t xml:space="preserve">Začetek veljavnosti pravnega akta o ustanovitvi stalne enote za tehnično davčno politiko </w:t>
            </w:r>
            <w:r>
              <w:rPr>
                <w:i/>
                <w:noProof/>
              </w:rPr>
              <w:t>Unidade Técnica de Avaliação Tributária e Aduaneira</w:t>
            </w:r>
            <w:r>
              <w:rPr>
                <w:noProof/>
              </w:rPr>
              <w:t xml:space="preserve"> (U-TAX)</w:t>
            </w:r>
          </w:p>
        </w:tc>
        <w:tc>
          <w:tcPr>
            <w:tcW w:w="1356" w:type="dxa"/>
            <w:shd w:val="clear" w:color="auto" w:fill="C4EFCE"/>
            <w:noWrap/>
            <w:vAlign w:val="center"/>
          </w:tcPr>
          <w:p w14:paraId="719D5034" w14:textId="1C010633" w:rsidR="00F24946" w:rsidRDefault="00613B06">
            <w:pPr>
              <w:pStyle w:val="P68B1DB1-Normal12"/>
              <w:spacing w:after="0" w:line="240" w:lineRule="auto"/>
              <w:jc w:val="center"/>
              <w:rPr>
                <w:rFonts w:eastAsia="Times New Roman" w:cstheme="minorHAnsi"/>
                <w:noProof/>
              </w:rPr>
            </w:pPr>
            <w:r>
              <w:rPr>
                <w:noProof/>
              </w:rPr>
              <w:t>Določba v pravnem aktu o začetku veljavnosti pravnega akta</w:t>
            </w:r>
          </w:p>
        </w:tc>
        <w:tc>
          <w:tcPr>
            <w:tcW w:w="909" w:type="dxa"/>
            <w:shd w:val="clear" w:color="auto" w:fill="C4EFCE"/>
            <w:noWrap/>
            <w:vAlign w:val="center"/>
          </w:tcPr>
          <w:p w14:paraId="3B1ACCA2" w14:textId="77777777" w:rsidR="00F24946" w:rsidRDefault="00F24946">
            <w:pPr>
              <w:spacing w:after="0" w:line="240" w:lineRule="auto"/>
              <w:jc w:val="center"/>
              <w:rPr>
                <w:rFonts w:eastAsia="Times New Roman" w:cstheme="minorHAnsi"/>
                <w:noProof/>
                <w:sz w:val="16"/>
              </w:rPr>
            </w:pPr>
          </w:p>
        </w:tc>
        <w:tc>
          <w:tcPr>
            <w:tcW w:w="908" w:type="dxa"/>
            <w:shd w:val="clear" w:color="auto" w:fill="C4EFCE"/>
            <w:noWrap/>
            <w:vAlign w:val="center"/>
          </w:tcPr>
          <w:p w14:paraId="0E293281" w14:textId="77777777" w:rsidR="00F24946" w:rsidRDefault="00F24946">
            <w:pPr>
              <w:spacing w:after="0" w:line="240" w:lineRule="auto"/>
              <w:jc w:val="center"/>
              <w:rPr>
                <w:rFonts w:eastAsia="Times New Roman" w:cstheme="minorHAnsi"/>
                <w:noProof/>
                <w:sz w:val="16"/>
              </w:rPr>
            </w:pPr>
          </w:p>
        </w:tc>
        <w:tc>
          <w:tcPr>
            <w:tcW w:w="657" w:type="dxa"/>
            <w:shd w:val="clear" w:color="auto" w:fill="C4EFCE"/>
            <w:noWrap/>
            <w:vAlign w:val="center"/>
          </w:tcPr>
          <w:p w14:paraId="5D83358F" w14:textId="77777777" w:rsidR="00F24946" w:rsidRDefault="00F24946">
            <w:pPr>
              <w:spacing w:after="0" w:line="240" w:lineRule="auto"/>
              <w:jc w:val="center"/>
              <w:rPr>
                <w:rFonts w:eastAsia="Times New Roman" w:cstheme="minorHAnsi"/>
                <w:noProof/>
                <w:sz w:val="16"/>
              </w:rPr>
            </w:pPr>
          </w:p>
        </w:tc>
        <w:tc>
          <w:tcPr>
            <w:tcW w:w="530" w:type="dxa"/>
            <w:shd w:val="clear" w:color="auto" w:fill="C4EFCE"/>
            <w:noWrap/>
            <w:vAlign w:val="center"/>
          </w:tcPr>
          <w:p w14:paraId="0DAA9FB8" w14:textId="4F3E99EE" w:rsidR="00F24946" w:rsidRDefault="00613B06">
            <w:pPr>
              <w:pStyle w:val="P68B1DB1-Normal12"/>
              <w:spacing w:after="0" w:line="240" w:lineRule="auto"/>
              <w:jc w:val="center"/>
              <w:rPr>
                <w:rFonts w:eastAsia="Times New Roman" w:cstheme="minorHAnsi"/>
                <w:noProof/>
              </w:rPr>
            </w:pPr>
            <w:r>
              <w:rPr>
                <w:noProof/>
              </w:rPr>
              <w:t>Q4</w:t>
            </w:r>
          </w:p>
        </w:tc>
        <w:tc>
          <w:tcPr>
            <w:tcW w:w="656" w:type="dxa"/>
            <w:shd w:val="clear" w:color="auto" w:fill="C4EFCE"/>
            <w:noWrap/>
            <w:vAlign w:val="center"/>
          </w:tcPr>
          <w:p w14:paraId="65BE177B" w14:textId="2FA41D59" w:rsidR="00F24946" w:rsidRDefault="00613B06">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4897A805" w14:textId="581A7D2B" w:rsidR="00F24946" w:rsidRDefault="00613B06">
            <w:pPr>
              <w:pStyle w:val="P68B1DB1-Bodytext1013"/>
              <w:rPr>
                <w:rFonts w:cstheme="minorHAnsi"/>
                <w:noProof/>
              </w:rPr>
            </w:pPr>
            <w:r>
              <w:rPr>
                <w:noProof/>
              </w:rPr>
              <w:t>Začetek veljavnosti pravnega akta, s katerim se ustanovi stalna enota za tehnično davčno politiko U-TAX.</w:t>
            </w:r>
          </w:p>
        </w:tc>
      </w:tr>
      <w:tr w:rsidR="00F24946" w14:paraId="0837937C" w14:textId="77777777">
        <w:trPr>
          <w:gridBefore w:val="1"/>
          <w:wBefore w:w="7" w:type="dxa"/>
          <w:trHeight w:val="1480"/>
        </w:trPr>
        <w:tc>
          <w:tcPr>
            <w:tcW w:w="1036" w:type="dxa"/>
            <w:shd w:val="clear" w:color="auto" w:fill="C4EFCE"/>
            <w:vAlign w:val="center"/>
          </w:tcPr>
          <w:p w14:paraId="3233421E" w14:textId="76C741D0" w:rsidR="00F24946" w:rsidRDefault="00613B06">
            <w:pPr>
              <w:pStyle w:val="P68B1DB1-Normal11"/>
              <w:spacing w:after="0" w:line="240" w:lineRule="auto"/>
              <w:jc w:val="center"/>
              <w:rPr>
                <w:rFonts w:eastAsia="Times New Roman"/>
                <w:noProof/>
              </w:rPr>
            </w:pPr>
            <w:r>
              <w:rPr>
                <w:noProof/>
              </w:rPr>
              <w:t>17.24</w:t>
            </w:r>
          </w:p>
        </w:tc>
        <w:tc>
          <w:tcPr>
            <w:tcW w:w="1161" w:type="dxa"/>
            <w:shd w:val="clear" w:color="auto" w:fill="C4EFCE"/>
            <w:noWrap/>
            <w:vAlign w:val="center"/>
          </w:tcPr>
          <w:p w14:paraId="737C50B6" w14:textId="0F8480BF" w:rsidR="00F24946" w:rsidRDefault="00613B06">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033151D4" w14:textId="6185ABFC" w:rsidR="00F24946" w:rsidRDefault="00613B06">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161CE14C" w14:textId="582AD1B7" w:rsidR="00F24946" w:rsidRDefault="00613B06">
            <w:pPr>
              <w:pStyle w:val="P68B1DB1-Bodytext1013"/>
              <w:rPr>
                <w:rFonts w:cstheme="minorHAnsi"/>
                <w:noProof/>
              </w:rPr>
            </w:pPr>
            <w:r>
              <w:rPr>
                <w:noProof/>
              </w:rPr>
              <w:t>Objava poročila U-TAX o oceni obstoječih davčnih ugodnosti</w:t>
            </w:r>
          </w:p>
        </w:tc>
        <w:tc>
          <w:tcPr>
            <w:tcW w:w="1356" w:type="dxa"/>
            <w:shd w:val="clear" w:color="auto" w:fill="C4EFCE"/>
            <w:noWrap/>
            <w:vAlign w:val="center"/>
          </w:tcPr>
          <w:p w14:paraId="6CFBEBB0" w14:textId="37037DA5" w:rsidR="00F24946" w:rsidRDefault="00613B06">
            <w:pPr>
              <w:pStyle w:val="P68B1DB1-Normal12"/>
              <w:spacing w:after="0" w:line="240" w:lineRule="auto"/>
              <w:jc w:val="center"/>
              <w:rPr>
                <w:rFonts w:eastAsia="Times New Roman" w:cstheme="minorHAnsi"/>
                <w:noProof/>
              </w:rPr>
            </w:pPr>
            <w:r>
              <w:rPr>
                <w:noProof/>
              </w:rPr>
              <w:t>Objava poročila o oceni s strani U-TAX</w:t>
            </w:r>
          </w:p>
        </w:tc>
        <w:tc>
          <w:tcPr>
            <w:tcW w:w="909" w:type="dxa"/>
            <w:shd w:val="clear" w:color="auto" w:fill="C4EFCE"/>
            <w:noWrap/>
            <w:vAlign w:val="center"/>
          </w:tcPr>
          <w:p w14:paraId="178DAFEF" w14:textId="77777777" w:rsidR="00F24946" w:rsidRDefault="00F24946">
            <w:pPr>
              <w:spacing w:after="0" w:line="240" w:lineRule="auto"/>
              <w:jc w:val="center"/>
              <w:rPr>
                <w:rFonts w:eastAsia="Times New Roman" w:cstheme="minorHAnsi"/>
                <w:noProof/>
                <w:sz w:val="16"/>
              </w:rPr>
            </w:pPr>
          </w:p>
        </w:tc>
        <w:tc>
          <w:tcPr>
            <w:tcW w:w="908" w:type="dxa"/>
            <w:shd w:val="clear" w:color="auto" w:fill="C4EFCE"/>
            <w:noWrap/>
            <w:vAlign w:val="center"/>
          </w:tcPr>
          <w:p w14:paraId="31A31401" w14:textId="77777777" w:rsidR="00F24946" w:rsidRDefault="00F24946">
            <w:pPr>
              <w:spacing w:after="0" w:line="240" w:lineRule="auto"/>
              <w:jc w:val="center"/>
              <w:rPr>
                <w:rFonts w:eastAsia="Times New Roman" w:cstheme="minorHAnsi"/>
                <w:noProof/>
                <w:sz w:val="16"/>
              </w:rPr>
            </w:pPr>
          </w:p>
        </w:tc>
        <w:tc>
          <w:tcPr>
            <w:tcW w:w="657" w:type="dxa"/>
            <w:shd w:val="clear" w:color="auto" w:fill="C4EFCE"/>
            <w:noWrap/>
            <w:vAlign w:val="center"/>
          </w:tcPr>
          <w:p w14:paraId="58433C55" w14:textId="77777777" w:rsidR="00F24946" w:rsidRDefault="00F24946">
            <w:pPr>
              <w:spacing w:after="0" w:line="240" w:lineRule="auto"/>
              <w:jc w:val="center"/>
              <w:rPr>
                <w:rFonts w:eastAsia="Times New Roman" w:cstheme="minorHAnsi"/>
                <w:noProof/>
                <w:sz w:val="16"/>
              </w:rPr>
            </w:pPr>
          </w:p>
        </w:tc>
        <w:tc>
          <w:tcPr>
            <w:tcW w:w="530" w:type="dxa"/>
            <w:shd w:val="clear" w:color="auto" w:fill="C4EFCE"/>
            <w:noWrap/>
            <w:vAlign w:val="center"/>
          </w:tcPr>
          <w:p w14:paraId="266E7E25" w14:textId="18AC0BB2" w:rsidR="00F24946" w:rsidRDefault="00613B06">
            <w:pPr>
              <w:pStyle w:val="P68B1DB1-Normal12"/>
              <w:spacing w:after="0" w:line="240" w:lineRule="auto"/>
              <w:jc w:val="center"/>
              <w:rPr>
                <w:rFonts w:eastAsia="Times New Roman" w:cstheme="minorHAnsi"/>
                <w:noProof/>
              </w:rPr>
            </w:pPr>
            <w:r>
              <w:rPr>
                <w:noProof/>
              </w:rPr>
              <w:t>Q2</w:t>
            </w:r>
          </w:p>
        </w:tc>
        <w:tc>
          <w:tcPr>
            <w:tcW w:w="656" w:type="dxa"/>
            <w:shd w:val="clear" w:color="auto" w:fill="C4EFCE"/>
            <w:noWrap/>
            <w:vAlign w:val="center"/>
          </w:tcPr>
          <w:p w14:paraId="77EA0F2E" w14:textId="13F6F2D7" w:rsidR="00F24946" w:rsidRDefault="00613B06">
            <w:pPr>
              <w:pStyle w:val="P68B1DB1-Normal12"/>
              <w:spacing w:after="0" w:line="240" w:lineRule="auto"/>
              <w:jc w:val="center"/>
              <w:rPr>
                <w:rFonts w:eastAsia="Times New Roman" w:cstheme="minorHAnsi"/>
                <w:noProof/>
              </w:rPr>
            </w:pPr>
            <w:r>
              <w:rPr>
                <w:noProof/>
              </w:rPr>
              <w:t>2025</w:t>
            </w:r>
          </w:p>
        </w:tc>
        <w:tc>
          <w:tcPr>
            <w:tcW w:w="5456" w:type="dxa"/>
            <w:shd w:val="clear" w:color="auto" w:fill="C4EFCE"/>
            <w:noWrap/>
            <w:vAlign w:val="center"/>
          </w:tcPr>
          <w:p w14:paraId="03CED8F5" w14:textId="2F4499FE" w:rsidR="00F24946" w:rsidRDefault="00613B06">
            <w:pPr>
              <w:pStyle w:val="P68B1DB1-Bodytext1013"/>
              <w:spacing w:after="0"/>
              <w:rPr>
                <w:rFonts w:cstheme="minorHAnsi"/>
                <w:noProof/>
              </w:rPr>
            </w:pPr>
            <w:r>
              <w:rPr>
                <w:noProof/>
              </w:rPr>
              <w:t xml:space="preserve">Objava poročila U-TAX o oceni obstoječih davčnih ugodnosti. Poročilo vključuje analizo stroškov in koristi z merili uspešnosti davčnih ugodnosti pri doseganju njihovega prvotnega cilja javne politike, gospodarske učinkovitosti nastalih davčnih odhodkov in okoljskih vidikov. </w:t>
            </w:r>
          </w:p>
          <w:p w14:paraId="32CA742E" w14:textId="77777777" w:rsidR="00F24946" w:rsidRDefault="00613B06">
            <w:pPr>
              <w:pStyle w:val="P68B1DB1-Bodytext1013"/>
              <w:spacing w:after="0"/>
              <w:rPr>
                <w:rFonts w:cstheme="minorHAnsi"/>
                <w:noProof/>
              </w:rPr>
            </w:pPr>
            <w:r>
              <w:rPr>
                <w:noProof/>
              </w:rPr>
              <w:t xml:space="preserve">Poročilo o oceni zajema davčne ugodnosti, ki prenehajo veljati v letu po objavi, in znaten sklop davčnih ugodnosti, tudi zunaj </w:t>
            </w:r>
            <w:r>
              <w:rPr>
                <w:i/>
                <w:noProof/>
              </w:rPr>
              <w:t>Estatuto dos Benefícios Fiscais</w:t>
            </w:r>
            <w:r>
              <w:rPr>
                <w:noProof/>
              </w:rPr>
              <w:t xml:space="preserve">. </w:t>
            </w:r>
          </w:p>
          <w:p w14:paraId="3165E0FB" w14:textId="74F6954C" w:rsidR="00F24946" w:rsidRDefault="00613B06">
            <w:pPr>
              <w:pStyle w:val="P68B1DB1-Bodytext1013"/>
              <w:spacing w:after="0"/>
              <w:rPr>
                <w:rFonts w:cstheme="minorHAnsi"/>
                <w:noProof/>
              </w:rPr>
            </w:pPr>
            <w:r>
              <w:rPr>
                <w:noProof/>
              </w:rPr>
              <w:t>Znaten sklop davčnih ugodnosti se opredeli glede na reprezentativnost z njimi povezanih davčnih odhodkov s poudarkom na tistih, povezanih z davkom na dodano vrednost, dohodnino in davkom od dohodkov pravnih oseb.</w:t>
            </w:r>
          </w:p>
          <w:p w14:paraId="27114AA9" w14:textId="1D86CB07" w:rsidR="00F24946" w:rsidRDefault="00613B06">
            <w:pPr>
              <w:pStyle w:val="P68B1DB1-Normal12"/>
              <w:rPr>
                <w:noProof/>
              </w:rPr>
            </w:pPr>
            <w:r>
              <w:rPr>
                <w:noProof/>
              </w:rPr>
              <w:t xml:space="preserve">U-TAX lahko iz svoje analize izključi portugalske davčne ugodnosti, ki so jih pred ustanovitvijo že ocenile posebne delovne skupine, ter portugalske davčne ugodnosti, ki so jih ocenile neodvisne javne institucije, če je ta objavljena analiza posodobljena in v skladu z zgoraj opredeljenimi merili za analizo stroškov in koristi. </w:t>
            </w:r>
          </w:p>
          <w:p w14:paraId="69554B53" w14:textId="6AC9827B" w:rsidR="00F24946" w:rsidRDefault="00613B06">
            <w:pPr>
              <w:pStyle w:val="P68B1DB1-Normal12"/>
              <w:spacing w:after="0" w:line="240" w:lineRule="auto"/>
              <w:jc w:val="both"/>
              <w:rPr>
                <w:rFonts w:eastAsia="Times New Roman" w:cstheme="minorHAnsi"/>
                <w:noProof/>
              </w:rPr>
            </w:pPr>
            <w:r>
              <w:rPr>
                <w:noProof/>
              </w:rPr>
              <w:t>Poročilo o oceni vsebuje priporočila o tem, katere davčne ugodnosti, ki jih zajema, se odpravijo, razširijo ali spremenijo.</w:t>
            </w:r>
          </w:p>
        </w:tc>
      </w:tr>
      <w:tr w:rsidR="00F24946" w14:paraId="014DEF92" w14:textId="77777777">
        <w:trPr>
          <w:gridBefore w:val="1"/>
          <w:wBefore w:w="7" w:type="dxa"/>
          <w:trHeight w:val="1480"/>
        </w:trPr>
        <w:tc>
          <w:tcPr>
            <w:tcW w:w="1036" w:type="dxa"/>
            <w:shd w:val="clear" w:color="auto" w:fill="C4EFCE"/>
            <w:vAlign w:val="center"/>
          </w:tcPr>
          <w:p w14:paraId="5B5FBA47" w14:textId="374B26BF" w:rsidR="00F24946" w:rsidRDefault="00613B06">
            <w:pPr>
              <w:pStyle w:val="P68B1DB1-Normal11"/>
              <w:spacing w:after="0" w:line="240" w:lineRule="auto"/>
              <w:jc w:val="center"/>
              <w:rPr>
                <w:rFonts w:eastAsia="Times New Roman"/>
                <w:noProof/>
              </w:rPr>
            </w:pPr>
            <w:r>
              <w:rPr>
                <w:noProof/>
              </w:rPr>
              <w:t>17.25</w:t>
            </w:r>
          </w:p>
        </w:tc>
        <w:tc>
          <w:tcPr>
            <w:tcW w:w="1161" w:type="dxa"/>
            <w:shd w:val="clear" w:color="auto" w:fill="C4EFCE"/>
            <w:noWrap/>
            <w:vAlign w:val="center"/>
          </w:tcPr>
          <w:p w14:paraId="027A26B7" w14:textId="7BDDCBF5" w:rsidR="00F24946" w:rsidRDefault="00613B06">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232BE3B1" w14:textId="451A1F82" w:rsidR="00F24946" w:rsidRDefault="00613B06">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65CAD365" w14:textId="31C85319" w:rsidR="00F24946" w:rsidRDefault="00613B06">
            <w:pPr>
              <w:pStyle w:val="P68B1DB1-Normal12"/>
              <w:spacing w:after="0" w:line="240" w:lineRule="auto"/>
              <w:jc w:val="center"/>
              <w:rPr>
                <w:rFonts w:eastAsia="Times New Roman" w:cstheme="minorHAnsi"/>
                <w:noProof/>
              </w:rPr>
            </w:pPr>
            <w:r>
              <w:rPr>
                <w:noProof/>
              </w:rPr>
              <w:t xml:space="preserve">Začetek veljavnosti pravnega akta o davčnih ugodnostih </w:t>
            </w:r>
          </w:p>
        </w:tc>
        <w:tc>
          <w:tcPr>
            <w:tcW w:w="1356" w:type="dxa"/>
            <w:shd w:val="clear" w:color="auto" w:fill="C4EFCE"/>
            <w:noWrap/>
            <w:vAlign w:val="center"/>
          </w:tcPr>
          <w:p w14:paraId="311CAF38" w14:textId="6D28ACD0" w:rsidR="00F24946" w:rsidRDefault="00613B06">
            <w:pPr>
              <w:pStyle w:val="P68B1DB1-Normal12"/>
              <w:spacing w:after="0" w:line="240" w:lineRule="auto"/>
              <w:jc w:val="center"/>
              <w:rPr>
                <w:rFonts w:eastAsia="Times New Roman" w:cstheme="minorHAnsi"/>
                <w:noProof/>
              </w:rPr>
            </w:pPr>
            <w:r>
              <w:rPr>
                <w:noProof/>
              </w:rPr>
              <w:t xml:space="preserve">Določba v pravnem aktu o začetku veljavnosti pravnega akta </w:t>
            </w:r>
          </w:p>
        </w:tc>
        <w:tc>
          <w:tcPr>
            <w:tcW w:w="909" w:type="dxa"/>
            <w:shd w:val="clear" w:color="auto" w:fill="C4EFCE"/>
            <w:noWrap/>
            <w:vAlign w:val="center"/>
          </w:tcPr>
          <w:p w14:paraId="347AD5E7" w14:textId="77777777" w:rsidR="00F24946" w:rsidRDefault="00F24946">
            <w:pPr>
              <w:spacing w:after="0" w:line="240" w:lineRule="auto"/>
              <w:jc w:val="center"/>
              <w:rPr>
                <w:rFonts w:eastAsia="Times New Roman" w:cstheme="minorHAnsi"/>
                <w:noProof/>
                <w:sz w:val="16"/>
              </w:rPr>
            </w:pPr>
          </w:p>
        </w:tc>
        <w:tc>
          <w:tcPr>
            <w:tcW w:w="908" w:type="dxa"/>
            <w:shd w:val="clear" w:color="auto" w:fill="C4EFCE"/>
            <w:noWrap/>
            <w:vAlign w:val="center"/>
          </w:tcPr>
          <w:p w14:paraId="676CE199" w14:textId="77777777" w:rsidR="00F24946" w:rsidRDefault="00F24946">
            <w:pPr>
              <w:spacing w:after="0" w:line="240" w:lineRule="auto"/>
              <w:jc w:val="center"/>
              <w:rPr>
                <w:rFonts w:eastAsia="Times New Roman" w:cstheme="minorHAnsi"/>
                <w:noProof/>
                <w:sz w:val="16"/>
              </w:rPr>
            </w:pPr>
          </w:p>
        </w:tc>
        <w:tc>
          <w:tcPr>
            <w:tcW w:w="657" w:type="dxa"/>
            <w:shd w:val="clear" w:color="auto" w:fill="C4EFCE"/>
            <w:noWrap/>
            <w:vAlign w:val="center"/>
          </w:tcPr>
          <w:p w14:paraId="57178CE3" w14:textId="77777777" w:rsidR="00F24946" w:rsidRDefault="00F24946">
            <w:pPr>
              <w:spacing w:after="0" w:line="240" w:lineRule="auto"/>
              <w:jc w:val="center"/>
              <w:rPr>
                <w:rFonts w:eastAsia="Times New Roman" w:cstheme="minorHAnsi"/>
                <w:noProof/>
                <w:sz w:val="16"/>
              </w:rPr>
            </w:pPr>
          </w:p>
        </w:tc>
        <w:tc>
          <w:tcPr>
            <w:tcW w:w="530" w:type="dxa"/>
            <w:shd w:val="clear" w:color="auto" w:fill="C4EFCE"/>
            <w:noWrap/>
            <w:vAlign w:val="center"/>
          </w:tcPr>
          <w:p w14:paraId="3D84C64B" w14:textId="4029FEA2" w:rsidR="00F24946" w:rsidRDefault="00613B06">
            <w:pPr>
              <w:pStyle w:val="P68B1DB1-Normal12"/>
              <w:spacing w:after="0" w:line="240" w:lineRule="auto"/>
              <w:jc w:val="center"/>
              <w:rPr>
                <w:rFonts w:eastAsia="Times New Roman" w:cstheme="minorHAnsi"/>
                <w:noProof/>
              </w:rPr>
            </w:pPr>
            <w:r>
              <w:rPr>
                <w:noProof/>
              </w:rPr>
              <w:t>ČETRTLETJE 1</w:t>
            </w:r>
          </w:p>
        </w:tc>
        <w:tc>
          <w:tcPr>
            <w:tcW w:w="656" w:type="dxa"/>
            <w:shd w:val="clear" w:color="auto" w:fill="C4EFCE"/>
            <w:noWrap/>
            <w:vAlign w:val="center"/>
          </w:tcPr>
          <w:p w14:paraId="29B7FF51" w14:textId="261A5E14" w:rsidR="00F24946" w:rsidRDefault="00613B06">
            <w:pPr>
              <w:pStyle w:val="P68B1DB1-Normal12"/>
              <w:spacing w:after="0" w:line="240" w:lineRule="auto"/>
              <w:jc w:val="center"/>
              <w:rPr>
                <w:rFonts w:eastAsia="Times New Roman" w:cstheme="minorHAnsi"/>
                <w:noProof/>
              </w:rPr>
            </w:pPr>
            <w:r>
              <w:rPr>
                <w:noProof/>
              </w:rPr>
              <w:t>2026</w:t>
            </w:r>
          </w:p>
        </w:tc>
        <w:tc>
          <w:tcPr>
            <w:tcW w:w="5456" w:type="dxa"/>
            <w:shd w:val="clear" w:color="auto" w:fill="C4EFCE"/>
            <w:noWrap/>
            <w:vAlign w:val="center"/>
          </w:tcPr>
          <w:p w14:paraId="12CA98A0" w14:textId="0DCA3F2C" w:rsidR="00F24946" w:rsidRDefault="00613B06">
            <w:pPr>
              <w:pStyle w:val="P68B1DB1-Bodytext1013"/>
              <w:spacing w:after="0"/>
              <w:rPr>
                <w:rFonts w:eastAsiaTheme="minorHAnsi" w:cstheme="minorBidi"/>
                <w:noProof/>
              </w:rPr>
            </w:pPr>
            <w:r>
              <w:rPr>
                <w:noProof/>
              </w:rPr>
              <w:t>Začetek veljavnosti pravnega akta o poenostavitvi sistema davčnih ugodnosti z zmanjšanjem števila obstoječih davčnih ugodnosti ob upoštevanju priporočil iz poročila o oceni U-TAX in druge analize, kot je določeno v mejniku 17.24.</w:t>
            </w:r>
          </w:p>
        </w:tc>
      </w:tr>
    </w:tbl>
    <w:p w14:paraId="7340E1CC" w14:textId="77777777" w:rsidR="00F24946" w:rsidRDefault="00F24946">
      <w:pPr>
        <w:keepNext/>
        <w:spacing w:before="40" w:after="0" w:line="259" w:lineRule="auto"/>
        <w:jc w:val="both"/>
        <w:rPr>
          <w:rFonts w:ascii="Times New Roman" w:eastAsiaTheme="minorEastAsia" w:hAnsi="Times New Roman" w:cs="Times New Roman"/>
          <w:noProof/>
          <w:sz w:val="24"/>
          <w:u w:val="single"/>
        </w:rPr>
      </w:pPr>
    </w:p>
    <w:p w14:paraId="1B2345CC" w14:textId="77777777" w:rsidR="00F24946" w:rsidRDefault="00F24946">
      <w:pPr>
        <w:keepNext/>
        <w:spacing w:before="40" w:after="0" w:line="259" w:lineRule="auto"/>
        <w:jc w:val="both"/>
        <w:rPr>
          <w:rFonts w:ascii="Times New Roman" w:eastAsiaTheme="minorEastAsia" w:hAnsi="Times New Roman" w:cs="Times New Roman"/>
          <w:noProof/>
          <w:sz w:val="24"/>
          <w:u w:val="single"/>
        </w:rPr>
      </w:pPr>
    </w:p>
    <w:p w14:paraId="6123A23C"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2F13BED3"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R. KOMPONENTA 18: Ekonomska pravičnost in poslovno okolje</w:t>
      </w:r>
    </w:p>
    <w:p w14:paraId="238C7521"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Komponenta obravnava izziv neučinkovitosti portugalskega pravosodnega sistema in preostala ozka grla pri izdajanju poslovnih licenc. Trajanje upravnih in davčnih postopkov se v zadnjih letih izboljšuje, vendar je še vedno med najvišjimi v EU, število nerešenih zadev (zaostanki v zadevah) pa ostaja razmeroma visoko. Poslovno okolje ovirajo tudi nizka učinkovitost zakonov o zavarovanju s premoženjem in stečajev ter zapleteni postopki izdajanja dovoljenj v nekaterih sektorjih. </w:t>
      </w:r>
    </w:p>
    <w:p w14:paraId="5E76299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komponente je okrepiti in povečati učinkovitost odnosov med državljani in podjetji z državo ter zmanjšati breme in zapletenost, ki ovirata poslovno dejavnost in vplivata na produktivnost. Obravnava dve dolgotrajni vprašanji: ovire pri pridobivanju poslovnih dovoljenj in neučinkovitosti v pravosodnem sistemu, pa tudi sprejetje paradigme „digitalno po definiciji“ v pravosodnem sistemu in njeno spodbujanje v postopkih izdajanja dovoljenj, kar zadeva delovanje sodišč in interakcijo z zainteresiranimi stranmi. </w:t>
      </w:r>
    </w:p>
    <w:p w14:paraId="76272F78" w14:textId="77777777" w:rsidR="00F24946" w:rsidRDefault="00613B06">
      <w:pPr>
        <w:pStyle w:val="P68B1DB1-Normal4"/>
        <w:keepNext/>
        <w:spacing w:before="40" w:after="0" w:line="259" w:lineRule="auto"/>
        <w:jc w:val="both"/>
        <w:rPr>
          <w:rFonts w:eastAsiaTheme="minorEastAsia" w:cs="Times New Roman"/>
          <w:noProof/>
        </w:rPr>
      </w:pPr>
      <w:r>
        <w:rPr>
          <w:noProof/>
        </w:rPr>
        <w:t>Namen te komponente je obravnavati različne izzive, opredeljene v priporočilih za posamezne države (priporočili za posamezne države št. 4 iz leta 2019 in 2020), in sicer preostale neučinkovitosti na področju postopkov v primeru insolventnosti ter upravnih in davčnih sodišč, ter obravnavati vprašanje zahtev za izdajo dovoljenj za podjetja, hkrati pa se dotika okvira reguliranih poklicev (ki je vključen tudi v ista priporočila za posamezne države), čeprav je omejen na poklic stečajnih upraviteljev (izziv reguliranih poklicev je obravnavan v komponenti 6). Komponenta prispeva tudi k obravnavi priporočila za posamezno državo, da se naložbe osredotočijo na digitalni prehod (priporočilo za posamezno državo št. 3 2020).</w:t>
      </w:r>
    </w:p>
    <w:p w14:paraId="5854FAB7" w14:textId="77777777" w:rsidR="00F24946" w:rsidRDefault="00613B06">
      <w:pPr>
        <w:pStyle w:val="P68B1DB1-Normal4"/>
        <w:keepNext/>
        <w:spacing w:before="40" w:after="0" w:line="259" w:lineRule="auto"/>
        <w:jc w:val="both"/>
        <w:rPr>
          <w:rFonts w:eastAsiaTheme="minorEastAsia" w:cs="Times New Roman"/>
          <w:noProof/>
        </w:rPr>
      </w:pPr>
      <w:r>
        <w:rPr>
          <w:noProof/>
        </w:rPr>
        <w:t>Pričakuje se, da noben ukrep v tej komponenti ne bo bistveno škodoval okoljskim ciljem v smislu člena 17 Uredbe (EU) 2020/852, ob upoštevanju opisa ukrepov in blažilnih ukrepov iz načrta v skladu s tehničnimi smernicami za načelo, da se ne škoduje bistveno (2021/C58/01).</w:t>
      </w:r>
    </w:p>
    <w:p w14:paraId="1109CC39"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3FEC5922"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R.1. </w:t>
      </w:r>
      <w:r>
        <w:rPr>
          <w:noProof/>
        </w:rPr>
        <w:tab/>
        <w:t>Opis reform in naložb za nepovratno finančno podporo</w:t>
      </w:r>
    </w:p>
    <w:p w14:paraId="6924508E" w14:textId="7198A548"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TD-C18-r33: Ekonomska pravičnost in poslovno okolje</w:t>
      </w:r>
    </w:p>
    <w:p w14:paraId="3133444F" w14:textId="77777777" w:rsidR="00F24946" w:rsidRDefault="00613B06">
      <w:pPr>
        <w:pStyle w:val="P68B1DB1-Normal4"/>
        <w:keepNext/>
        <w:spacing w:before="40" w:after="0" w:line="259" w:lineRule="auto"/>
        <w:jc w:val="both"/>
        <w:rPr>
          <w:rFonts w:eastAsiaTheme="minorEastAsia" w:cs="Times New Roman"/>
          <w:noProof/>
        </w:rPr>
      </w:pPr>
      <w:r>
        <w:rPr>
          <w:noProof/>
        </w:rPr>
        <w:t>Reforma vključuje opredelitev ovir za naložbe na področju licenciranja, da bi zmanjšali postopkovne neučinkovitosti in izkoristili prednosti digitalizacije in interoperabilnosti med storitvami, pri čemer se izvaja načelo „samo enkrat“, ki je ključni poudarek reforme v zvezi s poslovnim okoljem. Spremembe pravnega okvira, ki odpravljajo take ovire, naj bi začele veljati do tretjega četrtletja 2025.</w:t>
      </w:r>
    </w:p>
    <w:p w14:paraId="16D053AF" w14:textId="6A0BEF7A" w:rsidR="00F24946" w:rsidRDefault="00613B06">
      <w:pPr>
        <w:pStyle w:val="P68B1DB1-Normal4"/>
        <w:keepNext/>
        <w:spacing w:before="40" w:after="0" w:line="259" w:lineRule="auto"/>
        <w:jc w:val="both"/>
        <w:rPr>
          <w:rFonts w:eastAsiaTheme="minorEastAsia" w:cs="Times New Roman"/>
          <w:noProof/>
        </w:rPr>
      </w:pPr>
      <w:r>
        <w:rPr>
          <w:noProof/>
        </w:rPr>
        <w:t xml:space="preserve">Na področju pravosodja je cilj reforme povečati učinkovitost upravnih in davčnih sodišč z vzpostavitvijo pravnega okvira za spodbujanje poravnav in izvensodnih poravnav ter ustanovitvijo specializiranih senatov na višjih sodiščih, pregled insolvenčnega okvira pa vključuje krepitev vloge stečajnih upraviteljev, pregled pravnega okvira za krepitev pravic posojilodajalca in uvedbo obvezne delne porazdelitve v posebnih primerih. </w:t>
      </w:r>
    </w:p>
    <w:p w14:paraId="512710E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Poleg tega predvidena reforma zagotavlja pravno podlago za digitalizacijo procesov in postopkov v celotnem pravosodnem sistemu, tudi na področju forenzičnih in kazenskih preiskav. </w:t>
      </w:r>
    </w:p>
    <w:p w14:paraId="62C04DD3" w14:textId="233D5065" w:rsidR="00F24946" w:rsidRDefault="00613B06">
      <w:pPr>
        <w:pStyle w:val="P68B1DB1-Normal4"/>
        <w:keepNext/>
        <w:spacing w:before="40" w:after="0" w:line="259" w:lineRule="auto"/>
        <w:jc w:val="both"/>
        <w:rPr>
          <w:rFonts w:eastAsiaTheme="minorEastAsia" w:cs="Times New Roman"/>
          <w:noProof/>
        </w:rPr>
      </w:pPr>
      <w:r>
        <w:rPr>
          <w:noProof/>
        </w:rPr>
        <w:t>Reforma se izvede do 30. septembra 2025.</w:t>
      </w:r>
    </w:p>
    <w:p w14:paraId="0242038B"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67684AD" w14:textId="66EF0FAF"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TD-C18-i01: Ekonomska pravičnost in poslovno okolje</w:t>
      </w:r>
    </w:p>
    <w:p w14:paraId="0BCC9F57" w14:textId="77777777" w:rsidR="00F24946" w:rsidRDefault="00613B06">
      <w:pPr>
        <w:pStyle w:val="P68B1DB1-Normal4"/>
        <w:keepNext/>
        <w:spacing w:before="40" w:after="0" w:line="259" w:lineRule="auto"/>
        <w:jc w:val="both"/>
        <w:rPr>
          <w:rFonts w:eastAsiaTheme="minorEastAsia" w:cs="Times New Roman"/>
          <w:noProof/>
        </w:rPr>
      </w:pPr>
      <w:r>
        <w:rPr>
          <w:noProof/>
        </w:rPr>
        <w:t>Cilj naložbe je zagotoviti digitalni prehod in odpornost portugalskih pravosodnih informacijskih sistemov. Njegov cilj je vključiti paradigmo „digitalno po definiciji“ v sodstvo in sodne tajnike, vključno z interakcijami z državljani in podjetji.</w:t>
      </w:r>
    </w:p>
    <w:p w14:paraId="440992D0" w14:textId="77777777" w:rsidR="00F24946" w:rsidRDefault="00613B06">
      <w:pPr>
        <w:pStyle w:val="P68B1DB1-Normal4"/>
        <w:keepNext/>
        <w:spacing w:before="40" w:after="0" w:line="259" w:lineRule="auto"/>
        <w:jc w:val="both"/>
        <w:rPr>
          <w:rFonts w:eastAsiaTheme="minorEastAsia" w:cs="Times New Roman"/>
          <w:noProof/>
        </w:rPr>
      </w:pPr>
      <w:r>
        <w:rPr>
          <w:noProof/>
        </w:rPr>
        <w:t>Digitalni prehod je odskočna deska za to naložbo, ki se osredotoča na pravosodni sistem in je razdeljen na pet sklopov:</w:t>
      </w:r>
    </w:p>
    <w:p w14:paraId="3E5216F8"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Razvoj in izvajanje digitalnih platform za pravosodni sistem (ki zajemajo vsa sodišča), katerih cilj je spodbujati digitalizacijo vseh sodnih procesov in postopkov ter izkoristiti prednosti, ki jih prinaša povečanje učinkovitosti, ki je neločljivo povezano, za odpravo obstoječih zaostankov. Poleg tega se razvijejo novi vmesniki za sodelovanje z ustreznimi deležniki;</w:t>
      </w:r>
    </w:p>
    <w:p w14:paraId="6E480707"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Razvoj digitalnih platform za državljane in podjetja (vključno z migracijo podatkov), dajanje novih storitev na voljo na spletu in zagotavljanje popolne dematerializacije nekaterih storitev. Cilj te naložbe je zagotoviti integrirane storitvene platforme za podjetja in državljane v njihovem celotnem „življenjskem ciklu“, vključno z vsemi različnimi registratorji (lastništvo, vozila, državljanstvo, poslovne in kazenske evidence ter registracija in preverjanje patentov);</w:t>
      </w:r>
    </w:p>
    <w:p w14:paraId="5C4276B3"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Digitalne platforme za kazenske preiskave in forenziko, razvoj in posodobitev informacijskih sistemov ter zagotavljanje povezav z evropskimi omrežji, </w:t>
      </w:r>
    </w:p>
    <w:p w14:paraId="7CD0A53D"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Razvoj in izvajanje platform za upravljanje znanja na področju pravosodja, vključno s skupno platformo za skupne storitve, upravljanjem dokumentov, razvojem platforme za zbiranje statističnih podatkov in kazalnikov ter poenostavitvijo jezika, ki se uporablja v komunikacijah in digitalnih storitvah v interakcijah z državljani in podjetji (vključno z elektronskimi priglasitvami);</w:t>
      </w:r>
    </w:p>
    <w:p w14:paraId="6B600ACC"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Izboljšanje tehnološke infrastrukture in opreme, vključno s podatkovnim središčem, objektom za pomoč ob nesrečah/obnovam, digitalnimi arhivi, platformo odprtih podatkov, upravljanjem digitalne identitete ter ustanovitvijo digitalnega kontaktnega centra in storitvenega centra na področju pravosodja.</w:t>
      </w:r>
    </w:p>
    <w:p w14:paraId="5E8B14D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naložba ima koristi od močnih sinergij s komponento 19 – digitalna javna uprava, izvajanje paradigme „digitalno po definiciji“ ter zagotavljanje usklajenosti z nacionalno strategijo za kibernetsko varnost in strategijo za računalništvo v oblaku. </w:t>
      </w:r>
    </w:p>
    <w:p w14:paraId="4A4D4017" w14:textId="77777777" w:rsidR="00F24946" w:rsidRDefault="00613B06">
      <w:pPr>
        <w:pStyle w:val="P68B1DB1-Normal4"/>
        <w:spacing w:before="40" w:after="0" w:line="259" w:lineRule="auto"/>
        <w:jc w:val="both"/>
        <w:rPr>
          <w:rFonts w:eastAsiaTheme="minorEastAsia" w:cs="Times New Roman"/>
          <w:noProof/>
        </w:rPr>
        <w:sectPr w:rsidR="00F24946" w:rsidSect="00E00EDD">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pPr>
      <w:r>
        <w:rPr>
          <w:noProof/>
        </w:rPr>
        <w:t>Naložba se izvede do 31. decembra 2025.</w:t>
      </w:r>
    </w:p>
    <w:p w14:paraId="10A08022" w14:textId="77777777" w:rsidR="00F24946" w:rsidRDefault="00613B06">
      <w:pPr>
        <w:pStyle w:val="P68B1DB1-Normal3"/>
        <w:spacing w:before="40" w:after="0" w:line="259" w:lineRule="auto"/>
        <w:ind w:left="130" w:firstLine="720"/>
        <w:jc w:val="both"/>
        <w:outlineLvl w:val="1"/>
        <w:rPr>
          <w:rFonts w:eastAsiaTheme="minorEastAsia" w:cs="Times New Roman"/>
          <w:noProof/>
        </w:rPr>
      </w:pPr>
      <w:r>
        <w:rPr>
          <w:noProof/>
        </w:rPr>
        <w:t xml:space="preserve">R.2. </w:t>
      </w:r>
      <w:r>
        <w:rPr>
          <w:noProof/>
        </w:rPr>
        <w:tab/>
        <w:t>Mejniki, cilji, kazalniki in časovni razpored za spremljanje in izvajanje nepovratne finančne podpore Naslednje;</w:t>
      </w:r>
    </w:p>
    <w:p w14:paraId="786060A7"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993"/>
        <w:gridCol w:w="1521"/>
        <w:gridCol w:w="6"/>
        <w:gridCol w:w="1633"/>
        <w:gridCol w:w="1659"/>
        <w:gridCol w:w="992"/>
        <w:gridCol w:w="777"/>
        <w:gridCol w:w="533"/>
        <w:gridCol w:w="614"/>
        <w:gridCol w:w="4880"/>
      </w:tblGrid>
      <w:tr w:rsidR="00F24946" w14:paraId="10258B68" w14:textId="77777777">
        <w:trPr>
          <w:trHeight w:val="910"/>
          <w:tblHeader/>
        </w:trPr>
        <w:tc>
          <w:tcPr>
            <w:tcW w:w="1277" w:type="dxa"/>
            <w:vMerge w:val="restart"/>
            <w:shd w:val="clear" w:color="auto" w:fill="BDD6EE"/>
            <w:vAlign w:val="center"/>
          </w:tcPr>
          <w:p w14:paraId="690E97EE"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5" w:type="dxa"/>
            <w:vMerge w:val="restart"/>
            <w:shd w:val="clear" w:color="auto" w:fill="BDD6EE"/>
            <w:vAlign w:val="center"/>
            <w:hideMark/>
          </w:tcPr>
          <w:p w14:paraId="6FE76F1B"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993" w:type="dxa"/>
            <w:vMerge w:val="restart"/>
            <w:shd w:val="clear" w:color="auto" w:fill="BDD6EE"/>
            <w:vAlign w:val="center"/>
            <w:hideMark/>
          </w:tcPr>
          <w:p w14:paraId="1C9E635C" w14:textId="1CAE8360" w:rsidR="00F24946" w:rsidRDefault="00613B06">
            <w:pPr>
              <w:pStyle w:val="P68B1DB1-Normal6"/>
              <w:spacing w:after="0" w:line="240" w:lineRule="auto"/>
              <w:jc w:val="center"/>
              <w:rPr>
                <w:rFonts w:eastAsia="Times New Roman" w:cs="Times New Roman"/>
                <w:noProof/>
              </w:rPr>
            </w:pPr>
            <w:r>
              <w:rPr>
                <w:noProof/>
              </w:rPr>
              <w:t>Mejnik/cilj</w:t>
            </w:r>
          </w:p>
        </w:tc>
        <w:tc>
          <w:tcPr>
            <w:tcW w:w="1521" w:type="dxa"/>
            <w:vMerge w:val="restart"/>
            <w:shd w:val="clear" w:color="auto" w:fill="BDD6EE"/>
            <w:vAlign w:val="center"/>
            <w:hideMark/>
          </w:tcPr>
          <w:p w14:paraId="03568057" w14:textId="77777777" w:rsidR="00F24946" w:rsidRDefault="00613B06">
            <w:pPr>
              <w:pStyle w:val="P68B1DB1-Normal6"/>
              <w:spacing w:after="0" w:line="240" w:lineRule="auto"/>
              <w:jc w:val="center"/>
              <w:rPr>
                <w:rFonts w:eastAsia="Times New Roman" w:cs="Times New Roman"/>
                <w:noProof/>
              </w:rPr>
            </w:pPr>
            <w:r>
              <w:rPr>
                <w:noProof/>
              </w:rPr>
              <w:t>Ime</w:t>
            </w:r>
          </w:p>
        </w:tc>
        <w:tc>
          <w:tcPr>
            <w:tcW w:w="1639" w:type="dxa"/>
            <w:gridSpan w:val="2"/>
            <w:vMerge w:val="restart"/>
            <w:shd w:val="clear" w:color="auto" w:fill="BDD6EE"/>
            <w:vAlign w:val="center"/>
            <w:hideMark/>
          </w:tcPr>
          <w:p w14:paraId="28863AC3"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3428" w:type="dxa"/>
            <w:gridSpan w:val="3"/>
            <w:shd w:val="clear" w:color="auto" w:fill="BDD6EE"/>
            <w:vAlign w:val="center"/>
            <w:hideMark/>
          </w:tcPr>
          <w:p w14:paraId="4089044F"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147" w:type="dxa"/>
            <w:gridSpan w:val="2"/>
            <w:shd w:val="clear" w:color="auto" w:fill="BDD6EE"/>
            <w:vAlign w:val="center"/>
            <w:hideMark/>
          </w:tcPr>
          <w:p w14:paraId="637730C0"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880" w:type="dxa"/>
            <w:vMerge w:val="restart"/>
            <w:shd w:val="clear" w:color="auto" w:fill="BDD6EE"/>
            <w:noWrap/>
            <w:vAlign w:val="center"/>
            <w:hideMark/>
          </w:tcPr>
          <w:p w14:paraId="6E961EB9"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259DC459" w14:textId="77777777">
        <w:trPr>
          <w:trHeight w:val="470"/>
          <w:tblHeader/>
        </w:trPr>
        <w:tc>
          <w:tcPr>
            <w:tcW w:w="1277" w:type="dxa"/>
            <w:vMerge/>
          </w:tcPr>
          <w:p w14:paraId="0B61D35A"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42F5CA82" w14:textId="77777777" w:rsidR="00F24946" w:rsidRDefault="00F24946">
            <w:pPr>
              <w:spacing w:after="0" w:line="240" w:lineRule="auto"/>
              <w:rPr>
                <w:rFonts w:ascii="Times New Roman" w:eastAsia="Times New Roman" w:hAnsi="Times New Roman" w:cs="Times New Roman"/>
                <w:b/>
                <w:noProof/>
                <w:sz w:val="18"/>
              </w:rPr>
            </w:pPr>
          </w:p>
        </w:tc>
        <w:tc>
          <w:tcPr>
            <w:tcW w:w="993" w:type="dxa"/>
            <w:vMerge/>
            <w:vAlign w:val="center"/>
            <w:hideMark/>
          </w:tcPr>
          <w:p w14:paraId="6A66BA83" w14:textId="5098E0F5" w:rsidR="00F24946" w:rsidRDefault="00F24946">
            <w:pPr>
              <w:spacing w:after="0" w:line="240" w:lineRule="auto"/>
              <w:jc w:val="center"/>
              <w:rPr>
                <w:rFonts w:ascii="Times New Roman" w:eastAsia="Times New Roman" w:hAnsi="Times New Roman" w:cs="Times New Roman"/>
                <w:b/>
                <w:noProof/>
                <w:sz w:val="18"/>
              </w:rPr>
            </w:pPr>
          </w:p>
        </w:tc>
        <w:tc>
          <w:tcPr>
            <w:tcW w:w="1521" w:type="dxa"/>
            <w:vMerge/>
            <w:vAlign w:val="center"/>
            <w:hideMark/>
          </w:tcPr>
          <w:p w14:paraId="020E12E7" w14:textId="77777777" w:rsidR="00F24946" w:rsidRDefault="00F24946">
            <w:pPr>
              <w:spacing w:after="0" w:line="240" w:lineRule="auto"/>
              <w:rPr>
                <w:rFonts w:ascii="Times New Roman" w:eastAsia="Times New Roman" w:hAnsi="Times New Roman" w:cs="Times New Roman"/>
                <w:b/>
                <w:noProof/>
                <w:sz w:val="18"/>
              </w:rPr>
            </w:pPr>
          </w:p>
        </w:tc>
        <w:tc>
          <w:tcPr>
            <w:tcW w:w="1639" w:type="dxa"/>
            <w:gridSpan w:val="2"/>
            <w:vMerge/>
            <w:vAlign w:val="center"/>
            <w:hideMark/>
          </w:tcPr>
          <w:p w14:paraId="70F7DD30" w14:textId="77777777" w:rsidR="00F24946" w:rsidRDefault="00F24946">
            <w:pPr>
              <w:spacing w:after="0" w:line="240" w:lineRule="auto"/>
              <w:rPr>
                <w:rFonts w:ascii="Times New Roman" w:eastAsia="Times New Roman" w:hAnsi="Times New Roman" w:cs="Times New Roman"/>
                <w:b/>
                <w:noProof/>
                <w:sz w:val="18"/>
              </w:rPr>
            </w:pPr>
          </w:p>
        </w:tc>
        <w:tc>
          <w:tcPr>
            <w:tcW w:w="1659" w:type="dxa"/>
            <w:shd w:val="clear" w:color="auto" w:fill="BDD6EE"/>
            <w:vAlign w:val="center"/>
            <w:hideMark/>
          </w:tcPr>
          <w:p w14:paraId="6FED8042"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055E64A2"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77" w:type="dxa"/>
            <w:shd w:val="clear" w:color="auto" w:fill="BDD6EE"/>
            <w:vAlign w:val="center"/>
            <w:hideMark/>
          </w:tcPr>
          <w:p w14:paraId="114749AF" w14:textId="77777777" w:rsidR="00F24946" w:rsidRDefault="00613B06">
            <w:pPr>
              <w:pStyle w:val="P68B1DB1-Normal6"/>
              <w:spacing w:after="0" w:line="240" w:lineRule="auto"/>
              <w:jc w:val="center"/>
              <w:rPr>
                <w:rFonts w:eastAsia="Times New Roman" w:cs="Times New Roman"/>
                <w:noProof/>
              </w:rPr>
            </w:pPr>
            <w:r>
              <w:rPr>
                <w:noProof/>
              </w:rPr>
              <w:t>Cilj</w:t>
            </w:r>
          </w:p>
        </w:tc>
        <w:tc>
          <w:tcPr>
            <w:tcW w:w="533" w:type="dxa"/>
            <w:shd w:val="clear" w:color="auto" w:fill="BDD6EE"/>
            <w:vAlign w:val="center"/>
            <w:hideMark/>
          </w:tcPr>
          <w:p w14:paraId="76E28634" w14:textId="77777777" w:rsidR="00F24946" w:rsidRDefault="00613B06">
            <w:pPr>
              <w:pStyle w:val="P68B1DB1-Normal6"/>
              <w:spacing w:after="0" w:line="240" w:lineRule="auto"/>
              <w:jc w:val="center"/>
              <w:rPr>
                <w:rFonts w:eastAsia="Times New Roman" w:cs="Times New Roman"/>
                <w:noProof/>
              </w:rPr>
            </w:pPr>
            <w:r>
              <w:rPr>
                <w:noProof/>
              </w:rPr>
              <w:t>Q</w:t>
            </w:r>
          </w:p>
        </w:tc>
        <w:tc>
          <w:tcPr>
            <w:tcW w:w="614" w:type="dxa"/>
            <w:shd w:val="clear" w:color="auto" w:fill="BDD6EE"/>
            <w:vAlign w:val="center"/>
            <w:hideMark/>
          </w:tcPr>
          <w:p w14:paraId="6B436B9B" w14:textId="77777777" w:rsidR="00F24946" w:rsidRDefault="00613B06">
            <w:pPr>
              <w:pStyle w:val="P68B1DB1-Normal6"/>
              <w:spacing w:after="0" w:line="240" w:lineRule="auto"/>
              <w:jc w:val="center"/>
              <w:rPr>
                <w:rFonts w:eastAsia="Times New Roman" w:cs="Times New Roman"/>
                <w:noProof/>
              </w:rPr>
            </w:pPr>
            <w:r>
              <w:rPr>
                <w:noProof/>
              </w:rPr>
              <w:t>Leto</w:t>
            </w:r>
          </w:p>
        </w:tc>
        <w:tc>
          <w:tcPr>
            <w:tcW w:w="4880" w:type="dxa"/>
            <w:vMerge/>
            <w:vAlign w:val="center"/>
            <w:hideMark/>
          </w:tcPr>
          <w:p w14:paraId="1483F6BF" w14:textId="77777777" w:rsidR="00F24946" w:rsidRDefault="00F24946">
            <w:pPr>
              <w:spacing w:after="0" w:line="240" w:lineRule="auto"/>
              <w:rPr>
                <w:rFonts w:ascii="Times New Roman" w:eastAsia="Times New Roman" w:hAnsi="Times New Roman" w:cs="Times New Roman"/>
                <w:b/>
                <w:noProof/>
                <w:sz w:val="18"/>
              </w:rPr>
            </w:pPr>
          </w:p>
        </w:tc>
      </w:tr>
      <w:tr w:rsidR="00F24946" w14:paraId="0704287E" w14:textId="77777777">
        <w:trPr>
          <w:trHeight w:val="1038"/>
        </w:trPr>
        <w:tc>
          <w:tcPr>
            <w:tcW w:w="1277" w:type="dxa"/>
            <w:shd w:val="clear" w:color="auto" w:fill="C4EFCE"/>
            <w:vAlign w:val="center"/>
          </w:tcPr>
          <w:p w14:paraId="30823E55" w14:textId="77777777" w:rsidR="00F24946" w:rsidRDefault="00613B06">
            <w:pPr>
              <w:pStyle w:val="P68B1DB1-Normal7"/>
              <w:spacing w:after="0" w:line="240" w:lineRule="auto"/>
              <w:jc w:val="center"/>
              <w:rPr>
                <w:rFonts w:eastAsia="Times New Roman" w:cs="Calibri"/>
                <w:noProof/>
              </w:rPr>
            </w:pPr>
            <w:r>
              <w:rPr>
                <w:noProof/>
              </w:rPr>
              <w:t>18.1</w:t>
            </w:r>
          </w:p>
        </w:tc>
        <w:tc>
          <w:tcPr>
            <w:tcW w:w="1275" w:type="dxa"/>
            <w:shd w:val="clear" w:color="auto" w:fill="C4EFCE"/>
            <w:noWrap/>
            <w:vAlign w:val="center"/>
            <w:hideMark/>
          </w:tcPr>
          <w:p w14:paraId="0F9E1EF8" w14:textId="77777777" w:rsidR="00F24946" w:rsidRDefault="00613B06">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016CCA3"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5B55A10" w14:textId="77777777" w:rsidR="00F24946" w:rsidRDefault="00613B06">
            <w:pPr>
              <w:pStyle w:val="P68B1DB1-Normal8"/>
              <w:spacing w:after="0" w:line="240" w:lineRule="auto"/>
              <w:jc w:val="center"/>
              <w:rPr>
                <w:rFonts w:eastAsia="Times New Roman" w:cs="Calibri"/>
                <w:noProof/>
              </w:rPr>
            </w:pPr>
            <w:r>
              <w:rPr>
                <w:noProof/>
              </w:rPr>
              <w:t>Ustanovitev specializiranih senatov na višjih upravnih in davčnih sodiščih</w:t>
            </w:r>
          </w:p>
        </w:tc>
        <w:tc>
          <w:tcPr>
            <w:tcW w:w="1633" w:type="dxa"/>
            <w:shd w:val="clear" w:color="auto" w:fill="C4EFCE"/>
            <w:noWrap/>
            <w:vAlign w:val="center"/>
            <w:hideMark/>
          </w:tcPr>
          <w:p w14:paraId="594CF147" w14:textId="77777777" w:rsidR="00F24946" w:rsidRDefault="00613B06">
            <w:pPr>
              <w:pStyle w:val="P68B1DB1-Normal8"/>
              <w:spacing w:after="0" w:line="240" w:lineRule="auto"/>
              <w:jc w:val="center"/>
              <w:rPr>
                <w:rFonts w:eastAsia="Times New Roman" w:cs="Calibri"/>
                <w:noProof/>
              </w:rPr>
            </w:pPr>
            <w:r>
              <w:rPr>
                <w:noProof/>
              </w:rPr>
              <w:t>Ustanovitev specializiranih senatov na višjih upravnih in davčnih sodiščih</w:t>
            </w:r>
          </w:p>
        </w:tc>
        <w:tc>
          <w:tcPr>
            <w:tcW w:w="1659" w:type="dxa"/>
            <w:shd w:val="clear" w:color="auto" w:fill="C4EFCE"/>
            <w:noWrap/>
            <w:vAlign w:val="center"/>
            <w:hideMark/>
          </w:tcPr>
          <w:p w14:paraId="77D105FC"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8DF828B"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19FDADA"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0C9B943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14" w:type="dxa"/>
            <w:shd w:val="clear" w:color="auto" w:fill="C4EFCE"/>
            <w:noWrap/>
            <w:vAlign w:val="center"/>
            <w:hideMark/>
          </w:tcPr>
          <w:p w14:paraId="47910214" w14:textId="77777777" w:rsidR="00F24946" w:rsidRDefault="00613B06">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210990C9" w14:textId="77777777" w:rsidR="00F24946" w:rsidRDefault="00613B06">
            <w:pPr>
              <w:pStyle w:val="P68B1DB1-Normal8"/>
              <w:spacing w:after="0" w:line="240" w:lineRule="auto"/>
              <w:jc w:val="both"/>
              <w:rPr>
                <w:rFonts w:eastAsia="Times New Roman" w:cs="Calibri"/>
                <w:noProof/>
              </w:rPr>
            </w:pPr>
            <w:r>
              <w:rPr>
                <w:noProof/>
              </w:rPr>
              <w:t>Ustanovitev specializiranih senatov na upravnih in davčnih višjih sodiščih: redne upravne sodbe, sodbe v zvezi z družbeno upravo, sodbe v zvezi z javnimi naročili, običajne davčne sodbe, davčne izvršbe in upravne sodbe o prekrških</w:t>
            </w:r>
          </w:p>
        </w:tc>
      </w:tr>
      <w:tr w:rsidR="00F24946" w14:paraId="5EA37799" w14:textId="77777777">
        <w:trPr>
          <w:trHeight w:val="2570"/>
        </w:trPr>
        <w:tc>
          <w:tcPr>
            <w:tcW w:w="1277" w:type="dxa"/>
            <w:shd w:val="clear" w:color="auto" w:fill="C4EFCE"/>
            <w:vAlign w:val="center"/>
          </w:tcPr>
          <w:p w14:paraId="45922976" w14:textId="77777777" w:rsidR="00F24946" w:rsidRDefault="00613B06">
            <w:pPr>
              <w:pStyle w:val="P68B1DB1-Normal7"/>
              <w:spacing w:after="0" w:line="240" w:lineRule="auto"/>
              <w:jc w:val="center"/>
              <w:rPr>
                <w:rFonts w:eastAsia="Times New Roman" w:cs="Calibri"/>
                <w:noProof/>
              </w:rPr>
            </w:pPr>
            <w:r>
              <w:rPr>
                <w:noProof/>
              </w:rPr>
              <w:t>18.2</w:t>
            </w:r>
          </w:p>
        </w:tc>
        <w:tc>
          <w:tcPr>
            <w:tcW w:w="1275" w:type="dxa"/>
            <w:shd w:val="clear" w:color="auto" w:fill="C4EFCE"/>
            <w:noWrap/>
            <w:vAlign w:val="center"/>
          </w:tcPr>
          <w:p w14:paraId="134D7CD8" w14:textId="77777777" w:rsidR="00F24946" w:rsidRDefault="00613B06">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tcPr>
          <w:p w14:paraId="1EBB304E"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tcPr>
          <w:p w14:paraId="0E38DEE8" w14:textId="77777777" w:rsidR="00F24946" w:rsidRDefault="00613B06">
            <w:pPr>
              <w:pStyle w:val="P68B1DB1-Normal8"/>
              <w:spacing w:after="0" w:line="240" w:lineRule="auto"/>
              <w:jc w:val="center"/>
              <w:rPr>
                <w:rFonts w:eastAsia="Times New Roman" w:cs="Calibri"/>
                <w:noProof/>
              </w:rPr>
            </w:pPr>
            <w:r>
              <w:rPr>
                <w:noProof/>
              </w:rPr>
              <w:t>Začetek veljavnosti pravne ureditve za spodbujanje sodnih in izvensodnih poravnav</w:t>
            </w:r>
          </w:p>
          <w:p w14:paraId="36CC1118" w14:textId="77777777" w:rsidR="00F24946" w:rsidRDefault="00F24946">
            <w:pPr>
              <w:spacing w:after="0" w:line="240" w:lineRule="auto"/>
              <w:jc w:val="center"/>
              <w:rPr>
                <w:rFonts w:ascii="Calibri" w:eastAsia="Times New Roman" w:hAnsi="Calibri" w:cs="Calibri"/>
                <w:noProof/>
                <w:sz w:val="16"/>
              </w:rPr>
            </w:pPr>
          </w:p>
        </w:tc>
        <w:tc>
          <w:tcPr>
            <w:tcW w:w="1633" w:type="dxa"/>
            <w:shd w:val="clear" w:color="auto" w:fill="C4EFCE"/>
            <w:noWrap/>
            <w:vAlign w:val="center"/>
          </w:tcPr>
          <w:p w14:paraId="4DB8A301" w14:textId="77777777" w:rsidR="00F24946" w:rsidRDefault="00613B06">
            <w:pPr>
              <w:pStyle w:val="P68B1DB1-Normal8"/>
              <w:spacing w:after="0" w:line="240" w:lineRule="auto"/>
              <w:jc w:val="center"/>
              <w:rPr>
                <w:rFonts w:eastAsia="Times New Roman" w:cs="Calibri"/>
                <w:noProof/>
              </w:rPr>
            </w:pPr>
            <w:r>
              <w:rPr>
                <w:noProof/>
              </w:rPr>
              <w:t>Začetek veljavnosti pravne ureditve za spodbujanje sodnih in izvensodnih poravnav</w:t>
            </w:r>
          </w:p>
        </w:tc>
        <w:tc>
          <w:tcPr>
            <w:tcW w:w="1659" w:type="dxa"/>
            <w:shd w:val="clear" w:color="auto" w:fill="C4EFCE"/>
            <w:noWrap/>
            <w:vAlign w:val="center"/>
          </w:tcPr>
          <w:p w14:paraId="3F523CAC" w14:textId="77777777" w:rsidR="00F24946" w:rsidRDefault="00F24946">
            <w:pPr>
              <w:spacing w:after="0" w:line="240" w:lineRule="auto"/>
              <w:rPr>
                <w:rFonts w:ascii="Calibri" w:eastAsia="Times New Roman" w:hAnsi="Calibri" w:cs="Calibri"/>
                <w:noProof/>
                <w:sz w:val="16"/>
              </w:rPr>
            </w:pPr>
          </w:p>
        </w:tc>
        <w:tc>
          <w:tcPr>
            <w:tcW w:w="992" w:type="dxa"/>
            <w:shd w:val="clear" w:color="auto" w:fill="C4EFCE"/>
            <w:noWrap/>
            <w:vAlign w:val="center"/>
          </w:tcPr>
          <w:p w14:paraId="50EE6E1F" w14:textId="77777777" w:rsidR="00F24946" w:rsidRDefault="00F24946">
            <w:pPr>
              <w:spacing w:after="0" w:line="240" w:lineRule="auto"/>
              <w:jc w:val="center"/>
              <w:rPr>
                <w:rFonts w:ascii="Calibri" w:eastAsia="Times New Roman" w:hAnsi="Calibri" w:cs="Calibri"/>
                <w:noProof/>
                <w:sz w:val="16"/>
              </w:rPr>
            </w:pPr>
          </w:p>
        </w:tc>
        <w:tc>
          <w:tcPr>
            <w:tcW w:w="777" w:type="dxa"/>
            <w:shd w:val="clear" w:color="auto" w:fill="C4EFCE"/>
            <w:noWrap/>
            <w:vAlign w:val="center"/>
          </w:tcPr>
          <w:p w14:paraId="66037AB8" w14:textId="77777777" w:rsidR="00F24946" w:rsidRDefault="00F24946">
            <w:pPr>
              <w:spacing w:after="0" w:line="240" w:lineRule="auto"/>
              <w:jc w:val="center"/>
              <w:rPr>
                <w:rFonts w:ascii="Calibri" w:eastAsia="Times New Roman" w:hAnsi="Calibri" w:cs="Calibri"/>
                <w:noProof/>
                <w:sz w:val="16"/>
              </w:rPr>
            </w:pPr>
          </w:p>
        </w:tc>
        <w:tc>
          <w:tcPr>
            <w:tcW w:w="533" w:type="dxa"/>
            <w:shd w:val="clear" w:color="auto" w:fill="C4EFCE"/>
            <w:noWrap/>
            <w:vAlign w:val="center"/>
          </w:tcPr>
          <w:p w14:paraId="2E87CE6B"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14" w:type="dxa"/>
            <w:shd w:val="clear" w:color="auto" w:fill="C4EFCE"/>
            <w:noWrap/>
            <w:vAlign w:val="center"/>
          </w:tcPr>
          <w:p w14:paraId="2B06B617" w14:textId="77777777" w:rsidR="00F24946" w:rsidRDefault="00613B06">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tcPr>
          <w:p w14:paraId="3B845451" w14:textId="77777777" w:rsidR="00F24946" w:rsidRDefault="00613B06">
            <w:pPr>
              <w:pStyle w:val="P68B1DB1-Normal8"/>
              <w:spacing w:after="0" w:line="240" w:lineRule="auto"/>
              <w:jc w:val="both"/>
              <w:rPr>
                <w:rFonts w:eastAsia="Times New Roman" w:cs="Calibri"/>
                <w:noProof/>
              </w:rPr>
            </w:pPr>
            <w:r>
              <w:rPr>
                <w:noProof/>
              </w:rPr>
              <w:t>Začetek veljavnosti pravne ureditve, ki vzpostavlja zakonsko shemo spodbud za končanje postopkov s sodno in izvensodno poravnavo</w:t>
            </w:r>
          </w:p>
        </w:tc>
      </w:tr>
      <w:tr w:rsidR="00F24946" w14:paraId="63E4A25B" w14:textId="77777777">
        <w:trPr>
          <w:cantSplit/>
          <w:trHeight w:val="5929"/>
        </w:trPr>
        <w:tc>
          <w:tcPr>
            <w:tcW w:w="1277" w:type="dxa"/>
            <w:shd w:val="clear" w:color="auto" w:fill="C4EFCE"/>
            <w:vAlign w:val="center"/>
          </w:tcPr>
          <w:p w14:paraId="4030100F" w14:textId="77777777" w:rsidR="00F24946" w:rsidRDefault="00613B06">
            <w:pPr>
              <w:pStyle w:val="P68B1DB1-Normal7"/>
              <w:spacing w:after="0" w:line="240" w:lineRule="auto"/>
              <w:jc w:val="center"/>
              <w:rPr>
                <w:rFonts w:eastAsia="Times New Roman" w:cs="Calibri"/>
                <w:noProof/>
              </w:rPr>
            </w:pPr>
            <w:r>
              <w:rPr>
                <w:noProof/>
              </w:rPr>
              <w:t>18.3</w:t>
            </w:r>
          </w:p>
        </w:tc>
        <w:tc>
          <w:tcPr>
            <w:tcW w:w="1275" w:type="dxa"/>
            <w:shd w:val="clear" w:color="auto" w:fill="C4EFCE"/>
            <w:noWrap/>
            <w:vAlign w:val="center"/>
            <w:hideMark/>
          </w:tcPr>
          <w:p w14:paraId="0EE4E35F" w14:textId="77777777" w:rsidR="00F24946" w:rsidRDefault="00613B06">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7DF377C5"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046AC9E" w14:textId="77777777" w:rsidR="00F24946" w:rsidRDefault="00613B06">
            <w:pPr>
              <w:pStyle w:val="P68B1DB1-Normal8"/>
              <w:spacing w:after="0" w:line="240" w:lineRule="auto"/>
              <w:jc w:val="center"/>
              <w:rPr>
                <w:rFonts w:eastAsia="Times New Roman" w:cs="Calibri"/>
                <w:noProof/>
              </w:rPr>
            </w:pPr>
            <w:r>
              <w:rPr>
                <w:noProof/>
              </w:rPr>
              <w:t>Začetek veljavnosti revidiranega pravnega okvira za insolventnost in izterjavo</w:t>
            </w:r>
          </w:p>
        </w:tc>
        <w:tc>
          <w:tcPr>
            <w:tcW w:w="1633" w:type="dxa"/>
            <w:shd w:val="clear" w:color="auto" w:fill="C4EFCE"/>
            <w:vAlign w:val="center"/>
          </w:tcPr>
          <w:p w14:paraId="3258DA2E" w14:textId="77777777" w:rsidR="00F24946" w:rsidRDefault="00613B06">
            <w:pPr>
              <w:pStyle w:val="P68B1DB1-Normal8"/>
              <w:spacing w:after="0" w:line="240" w:lineRule="auto"/>
              <w:jc w:val="center"/>
              <w:rPr>
                <w:rFonts w:eastAsia="Times New Roman" w:cs="Calibri"/>
                <w:noProof/>
              </w:rPr>
            </w:pPr>
            <w:r>
              <w:rPr>
                <w:noProof/>
              </w:rPr>
              <w:t>Začetek veljavnosti revidiranega pravnega okvira za insolventnost in izterjavo</w:t>
            </w:r>
          </w:p>
        </w:tc>
        <w:tc>
          <w:tcPr>
            <w:tcW w:w="1659" w:type="dxa"/>
            <w:shd w:val="clear" w:color="auto" w:fill="C4EFCE"/>
            <w:noWrap/>
            <w:vAlign w:val="center"/>
            <w:hideMark/>
          </w:tcPr>
          <w:p w14:paraId="15B6D3B5"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1E48313"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56852BD8"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DEFE34C" w14:textId="77777777" w:rsidR="00F24946" w:rsidRDefault="00613B06">
            <w:pPr>
              <w:pStyle w:val="P68B1DB1-Normal8"/>
              <w:spacing w:after="0" w:line="240" w:lineRule="auto"/>
              <w:jc w:val="center"/>
              <w:rPr>
                <w:rFonts w:eastAsia="Times New Roman" w:cs="Calibri"/>
                <w:noProof/>
              </w:rPr>
            </w:pPr>
            <w:r>
              <w:rPr>
                <w:noProof/>
              </w:rPr>
              <w:t>Q2</w:t>
            </w:r>
          </w:p>
        </w:tc>
        <w:tc>
          <w:tcPr>
            <w:tcW w:w="614" w:type="dxa"/>
            <w:shd w:val="clear" w:color="auto" w:fill="C4EFCE"/>
            <w:noWrap/>
            <w:vAlign w:val="center"/>
            <w:hideMark/>
          </w:tcPr>
          <w:p w14:paraId="06EFAEAF" w14:textId="77777777" w:rsidR="00F24946" w:rsidRDefault="00613B06">
            <w:pPr>
              <w:pStyle w:val="P68B1DB1-Normal8"/>
              <w:rPr>
                <w:rFonts w:eastAsia="Times New Roman" w:cs="Calibri"/>
                <w:noProof/>
              </w:rPr>
            </w:pPr>
            <w:r>
              <w:rPr>
                <w:noProof/>
              </w:rPr>
              <w:t>2024</w:t>
            </w:r>
          </w:p>
        </w:tc>
        <w:tc>
          <w:tcPr>
            <w:tcW w:w="4880" w:type="dxa"/>
            <w:shd w:val="clear" w:color="auto" w:fill="C4EFCE"/>
            <w:vAlign w:val="center"/>
            <w:hideMark/>
          </w:tcPr>
          <w:p w14:paraId="340D1B69" w14:textId="77777777" w:rsidR="00F24946" w:rsidRDefault="00613B06">
            <w:pPr>
              <w:spacing w:after="0" w:line="240" w:lineRule="auto"/>
              <w:jc w:val="both"/>
              <w:rPr>
                <w:rFonts w:ascii="Calibri" w:eastAsia="Times New Roman" w:hAnsi="Calibri" w:cs="Calibri"/>
                <w:noProof/>
                <w:sz w:val="16"/>
              </w:rPr>
            </w:pPr>
            <w:r>
              <w:rPr>
                <w:rFonts w:ascii="Calibri" w:hAnsi="Calibri"/>
                <w:noProof/>
                <w:sz w:val="16"/>
              </w:rPr>
              <w:t>Začetek veljavnosti revidiranega pravnega okvira za insolventnost in reševanje podjetij, da bi pospešili te postopke in jih prilagodili „privzeto digitalnim“, vključno z</w:t>
            </w:r>
            <w:r>
              <w:rPr>
                <w:noProof/>
              </w:rPr>
              <w:br/>
            </w:r>
          </w:p>
          <w:p w14:paraId="75E14895" w14:textId="77777777" w:rsidR="00F24946" w:rsidRDefault="00613B06">
            <w:pPr>
              <w:pStyle w:val="P68B1DB1-Normal8"/>
              <w:spacing w:after="0" w:line="240" w:lineRule="auto"/>
              <w:jc w:val="both"/>
              <w:rPr>
                <w:rFonts w:eastAsia="Times New Roman" w:cs="Calibri"/>
                <w:noProof/>
              </w:rPr>
            </w:pPr>
            <w:r>
              <w:rPr>
                <w:noProof/>
              </w:rPr>
              <w:t>a) revizijo zakonika o insolventnosti za optimizacijo postopkov v primeru insolventnosti, ki odraža tudi prenos Direktive 2019/1023 in uvedbo izključno elektronskih postopkov;</w:t>
            </w:r>
          </w:p>
          <w:p w14:paraId="5EAA7A3B" w14:textId="77777777" w:rsidR="00F24946" w:rsidRDefault="00613B06">
            <w:pPr>
              <w:pStyle w:val="P68B1DB1-Normal8"/>
              <w:spacing w:after="0" w:line="240" w:lineRule="auto"/>
              <w:jc w:val="both"/>
              <w:rPr>
                <w:rFonts w:eastAsia="Times New Roman" w:cs="Calibri"/>
                <w:noProof/>
              </w:rPr>
            </w:pPr>
            <w:r>
              <w:rPr>
                <w:noProof/>
              </w:rPr>
              <w:t>(b) stečajnemu upravitelju zaupa nalogo, da pripravi načrt likvidacije s časovno določenimi cilji, da bi se unovčila sredstva, ki sestavljajo stečajno maso;</w:t>
            </w:r>
          </w:p>
          <w:p w14:paraId="4D201E3F" w14:textId="77777777" w:rsidR="00F24946" w:rsidRDefault="00613B06">
            <w:pPr>
              <w:pStyle w:val="P68B1DB1-Normal8"/>
              <w:spacing w:after="0" w:line="240" w:lineRule="auto"/>
              <w:jc w:val="both"/>
              <w:rPr>
                <w:rFonts w:eastAsia="Times New Roman" w:cs="Calibri"/>
                <w:noProof/>
              </w:rPr>
            </w:pPr>
            <w:r>
              <w:rPr>
                <w:noProof/>
              </w:rPr>
              <w:t>(C) poenostavitev postopka za preučitev obveznosti in razvrstitev terjatev v postopkih v primeru insolventnosti, tako da se stečajnemu upravitelju dodeli odgovornost, da skupaj s seznamom priznanih terjatev predloži predlog za njihovo razvrstitev, kar sodniku omogoča, da v primeru soglasja in brez kakršnega koli izpodbijanja odobri oba dokumenta, s čimer se omogoči prožnejši postopek;</w:t>
            </w:r>
          </w:p>
          <w:p w14:paraId="6435378B" w14:textId="77777777" w:rsidR="00F24946" w:rsidRDefault="00613B06">
            <w:pPr>
              <w:pStyle w:val="P68B1DB1-Normal8"/>
              <w:spacing w:after="0" w:line="240" w:lineRule="auto"/>
              <w:jc w:val="both"/>
              <w:rPr>
                <w:rFonts w:eastAsia="Times New Roman" w:cs="Calibri"/>
                <w:noProof/>
              </w:rPr>
            </w:pPr>
            <w:r>
              <w:rPr>
                <w:noProof/>
              </w:rPr>
              <w:t>d) prisilno delno razdelitev, kadar je stečajna masa del izkupička likvidacije premoženja v vrednosti 10 000 EUR ali več, katerega lastništvo ni sporno, postopek pa ne more izvesti dokončne razdelitve;</w:t>
            </w:r>
          </w:p>
          <w:p w14:paraId="68A0B579" w14:textId="77777777" w:rsidR="00F24946" w:rsidRDefault="00613B06">
            <w:pPr>
              <w:pStyle w:val="P68B1DB1-Normal8"/>
              <w:spacing w:after="0" w:line="240" w:lineRule="auto"/>
              <w:jc w:val="both"/>
              <w:rPr>
                <w:rFonts w:eastAsia="Times New Roman" w:cs="Calibri"/>
                <w:noProof/>
              </w:rPr>
            </w:pPr>
            <w:r>
              <w:rPr>
                <w:noProof/>
              </w:rPr>
              <w:t xml:space="preserve">(e) pregled predkupne ureditve pravice do zadržanja v primeru hipoteke (Código Civil); </w:t>
            </w:r>
          </w:p>
          <w:p w14:paraId="785EC4F6" w14:textId="77777777" w:rsidR="00F24946" w:rsidRDefault="00613B06">
            <w:pPr>
              <w:pStyle w:val="P68B1DB1-Normal8"/>
              <w:spacing w:after="0" w:line="240" w:lineRule="auto"/>
              <w:jc w:val="both"/>
              <w:rPr>
                <w:rFonts w:eastAsia="Times New Roman" w:cs="Calibri"/>
                <w:noProof/>
              </w:rPr>
            </w:pPr>
            <w:r>
              <w:rPr>
                <w:noProof/>
              </w:rPr>
              <w:t>(F) zmanjšanje omejitev za izvajanje stečajnih upraviteljev.</w:t>
            </w:r>
          </w:p>
          <w:p w14:paraId="66B701AF" w14:textId="77777777" w:rsidR="00F24946" w:rsidRDefault="00613B06">
            <w:pPr>
              <w:pStyle w:val="P68B1DB1-Normal8"/>
              <w:spacing w:after="0" w:line="240" w:lineRule="auto"/>
              <w:jc w:val="both"/>
              <w:rPr>
                <w:rFonts w:eastAsia="Times New Roman" w:cs="Calibri"/>
                <w:noProof/>
              </w:rPr>
            </w:pPr>
            <w:r>
              <w:rPr>
                <w:noProof/>
              </w:rPr>
              <w:t>(g) odpravo omejitev v fazi poziva, praviloma določa elektronsko vročanje pravnih oseb, zlasti v postopkih v primeru insolventnosti (CPC);</w:t>
            </w:r>
          </w:p>
          <w:p w14:paraId="15C87B35" w14:textId="77777777" w:rsidR="00F24946" w:rsidRDefault="00613B06">
            <w:pPr>
              <w:pStyle w:val="P68B1DB1-Normal8"/>
              <w:spacing w:after="0" w:line="240" w:lineRule="auto"/>
              <w:jc w:val="both"/>
              <w:rPr>
                <w:rFonts w:eastAsia="Times New Roman" w:cs="Calibri"/>
                <w:noProof/>
              </w:rPr>
            </w:pPr>
            <w:r>
              <w:rPr>
                <w:noProof/>
              </w:rPr>
              <w:t>(h) ustanovitev in delovanje specializiranih senatov višjih sodišč za gospodarske zadeve.</w:t>
            </w:r>
          </w:p>
          <w:p w14:paraId="472B518E" w14:textId="77777777" w:rsidR="00F24946" w:rsidRDefault="00613B06">
            <w:pPr>
              <w:pStyle w:val="P68B1DB1-Normal8"/>
              <w:spacing w:after="0" w:line="240" w:lineRule="auto"/>
              <w:jc w:val="both"/>
              <w:rPr>
                <w:rFonts w:eastAsia="Times New Roman" w:cs="Calibri"/>
                <w:noProof/>
              </w:rPr>
            </w:pPr>
            <w:r>
              <w:rPr>
                <w:noProof/>
              </w:rPr>
              <w:t xml:space="preserve">postopki ESE in njihova prilagoditev „privzeto digitaliziranim“, vključno z: </w:t>
            </w:r>
          </w:p>
        </w:tc>
      </w:tr>
      <w:tr w:rsidR="00F24946" w14:paraId="6AB9F600" w14:textId="77777777">
        <w:trPr>
          <w:trHeight w:val="430"/>
        </w:trPr>
        <w:tc>
          <w:tcPr>
            <w:tcW w:w="1277" w:type="dxa"/>
            <w:shd w:val="clear" w:color="auto" w:fill="C4EFCE"/>
            <w:vAlign w:val="center"/>
          </w:tcPr>
          <w:p w14:paraId="55355ADE" w14:textId="3ECAA7F9" w:rsidR="00F24946" w:rsidRDefault="00613B06">
            <w:pPr>
              <w:pStyle w:val="P68B1DB1-Normal7"/>
              <w:spacing w:after="0" w:line="240" w:lineRule="auto"/>
              <w:jc w:val="center"/>
              <w:rPr>
                <w:rFonts w:eastAsia="Times New Roman" w:cs="Calibri"/>
                <w:noProof/>
              </w:rPr>
            </w:pPr>
            <w:r>
              <w:rPr>
                <w:noProof/>
              </w:rPr>
              <w:t>18.4</w:t>
            </w:r>
          </w:p>
        </w:tc>
        <w:tc>
          <w:tcPr>
            <w:tcW w:w="1275" w:type="dxa"/>
            <w:shd w:val="clear" w:color="auto" w:fill="C4EFCE"/>
            <w:noWrap/>
            <w:vAlign w:val="center"/>
            <w:hideMark/>
          </w:tcPr>
          <w:p w14:paraId="7AEBE05E" w14:textId="77777777" w:rsidR="00F24946" w:rsidRDefault="00613B06">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60B81AA"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27A38FD" w14:textId="433D97C7" w:rsidR="00F24946" w:rsidRDefault="00613B06">
            <w:pPr>
              <w:pStyle w:val="P68B1DB1-Normal8"/>
              <w:spacing w:after="0" w:line="240" w:lineRule="auto"/>
              <w:jc w:val="center"/>
              <w:rPr>
                <w:rFonts w:eastAsia="Times New Roman" w:cs="Calibri"/>
                <w:noProof/>
              </w:rPr>
            </w:pPr>
            <w:r>
              <w:rPr>
                <w:noProof/>
              </w:rPr>
              <w:t>Začetek veljavnosti zakonodajnega svežnja o odpravi ovir za izdajanje dovoljenj</w:t>
            </w:r>
          </w:p>
        </w:tc>
        <w:tc>
          <w:tcPr>
            <w:tcW w:w="1633" w:type="dxa"/>
            <w:shd w:val="clear" w:color="auto" w:fill="C4EFCE"/>
            <w:noWrap/>
            <w:vAlign w:val="center"/>
            <w:hideMark/>
          </w:tcPr>
          <w:p w14:paraId="65E920C4" w14:textId="39F70BC9" w:rsidR="00F24946" w:rsidRDefault="00613B06">
            <w:pPr>
              <w:pStyle w:val="P68B1DB1-Normal8"/>
              <w:spacing w:after="0" w:line="240" w:lineRule="auto"/>
              <w:jc w:val="center"/>
              <w:rPr>
                <w:rFonts w:eastAsia="Times New Roman" w:cs="Calibri"/>
                <w:noProof/>
              </w:rPr>
            </w:pPr>
            <w:r>
              <w:rPr>
                <w:noProof/>
              </w:rPr>
              <w:t xml:space="preserve"> Začetek veljavnosti zakonodajnega svežnja o odpravi ovir za izdajanje dovoljenj</w:t>
            </w:r>
          </w:p>
        </w:tc>
        <w:tc>
          <w:tcPr>
            <w:tcW w:w="1659" w:type="dxa"/>
            <w:shd w:val="clear" w:color="auto" w:fill="C4EFCE"/>
            <w:noWrap/>
            <w:vAlign w:val="center"/>
            <w:hideMark/>
          </w:tcPr>
          <w:p w14:paraId="3B9AFDC2"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405CD4C"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DA1C3F0"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31E6942C" w14:textId="77777777" w:rsidR="00F24946" w:rsidRDefault="00613B06">
            <w:pPr>
              <w:pStyle w:val="P68B1DB1-Normal8"/>
              <w:spacing w:after="0" w:line="240" w:lineRule="auto"/>
              <w:jc w:val="center"/>
              <w:rPr>
                <w:rFonts w:eastAsia="Times New Roman" w:cs="Calibri"/>
                <w:noProof/>
              </w:rPr>
            </w:pPr>
            <w:r>
              <w:rPr>
                <w:noProof/>
              </w:rPr>
              <w:t>Q3</w:t>
            </w:r>
          </w:p>
        </w:tc>
        <w:tc>
          <w:tcPr>
            <w:tcW w:w="614" w:type="dxa"/>
            <w:shd w:val="clear" w:color="auto" w:fill="C4EFCE"/>
            <w:noWrap/>
            <w:vAlign w:val="center"/>
            <w:hideMark/>
          </w:tcPr>
          <w:p w14:paraId="75CF287C" w14:textId="77777777" w:rsidR="00F24946" w:rsidRDefault="00613B06">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7510859" w14:textId="37E2259C" w:rsidR="00F24946" w:rsidRDefault="00613B06">
            <w:pPr>
              <w:pStyle w:val="P68B1DB1-Normal8"/>
              <w:spacing w:after="0" w:line="240" w:lineRule="auto"/>
              <w:jc w:val="both"/>
              <w:rPr>
                <w:rFonts w:eastAsia="Times New Roman" w:cs="Calibri"/>
                <w:noProof/>
              </w:rPr>
            </w:pPr>
            <w:r>
              <w:rPr>
                <w:noProof/>
              </w:rPr>
              <w:t>Začetek veljavnosti zakonodaje o odpravi ovir za izdajanje dovoljenj, opredeljenih v poročilu delovne skupine, ustanovljene s skupnim odlokom pristojnih članov vlade</w:t>
            </w:r>
          </w:p>
        </w:tc>
      </w:tr>
      <w:tr w:rsidR="00F24946" w14:paraId="50FA20CE" w14:textId="77777777">
        <w:trPr>
          <w:trHeight w:val="640"/>
        </w:trPr>
        <w:tc>
          <w:tcPr>
            <w:tcW w:w="1277" w:type="dxa"/>
            <w:shd w:val="clear" w:color="auto" w:fill="C4EFCE"/>
            <w:vAlign w:val="center"/>
          </w:tcPr>
          <w:p w14:paraId="7B1F5CA0" w14:textId="77777777" w:rsidR="00F24946" w:rsidRDefault="00613B06">
            <w:pPr>
              <w:pStyle w:val="P68B1DB1-Normal7"/>
              <w:spacing w:after="0" w:line="240" w:lineRule="auto"/>
              <w:jc w:val="center"/>
              <w:rPr>
                <w:rFonts w:eastAsia="Times New Roman" w:cs="Calibri"/>
                <w:noProof/>
              </w:rPr>
            </w:pPr>
            <w:r>
              <w:rPr>
                <w:noProof/>
              </w:rPr>
              <w:t>18.5</w:t>
            </w:r>
          </w:p>
        </w:tc>
        <w:tc>
          <w:tcPr>
            <w:tcW w:w="1275" w:type="dxa"/>
            <w:shd w:val="clear" w:color="auto" w:fill="C4EFCE"/>
            <w:noWrap/>
            <w:vAlign w:val="center"/>
            <w:hideMark/>
          </w:tcPr>
          <w:p w14:paraId="7D316546" w14:textId="77777777" w:rsidR="00F24946" w:rsidRDefault="00613B06">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6B073812"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EFEFE4E" w14:textId="77777777" w:rsidR="00F24946" w:rsidRDefault="00613B06">
            <w:pPr>
              <w:pStyle w:val="P68B1DB1-Normal8"/>
              <w:spacing w:after="0" w:line="240" w:lineRule="auto"/>
              <w:jc w:val="center"/>
              <w:rPr>
                <w:rFonts w:eastAsia="Times New Roman" w:cs="Calibri"/>
                <w:noProof/>
              </w:rPr>
            </w:pPr>
            <w:r>
              <w:rPr>
                <w:noProof/>
              </w:rPr>
              <w:t>Posodobljen informacijski sistem za kazenske preiskave</w:t>
            </w:r>
          </w:p>
        </w:tc>
        <w:tc>
          <w:tcPr>
            <w:tcW w:w="1633" w:type="dxa"/>
            <w:shd w:val="clear" w:color="auto" w:fill="C4EFCE"/>
            <w:noWrap/>
            <w:vAlign w:val="center"/>
            <w:hideMark/>
          </w:tcPr>
          <w:p w14:paraId="676EC23C" w14:textId="77777777" w:rsidR="00F24946" w:rsidRDefault="00613B06">
            <w:pPr>
              <w:pStyle w:val="P68B1DB1-Normal8"/>
              <w:spacing w:after="0" w:line="240" w:lineRule="auto"/>
              <w:jc w:val="center"/>
              <w:rPr>
                <w:rFonts w:eastAsia="Times New Roman" w:cs="Calibri"/>
                <w:noProof/>
              </w:rPr>
            </w:pPr>
            <w:r>
              <w:rPr>
                <w:noProof/>
              </w:rPr>
              <w:t>Posodobljen informacijski sistem za preiskave kaznivih dejanj v delovanju</w:t>
            </w:r>
          </w:p>
        </w:tc>
        <w:tc>
          <w:tcPr>
            <w:tcW w:w="1659" w:type="dxa"/>
            <w:shd w:val="clear" w:color="auto" w:fill="C4EFCE"/>
            <w:noWrap/>
            <w:vAlign w:val="center"/>
            <w:hideMark/>
          </w:tcPr>
          <w:p w14:paraId="1F1E7814"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EF1498A"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399F2EC4"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AD1E3F4" w14:textId="77777777" w:rsidR="00F24946" w:rsidRDefault="00613B06">
            <w:pPr>
              <w:pStyle w:val="P68B1DB1-Normal8"/>
              <w:spacing w:after="0" w:line="240" w:lineRule="auto"/>
              <w:jc w:val="center"/>
              <w:rPr>
                <w:rFonts w:eastAsia="Times New Roman" w:cs="Calibri"/>
                <w:noProof/>
              </w:rPr>
            </w:pPr>
            <w:r>
              <w:rPr>
                <w:noProof/>
              </w:rPr>
              <w:t>Q4</w:t>
            </w:r>
          </w:p>
        </w:tc>
        <w:tc>
          <w:tcPr>
            <w:tcW w:w="614" w:type="dxa"/>
            <w:shd w:val="clear" w:color="auto" w:fill="C4EFCE"/>
            <w:noWrap/>
            <w:vAlign w:val="center"/>
            <w:hideMark/>
          </w:tcPr>
          <w:p w14:paraId="5122DDCF" w14:textId="77777777" w:rsidR="00F24946" w:rsidRDefault="00613B06">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41A423B1" w14:textId="78BE8103" w:rsidR="00F24946" w:rsidRDefault="00613B06">
            <w:pPr>
              <w:pStyle w:val="P68B1DB1-Normal8"/>
              <w:spacing w:after="0" w:line="240" w:lineRule="auto"/>
              <w:jc w:val="both"/>
              <w:rPr>
                <w:rFonts w:eastAsia="Times New Roman" w:cs="Calibri"/>
                <w:noProof/>
              </w:rPr>
            </w:pPr>
            <w:r>
              <w:rPr>
                <w:noProof/>
              </w:rPr>
              <w:t>Začetek delovanja posodobljenega informacijskega sistema za kazenske preiskave. Posodobitev vključuje uvedbo vmesnikov in nadgradnjo sistemov prestrezanja ter zagotavljanje interoperabilnosti z evropskimi in mednarodnimi partnerji.</w:t>
            </w:r>
          </w:p>
        </w:tc>
      </w:tr>
      <w:tr w:rsidR="00F24946" w14:paraId="225C6D24" w14:textId="77777777">
        <w:trPr>
          <w:trHeight w:val="430"/>
        </w:trPr>
        <w:tc>
          <w:tcPr>
            <w:tcW w:w="1277" w:type="dxa"/>
            <w:shd w:val="clear" w:color="auto" w:fill="C4EFCE"/>
            <w:vAlign w:val="center"/>
          </w:tcPr>
          <w:p w14:paraId="26C96112" w14:textId="77777777" w:rsidR="00F24946" w:rsidRDefault="00613B06">
            <w:pPr>
              <w:pStyle w:val="P68B1DB1-Normal7"/>
              <w:spacing w:after="0" w:line="240" w:lineRule="auto"/>
              <w:jc w:val="center"/>
              <w:rPr>
                <w:rFonts w:eastAsia="Times New Roman" w:cs="Calibri"/>
                <w:noProof/>
              </w:rPr>
            </w:pPr>
            <w:r>
              <w:rPr>
                <w:noProof/>
              </w:rPr>
              <w:t>18.6</w:t>
            </w:r>
          </w:p>
        </w:tc>
        <w:tc>
          <w:tcPr>
            <w:tcW w:w="1275" w:type="dxa"/>
            <w:shd w:val="clear" w:color="auto" w:fill="C4EFCE"/>
            <w:noWrap/>
            <w:vAlign w:val="center"/>
            <w:hideMark/>
          </w:tcPr>
          <w:p w14:paraId="169DA80A" w14:textId="77777777" w:rsidR="00F24946" w:rsidRDefault="00613B06">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39443976"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95D35B1" w14:textId="77777777" w:rsidR="00F24946" w:rsidRDefault="00613B06">
            <w:pPr>
              <w:pStyle w:val="P68B1DB1-Normal8"/>
              <w:spacing w:after="0" w:line="240" w:lineRule="auto"/>
              <w:jc w:val="center"/>
              <w:rPr>
                <w:rFonts w:eastAsia="Times New Roman" w:cs="Calibri"/>
                <w:noProof/>
              </w:rPr>
            </w:pPr>
            <w:r>
              <w:rPr>
                <w:noProof/>
              </w:rPr>
              <w:t>Informacijski sistem „podjetje 2.0“</w:t>
            </w:r>
          </w:p>
        </w:tc>
        <w:tc>
          <w:tcPr>
            <w:tcW w:w="1633" w:type="dxa"/>
            <w:shd w:val="clear" w:color="auto" w:fill="C4EFCE"/>
            <w:noWrap/>
            <w:vAlign w:val="center"/>
            <w:hideMark/>
          </w:tcPr>
          <w:p w14:paraId="57E18843" w14:textId="77777777" w:rsidR="00F24946" w:rsidRDefault="00613B06">
            <w:pPr>
              <w:pStyle w:val="P68B1DB1-Normal8"/>
              <w:spacing w:after="0" w:line="240" w:lineRule="auto"/>
              <w:jc w:val="center"/>
              <w:rPr>
                <w:rFonts w:eastAsia="Times New Roman" w:cs="Calibri"/>
                <w:noProof/>
              </w:rPr>
            </w:pPr>
            <w:r>
              <w:rPr>
                <w:noProof/>
              </w:rPr>
              <w:t>Informacijski sistem „podjetje 2.0“, ki deluje</w:t>
            </w:r>
          </w:p>
        </w:tc>
        <w:tc>
          <w:tcPr>
            <w:tcW w:w="1659" w:type="dxa"/>
            <w:shd w:val="clear" w:color="auto" w:fill="C4EFCE"/>
            <w:noWrap/>
            <w:vAlign w:val="center"/>
            <w:hideMark/>
          </w:tcPr>
          <w:p w14:paraId="02355EB1"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47E5270"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0D2D7DFE"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5472196"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14" w:type="dxa"/>
            <w:shd w:val="clear" w:color="auto" w:fill="C4EFCE"/>
            <w:noWrap/>
            <w:vAlign w:val="center"/>
            <w:hideMark/>
          </w:tcPr>
          <w:p w14:paraId="34E046B1" w14:textId="77777777" w:rsidR="00F24946" w:rsidRDefault="00613B06">
            <w:pPr>
              <w:pStyle w:val="P68B1DB1-Normal8"/>
              <w:spacing w:after="0" w:line="240" w:lineRule="auto"/>
              <w:jc w:val="center"/>
              <w:rPr>
                <w:rFonts w:eastAsia="Times New Roman" w:cs="Calibri"/>
                <w:noProof/>
              </w:rPr>
            </w:pPr>
            <w:r>
              <w:rPr>
                <w:noProof/>
              </w:rPr>
              <w:t>2024</w:t>
            </w:r>
          </w:p>
        </w:tc>
        <w:tc>
          <w:tcPr>
            <w:tcW w:w="4880" w:type="dxa"/>
            <w:shd w:val="clear" w:color="auto" w:fill="C4EFCE"/>
            <w:vAlign w:val="center"/>
            <w:hideMark/>
          </w:tcPr>
          <w:p w14:paraId="1B04CDEB" w14:textId="77777777" w:rsidR="00F24946" w:rsidRDefault="00613B06">
            <w:pPr>
              <w:pStyle w:val="P68B1DB1-Normal8"/>
              <w:spacing w:after="0" w:line="240" w:lineRule="auto"/>
              <w:jc w:val="both"/>
              <w:rPr>
                <w:rFonts w:eastAsia="Times New Roman" w:cs="Calibri"/>
                <w:noProof/>
              </w:rPr>
            </w:pPr>
            <w:r>
              <w:rPr>
                <w:noProof/>
              </w:rPr>
              <w:t>Začetek delovanja informacijskega sistema „Podjetništvo 2.0“, ki je nova platforma, ki vključuje informacije o življenjskem ciklu podjetij (ustvarjanje, upravljanje in prenehanje poslovanja).</w:t>
            </w:r>
          </w:p>
        </w:tc>
      </w:tr>
      <w:tr w:rsidR="00F24946" w14:paraId="0A059693" w14:textId="77777777">
        <w:trPr>
          <w:trHeight w:val="1549"/>
        </w:trPr>
        <w:tc>
          <w:tcPr>
            <w:tcW w:w="1277" w:type="dxa"/>
            <w:shd w:val="clear" w:color="auto" w:fill="C4EFCE"/>
            <w:vAlign w:val="center"/>
          </w:tcPr>
          <w:p w14:paraId="4ED3BD78" w14:textId="77777777" w:rsidR="00F24946" w:rsidRDefault="00613B06">
            <w:pPr>
              <w:pStyle w:val="P68B1DB1-Normal7"/>
              <w:spacing w:after="0" w:line="240" w:lineRule="auto"/>
              <w:jc w:val="center"/>
              <w:rPr>
                <w:rFonts w:eastAsia="Times New Roman" w:cs="Calibri"/>
                <w:noProof/>
              </w:rPr>
            </w:pPr>
            <w:r>
              <w:rPr>
                <w:noProof/>
              </w:rPr>
              <w:t>18.7</w:t>
            </w:r>
          </w:p>
        </w:tc>
        <w:tc>
          <w:tcPr>
            <w:tcW w:w="1275" w:type="dxa"/>
            <w:shd w:val="clear" w:color="auto" w:fill="C4EFCE"/>
            <w:noWrap/>
            <w:vAlign w:val="center"/>
            <w:hideMark/>
          </w:tcPr>
          <w:p w14:paraId="2C1871B2" w14:textId="77777777" w:rsidR="00F24946" w:rsidRDefault="00613B06">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40CE8FFB"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F76739D" w14:textId="77777777" w:rsidR="00F24946" w:rsidRDefault="00613B06">
            <w:pPr>
              <w:pStyle w:val="P68B1DB1-Normal8"/>
              <w:spacing w:after="0" w:line="240" w:lineRule="auto"/>
              <w:jc w:val="center"/>
              <w:rPr>
                <w:rFonts w:eastAsia="Times New Roman" w:cs="Calibri"/>
                <w:noProof/>
              </w:rPr>
            </w:pPr>
            <w:r>
              <w:rPr>
                <w:noProof/>
              </w:rPr>
              <w:t>Nov informacijski sistem za digitalno preobrazbo sodišč in državnega tožilstva</w:t>
            </w:r>
          </w:p>
        </w:tc>
        <w:tc>
          <w:tcPr>
            <w:tcW w:w="1633" w:type="dxa"/>
            <w:shd w:val="clear" w:color="auto" w:fill="C4EFCE"/>
            <w:noWrap/>
            <w:vAlign w:val="center"/>
            <w:hideMark/>
          </w:tcPr>
          <w:p w14:paraId="0E3E294D" w14:textId="77777777" w:rsidR="00F24946" w:rsidRDefault="00613B06">
            <w:pPr>
              <w:pStyle w:val="P68B1DB1-Normal8"/>
              <w:spacing w:after="0" w:line="240" w:lineRule="auto"/>
              <w:jc w:val="center"/>
              <w:rPr>
                <w:rFonts w:eastAsia="Times New Roman" w:cs="Calibri"/>
                <w:noProof/>
              </w:rPr>
            </w:pPr>
            <w:r>
              <w:rPr>
                <w:noProof/>
              </w:rPr>
              <w:t>Novi informacijski sistem za digitalno preobrazbo sodišč in državnega tožilstva, ki deluje</w:t>
            </w:r>
          </w:p>
        </w:tc>
        <w:tc>
          <w:tcPr>
            <w:tcW w:w="1659" w:type="dxa"/>
            <w:shd w:val="clear" w:color="auto" w:fill="C4EFCE"/>
            <w:noWrap/>
            <w:vAlign w:val="center"/>
            <w:hideMark/>
          </w:tcPr>
          <w:p w14:paraId="01C32B98"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6C17AC"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48D4F6D4"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D0E0F97" w14:textId="77777777" w:rsidR="00F24946" w:rsidRDefault="00613B06">
            <w:pPr>
              <w:pStyle w:val="P68B1DB1-Normal8"/>
              <w:spacing w:after="0" w:line="240" w:lineRule="auto"/>
              <w:jc w:val="center"/>
              <w:rPr>
                <w:rFonts w:eastAsia="Times New Roman" w:cs="Calibri"/>
                <w:noProof/>
              </w:rPr>
            </w:pPr>
            <w:r>
              <w:rPr>
                <w:noProof/>
              </w:rPr>
              <w:t>Q4</w:t>
            </w:r>
          </w:p>
        </w:tc>
        <w:tc>
          <w:tcPr>
            <w:tcW w:w="614" w:type="dxa"/>
            <w:shd w:val="clear" w:color="auto" w:fill="C4EFCE"/>
            <w:noWrap/>
            <w:vAlign w:val="center"/>
            <w:hideMark/>
          </w:tcPr>
          <w:p w14:paraId="0F78CEE7" w14:textId="77777777" w:rsidR="00F24946" w:rsidRDefault="00613B06">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8A62C7E" w14:textId="2D8A6040" w:rsidR="00F24946" w:rsidRDefault="00613B06">
            <w:pPr>
              <w:pStyle w:val="P68B1DB1-Normal8"/>
              <w:spacing w:after="0" w:line="240" w:lineRule="auto"/>
              <w:jc w:val="both"/>
              <w:rPr>
                <w:rFonts w:eastAsia="Times New Roman" w:cs="Calibri"/>
                <w:noProof/>
              </w:rPr>
            </w:pPr>
            <w:r>
              <w:rPr>
                <w:noProof/>
              </w:rPr>
              <w:t>Začetek delovanja novega informacijskega sistema za obravnavo elektronskih sodnih postopkov. Novi informacijski sistem bo na voljo na približno 400 sodiščih in tožilskih enotah za vodenje elektronskih sodnih postopkov, ki zajemajo vse jurisdikcije, postopkovne korake (vključno s preiskavami) in pravosodne organe, uporabljajo pa ga sodniki, tožilci, sodni uradniki in predstavniki. Vsa komunikacija Sodišča z deležniki se digitalizira.</w:t>
            </w:r>
          </w:p>
        </w:tc>
      </w:tr>
      <w:tr w:rsidR="00F24946" w14:paraId="7596235C" w14:textId="77777777">
        <w:trPr>
          <w:trHeight w:val="420"/>
        </w:trPr>
        <w:tc>
          <w:tcPr>
            <w:tcW w:w="1277" w:type="dxa"/>
            <w:shd w:val="clear" w:color="auto" w:fill="C4EFCE"/>
            <w:vAlign w:val="center"/>
          </w:tcPr>
          <w:p w14:paraId="136E2CBE" w14:textId="77777777" w:rsidR="00F24946" w:rsidRDefault="00613B06">
            <w:pPr>
              <w:pStyle w:val="P68B1DB1-Normal7"/>
              <w:spacing w:after="0" w:line="240" w:lineRule="auto"/>
              <w:jc w:val="center"/>
              <w:rPr>
                <w:rFonts w:eastAsia="Times New Roman" w:cs="Calibri"/>
                <w:noProof/>
              </w:rPr>
            </w:pPr>
            <w:r>
              <w:rPr>
                <w:noProof/>
              </w:rPr>
              <w:t>18.8</w:t>
            </w:r>
          </w:p>
        </w:tc>
        <w:tc>
          <w:tcPr>
            <w:tcW w:w="1275" w:type="dxa"/>
            <w:shd w:val="clear" w:color="auto" w:fill="C4EFCE"/>
            <w:noWrap/>
            <w:vAlign w:val="center"/>
            <w:hideMark/>
          </w:tcPr>
          <w:p w14:paraId="04B7365D" w14:textId="77777777" w:rsidR="00F24946" w:rsidRDefault="00613B06">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03AD5040"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2AEC5F26" w14:textId="77777777" w:rsidR="00F24946" w:rsidRDefault="00613B06">
            <w:pPr>
              <w:pStyle w:val="P68B1DB1-Normal8"/>
              <w:spacing w:after="0" w:line="240" w:lineRule="auto"/>
              <w:jc w:val="center"/>
              <w:rPr>
                <w:rFonts w:eastAsia="Times New Roman" w:cs="Calibri"/>
                <w:noProof/>
              </w:rPr>
            </w:pPr>
            <w:r>
              <w:rPr>
                <w:noProof/>
              </w:rPr>
              <w:t xml:space="preserve">Izvajanje novega tehnološkega načrta  </w:t>
            </w:r>
          </w:p>
        </w:tc>
        <w:tc>
          <w:tcPr>
            <w:tcW w:w="1633" w:type="dxa"/>
            <w:shd w:val="clear" w:color="auto" w:fill="C4EFCE"/>
            <w:noWrap/>
            <w:vAlign w:val="center"/>
            <w:hideMark/>
          </w:tcPr>
          <w:p w14:paraId="490AFB9D" w14:textId="77777777" w:rsidR="00F24946" w:rsidRDefault="00613B06">
            <w:pPr>
              <w:pStyle w:val="P68B1DB1-Normal8"/>
              <w:spacing w:after="0" w:line="240" w:lineRule="auto"/>
              <w:jc w:val="center"/>
              <w:rPr>
                <w:rFonts w:eastAsia="Times New Roman" w:cs="Calibri"/>
                <w:noProof/>
              </w:rPr>
            </w:pPr>
            <w:r>
              <w:rPr>
                <w:noProof/>
              </w:rPr>
              <w:t>Izvajanje novega tehnološkega načrta</w:t>
            </w:r>
          </w:p>
        </w:tc>
        <w:tc>
          <w:tcPr>
            <w:tcW w:w="1659" w:type="dxa"/>
            <w:shd w:val="clear" w:color="auto" w:fill="C4EFCE"/>
            <w:noWrap/>
            <w:vAlign w:val="center"/>
            <w:hideMark/>
          </w:tcPr>
          <w:p w14:paraId="45638276"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590CD33"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6F1CD951"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0C9F6AE" w14:textId="77777777" w:rsidR="00F24946" w:rsidRDefault="00613B06">
            <w:pPr>
              <w:pStyle w:val="P68B1DB1-Normal8"/>
              <w:spacing w:after="0" w:line="240" w:lineRule="auto"/>
              <w:jc w:val="center"/>
              <w:rPr>
                <w:rFonts w:eastAsia="Times New Roman" w:cs="Calibri"/>
                <w:noProof/>
              </w:rPr>
            </w:pPr>
            <w:r>
              <w:rPr>
                <w:noProof/>
              </w:rPr>
              <w:t>Q4</w:t>
            </w:r>
          </w:p>
        </w:tc>
        <w:tc>
          <w:tcPr>
            <w:tcW w:w="614" w:type="dxa"/>
            <w:shd w:val="clear" w:color="auto" w:fill="C4EFCE"/>
            <w:noWrap/>
            <w:vAlign w:val="center"/>
            <w:hideMark/>
          </w:tcPr>
          <w:p w14:paraId="1F094D9A" w14:textId="77777777" w:rsidR="00F24946" w:rsidRDefault="00613B06">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16BB7A9B" w14:textId="77777777" w:rsidR="00F24946" w:rsidRDefault="00613B06">
            <w:pPr>
              <w:pStyle w:val="P68B1DB1-Normal8"/>
              <w:spacing w:after="0" w:line="240" w:lineRule="auto"/>
              <w:jc w:val="both"/>
              <w:rPr>
                <w:rFonts w:eastAsia="Times New Roman" w:cs="Calibri"/>
                <w:noProof/>
              </w:rPr>
            </w:pPr>
            <w:r>
              <w:rPr>
                <w:noProof/>
              </w:rPr>
              <w:t xml:space="preserve">Izvajanje novega tehnološkega načrta za pravosodno opremo in infrastrukturo z začetkom delovanja naslednjih komponent: </w:t>
            </w:r>
          </w:p>
          <w:p w14:paraId="2DCE4A09" w14:textId="77777777" w:rsidR="00F24946" w:rsidRDefault="00613B06">
            <w:pPr>
              <w:pStyle w:val="P68B1DB1-Normal8"/>
              <w:spacing w:after="0" w:line="240" w:lineRule="auto"/>
              <w:jc w:val="both"/>
              <w:rPr>
                <w:rFonts w:eastAsia="Times New Roman" w:cs="Calibri"/>
                <w:noProof/>
              </w:rPr>
            </w:pPr>
            <w:r>
              <w:rPr>
                <w:noProof/>
              </w:rPr>
              <w:t xml:space="preserve">(a) Novo podatkovno središče; </w:t>
            </w:r>
          </w:p>
          <w:p w14:paraId="5AABD6C8" w14:textId="77777777" w:rsidR="00F24946" w:rsidRDefault="00613B06">
            <w:pPr>
              <w:pStyle w:val="P68B1DB1-Normal8"/>
              <w:spacing w:after="0" w:line="240" w:lineRule="auto"/>
              <w:jc w:val="both"/>
              <w:rPr>
                <w:rFonts w:eastAsia="Times New Roman" w:cs="Calibri"/>
                <w:noProof/>
              </w:rPr>
            </w:pPr>
            <w:r>
              <w:rPr>
                <w:noProof/>
              </w:rPr>
              <w:t xml:space="preserve">(b) Platforma odprtih podatkov za pravosodje; </w:t>
            </w:r>
          </w:p>
          <w:p w14:paraId="598F4A88" w14:textId="77777777" w:rsidR="00F24946" w:rsidRDefault="00613B06">
            <w:pPr>
              <w:pStyle w:val="P68B1DB1-Normal8"/>
              <w:spacing w:after="0" w:line="240" w:lineRule="auto"/>
              <w:jc w:val="both"/>
              <w:rPr>
                <w:rFonts w:eastAsia="Times New Roman" w:cs="Calibri"/>
                <w:noProof/>
              </w:rPr>
            </w:pPr>
            <w:r>
              <w:rPr>
                <w:noProof/>
              </w:rPr>
              <w:t xml:space="preserve">(C) Sistem za upravljanje informacij za vse subjekte v pravosodju; </w:t>
            </w:r>
          </w:p>
          <w:p w14:paraId="458BE826" w14:textId="1D3A1DA0" w:rsidR="00F24946" w:rsidRDefault="00613B06">
            <w:pPr>
              <w:pStyle w:val="P68B1DB1-Normal8"/>
              <w:spacing w:after="0" w:line="240" w:lineRule="auto"/>
              <w:jc w:val="both"/>
              <w:rPr>
                <w:rFonts w:eastAsia="Times New Roman" w:cs="Calibri"/>
                <w:noProof/>
              </w:rPr>
            </w:pPr>
            <w:r>
              <w:rPr>
                <w:noProof/>
              </w:rPr>
              <w:t>(d) Upravljanje digitalne identitete in</w:t>
            </w:r>
          </w:p>
          <w:p w14:paraId="42F2BEFF" w14:textId="12D6CA51" w:rsidR="00F24946" w:rsidRDefault="00613B06">
            <w:pPr>
              <w:pStyle w:val="P68B1DB1-Normal8"/>
              <w:spacing w:after="0" w:line="240" w:lineRule="auto"/>
              <w:jc w:val="both"/>
              <w:rPr>
                <w:rFonts w:eastAsia="Times New Roman" w:cs="Calibri"/>
                <w:noProof/>
              </w:rPr>
            </w:pPr>
            <w:r>
              <w:rPr>
                <w:noProof/>
              </w:rPr>
              <w:t>(e) Sistem za izterjavo in upravljanje zaseženega premoženja v sodnih postopkih</w:t>
            </w:r>
          </w:p>
        </w:tc>
      </w:tr>
      <w:tr w:rsidR="00F24946" w14:paraId="652E8888" w14:textId="77777777">
        <w:trPr>
          <w:trHeight w:val="290"/>
        </w:trPr>
        <w:tc>
          <w:tcPr>
            <w:tcW w:w="1277" w:type="dxa"/>
            <w:shd w:val="clear" w:color="auto" w:fill="C4EFCE"/>
            <w:vAlign w:val="center"/>
          </w:tcPr>
          <w:p w14:paraId="7B60AA28" w14:textId="77777777" w:rsidR="00F24946" w:rsidRDefault="00613B06">
            <w:pPr>
              <w:pStyle w:val="P68B1DB1-Normal7"/>
              <w:spacing w:after="0" w:line="240" w:lineRule="auto"/>
              <w:jc w:val="center"/>
              <w:rPr>
                <w:rFonts w:eastAsia="Times New Roman" w:cs="Calibri"/>
                <w:noProof/>
              </w:rPr>
            </w:pPr>
            <w:r>
              <w:rPr>
                <w:noProof/>
              </w:rPr>
              <w:t>18.9</w:t>
            </w:r>
          </w:p>
        </w:tc>
        <w:tc>
          <w:tcPr>
            <w:tcW w:w="1275" w:type="dxa"/>
            <w:shd w:val="clear" w:color="auto" w:fill="C4EFCE"/>
            <w:noWrap/>
            <w:vAlign w:val="center"/>
            <w:hideMark/>
          </w:tcPr>
          <w:p w14:paraId="466CB9EA" w14:textId="77777777" w:rsidR="00F24946" w:rsidRDefault="00613B06">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542529BD" w14:textId="77777777" w:rsidR="00F24946" w:rsidRDefault="00613B06">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30BF086F" w14:textId="77777777" w:rsidR="00F24946" w:rsidRDefault="00613B06">
            <w:pPr>
              <w:pStyle w:val="P68B1DB1-Normal8"/>
              <w:spacing w:after="0" w:line="240" w:lineRule="auto"/>
              <w:jc w:val="center"/>
              <w:rPr>
                <w:rFonts w:eastAsia="Times New Roman" w:cs="Calibri"/>
                <w:noProof/>
              </w:rPr>
            </w:pPr>
            <w:r>
              <w:rPr>
                <w:noProof/>
              </w:rPr>
              <w:t xml:space="preserve">Platforme za upravljanje znanja v pravosodju </w:t>
            </w:r>
          </w:p>
        </w:tc>
        <w:tc>
          <w:tcPr>
            <w:tcW w:w="1633" w:type="dxa"/>
            <w:shd w:val="clear" w:color="auto" w:fill="C4EFCE"/>
            <w:noWrap/>
            <w:vAlign w:val="center"/>
            <w:hideMark/>
          </w:tcPr>
          <w:p w14:paraId="2BB35CD2" w14:textId="77777777" w:rsidR="00F24946" w:rsidRDefault="00613B06">
            <w:pPr>
              <w:pStyle w:val="P68B1DB1-Normal8"/>
              <w:spacing w:after="0" w:line="240" w:lineRule="auto"/>
              <w:jc w:val="center"/>
              <w:rPr>
                <w:rFonts w:eastAsia="Times New Roman" w:cs="Calibri"/>
                <w:noProof/>
              </w:rPr>
            </w:pPr>
            <w:r>
              <w:rPr>
                <w:noProof/>
              </w:rPr>
              <w:t>Delujoče platforme za upravljanje znanja v pravosodju</w:t>
            </w:r>
          </w:p>
        </w:tc>
        <w:tc>
          <w:tcPr>
            <w:tcW w:w="1659" w:type="dxa"/>
            <w:shd w:val="clear" w:color="auto" w:fill="C4EFCE"/>
            <w:noWrap/>
            <w:vAlign w:val="center"/>
            <w:hideMark/>
          </w:tcPr>
          <w:p w14:paraId="1AFCBD9B"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D02AA90" w14:textId="77777777" w:rsidR="00F24946" w:rsidRDefault="00613B06">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1A564C8D" w14:textId="77777777" w:rsidR="00F24946" w:rsidRDefault="00613B06">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7BC388F9" w14:textId="77777777" w:rsidR="00F24946" w:rsidRDefault="00613B06">
            <w:pPr>
              <w:pStyle w:val="P68B1DB1-Normal8"/>
              <w:spacing w:after="0" w:line="240" w:lineRule="auto"/>
              <w:jc w:val="center"/>
              <w:rPr>
                <w:rFonts w:eastAsia="Times New Roman" w:cs="Calibri"/>
                <w:noProof/>
              </w:rPr>
            </w:pPr>
            <w:r>
              <w:rPr>
                <w:noProof/>
              </w:rPr>
              <w:t>Q4</w:t>
            </w:r>
          </w:p>
        </w:tc>
        <w:tc>
          <w:tcPr>
            <w:tcW w:w="614" w:type="dxa"/>
            <w:shd w:val="clear" w:color="auto" w:fill="C4EFCE"/>
            <w:noWrap/>
            <w:vAlign w:val="center"/>
            <w:hideMark/>
          </w:tcPr>
          <w:p w14:paraId="176AAACD" w14:textId="77777777" w:rsidR="00F24946" w:rsidRDefault="00613B06">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0610679A" w14:textId="77777777" w:rsidR="00F24946" w:rsidRDefault="00613B06">
            <w:pPr>
              <w:pStyle w:val="P68B1DB1-Normal8"/>
              <w:spacing w:after="0" w:line="240" w:lineRule="auto"/>
              <w:jc w:val="both"/>
              <w:rPr>
                <w:rFonts w:eastAsia="Times New Roman" w:cs="Calibri"/>
                <w:noProof/>
              </w:rPr>
            </w:pPr>
            <w:r>
              <w:rPr>
                <w:noProof/>
              </w:rPr>
              <w:t xml:space="preserve">Začetek delovanja naslednjih platform za upravljanje znanja: </w:t>
            </w:r>
          </w:p>
          <w:p w14:paraId="496127DF" w14:textId="77777777" w:rsidR="00F24946" w:rsidRDefault="00613B06">
            <w:pPr>
              <w:pStyle w:val="P68B1DB1-Normal8"/>
              <w:spacing w:after="0" w:line="240" w:lineRule="auto"/>
              <w:jc w:val="both"/>
              <w:rPr>
                <w:rFonts w:eastAsia="Times New Roman" w:cs="Calibri"/>
                <w:noProof/>
              </w:rPr>
            </w:pPr>
            <w:r>
              <w:rPr>
                <w:noProof/>
              </w:rPr>
              <w:t>(a) Skupne podporne storitve</w:t>
            </w:r>
          </w:p>
          <w:p w14:paraId="7691DD03" w14:textId="77777777" w:rsidR="00F24946" w:rsidRDefault="00613B06">
            <w:pPr>
              <w:pStyle w:val="P68B1DB1-Normal8"/>
              <w:spacing w:after="0" w:line="240" w:lineRule="auto"/>
              <w:jc w:val="both"/>
              <w:rPr>
                <w:rFonts w:eastAsia="Times New Roman" w:cs="Calibri"/>
                <w:noProof/>
              </w:rPr>
            </w:pPr>
            <w:r>
              <w:rPr>
                <w:noProof/>
              </w:rPr>
              <w:t>(b) Statistični podatki in kazalniki</w:t>
            </w:r>
          </w:p>
          <w:p w14:paraId="72273524" w14:textId="66EFA231" w:rsidR="00F24946" w:rsidRDefault="00613B06">
            <w:pPr>
              <w:pStyle w:val="P68B1DB1-Normal8"/>
              <w:spacing w:after="0" w:line="240" w:lineRule="auto"/>
              <w:jc w:val="both"/>
              <w:rPr>
                <w:rFonts w:eastAsia="Times New Roman" w:cs="Calibri"/>
                <w:noProof/>
              </w:rPr>
            </w:pPr>
            <w:r>
              <w:rPr>
                <w:noProof/>
              </w:rPr>
              <w:t>(C) Platforma za upravljanje informacij (sistem za upravljanje dokumentov)</w:t>
            </w:r>
          </w:p>
        </w:tc>
      </w:tr>
    </w:tbl>
    <w:p w14:paraId="1FA4212A"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4578922"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2D348F08"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S. KOMPONENTA 19: Digitalna javna uprava</w:t>
      </w:r>
    </w:p>
    <w:p w14:paraId="545FE9CA" w14:textId="77777777" w:rsidR="00F24946" w:rsidRDefault="00613B06">
      <w:pPr>
        <w:pStyle w:val="P68B1DB1-Normal4"/>
        <w:keepNext/>
        <w:spacing w:before="40" w:after="0" w:line="259" w:lineRule="auto"/>
        <w:jc w:val="both"/>
        <w:rPr>
          <w:rFonts w:eastAsiaTheme="minorEastAsia" w:cs="Times New Roman"/>
          <w:noProof/>
        </w:rPr>
      </w:pPr>
      <w:r>
        <w:rPr>
          <w:noProof/>
        </w:rPr>
        <w:t>Ta komponenta portugalskega načrta za okrevanje in odpornost obravnava izziv potrebe po zagotavljanju boljših, enostavnejših in bolj digitalnih javnih storitev. Čeprav je Portugalska na področju zagotavljanja digitalnih storitev v dobrem položaju, sta razdrobljenost in podvajanje zahtev še vedno ključni oviri za učinkovito in k uporabnikom usmerjeno javno upravo. Ta komponenta je namenjena reševanju teh izzivov.</w:t>
      </w:r>
    </w:p>
    <w:p w14:paraId="7E98D9F3"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komponente je boljša javna storitev s spodbujanjem uporabe tehnoloških rešitev in krepitvijo bližine za enostavnejši, varen, uspešen in učinkovit dostop za državljane in podjetja, s čimer se zmanjšajo stroški konteksta. Poleg tega je namenjen spodbujanju učinkovitosti, modernizacije, inovacij in opolnomočenja javne uprave, krepitvi njene odpornosti, izboljšanju znanj in spretnosti javnih uslužbencev ter povečanju prispevka države in javne uprave h gospodarski in socialni rasti in razvoju. </w:t>
      </w:r>
    </w:p>
    <w:p w14:paraId="48EE2AE0"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 Ta komponenta je osredotočena na izvajanje paradigme „digitalno po definiciji“ in načela „samo enkrat“ v portugalski javni upravi, hkrati pa vlaga v izpopolnjevanje delovne sile. </w:t>
      </w:r>
    </w:p>
    <w:p w14:paraId="73EFA6E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komponenta prispeva k obravnavi priporočil za posamezne države o: </w:t>
      </w:r>
    </w:p>
    <w:p w14:paraId="4BE37384" w14:textId="77777777" w:rsidR="00F24946" w:rsidRDefault="00613B06">
      <w:pPr>
        <w:pStyle w:val="P68B1DB1-Normal4"/>
        <w:keepNext/>
        <w:numPr>
          <w:ilvl w:val="0"/>
          <w:numId w:val="35"/>
        </w:numPr>
        <w:spacing w:before="40" w:after="0" w:line="259" w:lineRule="auto"/>
        <w:jc w:val="both"/>
        <w:rPr>
          <w:rFonts w:eastAsiaTheme="minorEastAsia" w:cs="Times New Roman"/>
          <w:noProof/>
        </w:rPr>
      </w:pPr>
      <w:r>
        <w:rPr>
          <w:noProof/>
        </w:rPr>
        <w:t xml:space="preserve">dajanje prednosti rasti prijaznim odhodkom (priporočilo za posamezno državo št. 1 iz leta 2019 in 2020) z izkoriščanjem večje učinkovitosti, ki izhaja iz digitalizacije; </w:t>
      </w:r>
    </w:p>
    <w:p w14:paraId="6FD36964" w14:textId="77777777" w:rsidR="00F24946" w:rsidRDefault="00613B06">
      <w:pPr>
        <w:pStyle w:val="P68B1DB1-Normal4"/>
        <w:keepNext/>
        <w:numPr>
          <w:ilvl w:val="0"/>
          <w:numId w:val="35"/>
        </w:numPr>
        <w:spacing w:before="40" w:after="0" w:line="259" w:lineRule="auto"/>
        <w:jc w:val="both"/>
        <w:rPr>
          <w:rFonts w:eastAsiaTheme="minorEastAsia" w:cs="Times New Roman"/>
          <w:noProof/>
        </w:rPr>
      </w:pPr>
      <w:r>
        <w:rPr>
          <w:noProof/>
        </w:rPr>
        <w:t>izboljšanje ravni znanj in spretnosti prebivalstva (priporočilo 2 za posamezno državo iz leta 2019) v zvezi z javno upravo;</w:t>
      </w:r>
    </w:p>
    <w:p w14:paraId="1C7F0463" w14:textId="77777777" w:rsidR="00F24946" w:rsidRDefault="00613B06">
      <w:pPr>
        <w:pStyle w:val="P68B1DB1-Normal4"/>
        <w:keepNext/>
        <w:numPr>
          <w:ilvl w:val="0"/>
          <w:numId w:val="35"/>
        </w:numPr>
        <w:spacing w:before="40" w:after="0" w:line="259" w:lineRule="auto"/>
        <w:jc w:val="both"/>
        <w:rPr>
          <w:rFonts w:eastAsiaTheme="minorEastAsia" w:cs="Times New Roman"/>
          <w:noProof/>
        </w:rPr>
      </w:pPr>
      <w:r>
        <w:rPr>
          <w:noProof/>
        </w:rPr>
        <w:t xml:space="preserve">osredotočanje naložb na digitalni prehod (priporočilo za posamezno državo št. 3 2020) z vlaganjem v medsektorske in sektorske sisteme javne uprave; in </w:t>
      </w:r>
    </w:p>
    <w:p w14:paraId="4FD80289" w14:textId="77777777" w:rsidR="00F24946" w:rsidRDefault="00613B06">
      <w:pPr>
        <w:pStyle w:val="P68B1DB1-Normal4"/>
        <w:keepNext/>
        <w:numPr>
          <w:ilvl w:val="0"/>
          <w:numId w:val="35"/>
        </w:numPr>
        <w:spacing w:before="40" w:after="0" w:line="259" w:lineRule="auto"/>
        <w:jc w:val="both"/>
        <w:rPr>
          <w:rFonts w:eastAsiaTheme="minorEastAsia" w:cs="Times New Roman"/>
          <w:noProof/>
        </w:rPr>
      </w:pPr>
      <w:r>
        <w:rPr>
          <w:noProof/>
        </w:rPr>
        <w:t xml:space="preserve">zmanjšanje regulativnega in upravnega bremena za podjetja (priporočilo za posamezno državo št. 4 iz leta 2019) s poenostavitvijo in učinkovitejšimi odnosi med podjetji in javnimi organi, zlasti z izvajanjem načela „samo enkrat“. </w:t>
      </w:r>
    </w:p>
    <w:p w14:paraId="2CE620EE" w14:textId="77777777" w:rsidR="00F24946" w:rsidRDefault="00613B06">
      <w:pPr>
        <w:pStyle w:val="P68B1DB1-Normal4"/>
        <w:keepNext/>
        <w:spacing w:before="40" w:after="120" w:line="259" w:lineRule="auto"/>
        <w:ind w:left="720"/>
        <w:jc w:val="both"/>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138A182A" w14:textId="77777777" w:rsidR="00F24946" w:rsidRDefault="00613B06">
      <w:pPr>
        <w:pStyle w:val="P68B1DB1-Normal3"/>
        <w:keepNext/>
        <w:spacing w:before="40" w:after="120" w:line="259" w:lineRule="auto"/>
        <w:ind w:left="130" w:firstLine="720"/>
        <w:jc w:val="both"/>
        <w:outlineLvl w:val="1"/>
        <w:rPr>
          <w:rFonts w:eastAsiaTheme="minorEastAsia" w:cs="Times New Roman"/>
          <w:noProof/>
        </w:rPr>
      </w:pPr>
      <w:r>
        <w:rPr>
          <w:noProof/>
        </w:rPr>
        <w:t xml:space="preserve">S.1. </w:t>
      </w:r>
      <w:r>
        <w:rPr>
          <w:noProof/>
        </w:rPr>
        <w:tab/>
        <w:t>Opis reform in naložb za nepovratno finančno podporo</w:t>
      </w:r>
    </w:p>
    <w:p w14:paraId="33CDC499"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Reforma TD-r34: Digitalne, enostavne, vključujoče in varne javne storitve za državljane in podjetja </w:t>
      </w:r>
    </w:p>
    <w:p w14:paraId="77FBE40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reforme je izvajanje paradigme „digital po definiciji“ v javnih storitvah, da bi bila bolj usmerjena v uporabnike, povečala dostopnost in zmanjšala upravno breme za državljane in podjetja, tudi z zanašanjem na uporabo storitev v oblaku. </w:t>
      </w:r>
    </w:p>
    <w:p w14:paraId="1568584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vključuje izvajanje ukrepov za zagotovitev vzpostavitve potrebnega pravnega okvira za digitalni prehod, zlasti za izvajanje enotnega digitalnega portala in načela „samo enkrat“, in sicer z usklajenim postopkom med javnimi subjekti, zasidranimi v strategiji in akcijskem načrtu za digitalno preobrazbo v javni upravi za obdobje 2021–2023 in 2024–2026, ob izvajanju potrebnih zaščitnih ukrepov za informacijsko varnost, vključno s tistimi, ki so specifični za kibernetsko varnost. </w:t>
      </w:r>
    </w:p>
    <w:p w14:paraId="5F0EA2EF" w14:textId="12627A67" w:rsidR="00F24946" w:rsidRDefault="00613B06">
      <w:pPr>
        <w:pStyle w:val="P68B1DB1-Normal4"/>
        <w:keepNext/>
        <w:spacing w:before="40" w:after="0" w:line="259" w:lineRule="auto"/>
        <w:jc w:val="both"/>
        <w:rPr>
          <w:rFonts w:eastAsiaTheme="minorEastAsia" w:cs="Times New Roman"/>
          <w:noProof/>
        </w:rPr>
      </w:pPr>
      <w:r>
        <w:rPr>
          <w:noProof/>
        </w:rPr>
        <w:t>Reforma se izvede do 30. septembra 2021.</w:t>
      </w:r>
    </w:p>
    <w:p w14:paraId="66FE78DD"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4F8D8530"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TD-r35: Funkcionalna in organizacijska reforma javne uprave</w:t>
      </w:r>
    </w:p>
    <w:p w14:paraId="033B5E8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reforme je prestrukturirati in racionalizirati javne storitve za spodbujanje sodobne in učinkovitejše javne uprave, pri čemer je treba izkoristiti tudi sinergije, ki izhajajo iz izvajanja reforme TD-r34. Trenutno v osrednjih vladnih službah prihaja do razpršenosti in redundance, kar vodi do ponavljanja služb znotraj ministrstev in visoke stopnje togosti modelov zagotavljanja dela v javnem sektorju, ki temelji na strogih strukturah poveljevanja in vodi v nepotrebne birokratske pristope. </w:t>
      </w:r>
    </w:p>
    <w:p w14:paraId="17A61D9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S to reformo se bo spremenil model delovanja državne in javne uprave na splošno, da se okrepijo sinergije in izkoristijo priložnosti, ki jih ustvarja tehnologija. To vključuje centralizacijo skupnih in skupnih storitev, obravnavanje razpršenosti in odpuščanja znotraj oddelkov centralne vlade, ustrezno specializacijo sektorskih neposrednih in posrednih subjektov javne uprave po strokovnih področjih, specializacijo kritičnih funkcij podpore vladnim dejavnostim in koncentracijo vladnih uradov v enem samem fizičnem prostoru ter spodbujanje notranje revizije in referenčnih vrednosti, usmerjanje učinkovitosti procesov, stalno izboljševanje in razširjanje praks najvišjega vodstva med subjekti javne uprave. Ta reforma se izvede z ustanovitvijo strukture misij (projektne skupine) za diagnosticiranje in opredelitev načrta za reorganizacijo osrednjih državnih služb, ki se bo financiral v okviru TD-C19-i07. </w:t>
      </w:r>
    </w:p>
    <w:p w14:paraId="5AC9D457"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se zaključi do 31. decembra 2023. </w:t>
      </w:r>
    </w:p>
    <w:p w14:paraId="0BE3FE14"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TD-r36: Javna uprava, pooblaščena za ustvarjanje javne vrednosti</w:t>
      </w:r>
    </w:p>
    <w:p w14:paraId="4496EB08" w14:textId="77777777" w:rsidR="00F24946" w:rsidRDefault="00613B06">
      <w:pPr>
        <w:pStyle w:val="P68B1DB1-Normal4"/>
        <w:keepNext/>
        <w:spacing w:before="40" w:after="0" w:line="259" w:lineRule="auto"/>
        <w:jc w:val="both"/>
        <w:rPr>
          <w:rFonts w:eastAsiaTheme="minorEastAsia" w:cs="Times New Roman"/>
          <w:noProof/>
        </w:rPr>
      </w:pPr>
      <w:r>
        <w:rPr>
          <w:noProof/>
        </w:rPr>
        <w:t>Ta reforma je namenjena izpopolnjevanju javnih uslužbencev, vključno z njihovimi digitalnimi znanji in spretnostmi, ter uvaja nove delovne modele (tj. delo na daljavo). Ta reforma je v skladu z ukrepi, predvidenimi v komponenti 6.</w:t>
      </w:r>
    </w:p>
    <w:p w14:paraId="6CC35A5C"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Ta reforma, ki se odraža v strategiji za inovacije in posodobitev državne in javne uprave iz julija 2020, bo okrepila strukturo vodenja in usposabljanja za javne uslužbence in vodstvo, in sicer z vzpostavitvijo strukture za usklajevanje dejavnosti usposabljanja ( </w:t>
      </w:r>
      <w:r>
        <w:rPr>
          <w:i/>
          <w:noProof/>
        </w:rPr>
        <w:t>Instituto Nacional de Administração</w:t>
      </w:r>
      <w:r>
        <w:rPr>
          <w:noProof/>
        </w:rPr>
        <w:t xml:space="preserve">), ki bo upravljala spodbujanje nadaljevalnega usposabljanja, kot so vodstvene spretnosti, podatkovna znanost in specialistični tečaji, ter s poglobitvijo programa Kvalifica </w:t>
      </w:r>
      <w:r>
        <w:rPr>
          <w:i/>
          <w:noProof/>
        </w:rPr>
        <w:t>AP</w:t>
      </w:r>
      <w:r>
        <w:rPr>
          <w:noProof/>
        </w:rPr>
        <w:t>, da bi kratkoročno/srednjeročno izboljšali raven kvalifikacij javnih uslužbencev. Hkrati je cilj te reforme izkoristiti potencial dela na daljavo v javni upravi.</w:t>
      </w:r>
    </w:p>
    <w:p w14:paraId="1D6E6E11" w14:textId="77777777" w:rsidR="00F24946" w:rsidRDefault="00613B06">
      <w:pPr>
        <w:pStyle w:val="P68B1DB1-Normal4"/>
        <w:keepNext/>
        <w:spacing w:before="40" w:after="0" w:line="259" w:lineRule="auto"/>
        <w:jc w:val="both"/>
        <w:rPr>
          <w:rFonts w:eastAsiaTheme="minorEastAsia" w:cs="Times New Roman"/>
          <w:noProof/>
        </w:rPr>
      </w:pPr>
      <w:r>
        <w:rPr>
          <w:noProof/>
        </w:rPr>
        <w:t>Neločljivo je povezan z naložbo TD-C19-i07 – Opolnomočenje javne uprave, ki predvideva programe digitalne onesposobitve, programe poklicnega pripravništva, višje in napredno usposabljanje na področju vodenja ter spodbujanje znanj in spretnosti javnih uslužbencev na splošno.</w:t>
      </w:r>
    </w:p>
    <w:p w14:paraId="3081325B"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se izvede do 30. junija 2021. </w:t>
      </w:r>
    </w:p>
    <w:p w14:paraId="67759F07"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Naložba TD-C19-i01: Preoblikovanje javnih in konzularnih storitev </w:t>
      </w:r>
    </w:p>
    <w:p w14:paraId="2662C4CF"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že po definiciji izvajati digitalno paradigmo v interakciji med deležniki in portugalsko javno upravo, da bi povečali učinkovitost in zmanjšali birokracijo. Njegov cilj je tudi povečati učinkovitost konzularnih služb in zagotoviti digitalni prehod subjektov pod nadzorom ministrstva za zunanje zadeve.</w:t>
      </w:r>
    </w:p>
    <w:p w14:paraId="522C313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S tem ukrepom se bo prenovila služba javnih in konzularnih služb, in sicer z vzpostavitvijo zmogljivosti za odzivanje na omnik (enotni digitalni portal, klicni center in storitve v živo), skupaj s sistemom medsektorskega upravljanja, ki izkorišča računalništvo v oblaku in uporabo omrežij 5G, za inovacije, izboljšanje kakovosti in zmanjšanje asimetrij pri zagotavljanju javnih storitev. </w:t>
      </w:r>
    </w:p>
    <w:p w14:paraId="3624F6F1" w14:textId="47138042" w:rsidR="00F24946" w:rsidRDefault="00613B06">
      <w:pPr>
        <w:pStyle w:val="P68B1DB1-Normal4"/>
        <w:keepNext/>
        <w:spacing w:before="40" w:after="0" w:line="259" w:lineRule="auto"/>
        <w:jc w:val="both"/>
        <w:rPr>
          <w:rFonts w:eastAsiaTheme="minorEastAsia" w:cs="Times New Roman"/>
          <w:noProof/>
        </w:rPr>
      </w:pPr>
      <w:r>
        <w:rPr>
          <w:noProof/>
        </w:rPr>
        <w:t xml:space="preserve">Ta naložba vključuje tudi vzpostavitev novih </w:t>
      </w:r>
      <w:r>
        <w:rPr>
          <w:i/>
          <w:noProof/>
        </w:rPr>
        <w:t>Espaços cidadão</w:t>
      </w:r>
      <w:r>
        <w:rPr>
          <w:noProof/>
        </w:rPr>
        <w:t xml:space="preserve"> in </w:t>
      </w:r>
      <w:r>
        <w:rPr>
          <w:i/>
          <w:noProof/>
        </w:rPr>
        <w:t>Lojas do Cidadão</w:t>
      </w:r>
      <w:r>
        <w:rPr>
          <w:noProof/>
        </w:rPr>
        <w:t xml:space="preserve"> v novih energetsko učinkovitih prostorih. </w:t>
      </w:r>
    </w:p>
    <w:p w14:paraId="432248CD" w14:textId="4667BC5C"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2026.</w:t>
      </w:r>
    </w:p>
    <w:p w14:paraId="154FC4BB"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TD-C19-i02: Trajnostne elektronske storitve</w:t>
      </w:r>
      <w:r>
        <w:rPr>
          <w:i/>
          <w:noProof/>
        </w:rPr>
        <w:t xml:space="preserve"> </w:t>
      </w:r>
    </w:p>
    <w:p w14:paraId="303AEEC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te naložbe je zagotoviti potrebno podporo zaledne službe prejšnjim naložbam in je usmerjen v krepitev valorizacije in izkoriščanja podatkov s strani javnih storitev, krepitev interoperabilnosti in souporabe podatkov ter interoperabilnost z zunanjimi subjekti in čezmejno (povezava z enotnim evropskim podatkovnim portalom). </w:t>
      </w:r>
    </w:p>
    <w:p w14:paraId="5FE6647D" w14:textId="4C63475B" w:rsidR="00F24946" w:rsidRDefault="00613B06">
      <w:pPr>
        <w:pStyle w:val="P68B1DB1-Normal4"/>
        <w:keepNext/>
        <w:spacing w:before="40" w:after="0" w:line="259" w:lineRule="auto"/>
        <w:jc w:val="both"/>
        <w:rPr>
          <w:rFonts w:eastAsiaTheme="minorEastAsia" w:cs="Times New Roman"/>
          <w:noProof/>
        </w:rPr>
      </w:pPr>
      <w:r>
        <w:rPr>
          <w:noProof/>
        </w:rPr>
        <w:t>Ta naložba temelji na reformi TD-r34 pri vzpostavitvi usklajenega upravljanja podatkovnega ekosistema javne uprave, ki vključuje rešitve za varno identifikacijo, nadzorne mehanizme za dostop do podatkov in statistične informacije. Spodbuja ponovno uporabo podatkov, ki jih zbirajo javni organi, izvaja načelo „samo enkrat“ z opiranjem na interoperabilnost in integracijo informacijskih sistemov ter razširja uporabo rešitev elektronske identifikacije. Poleg tega spodbuja odprte podatke in razpoložljivost podatkov za raziskovalne namene, hkrati pa spodbuja znanja in spretnosti na področju podatkovne znanosti.</w:t>
      </w:r>
    </w:p>
    <w:p w14:paraId="24A9EB59"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25B68A4D"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TD-C19-i03: Krepitev splošnega okvira za kibernetsko varnost </w:t>
      </w:r>
    </w:p>
    <w:p w14:paraId="66E4850F"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izboljšati standarde in postopke informacijske varnosti za spletne podatke. Naložba je povezana z naložbami TD-C19-i01 in TD-C19-i02.</w:t>
      </w:r>
    </w:p>
    <w:p w14:paraId="67D18F87" w14:textId="77777777" w:rsidR="00F24946" w:rsidRDefault="00613B06">
      <w:pPr>
        <w:pStyle w:val="P68B1DB1-Normal4"/>
        <w:keepNext/>
        <w:spacing w:before="40" w:after="0" w:line="259" w:lineRule="auto"/>
        <w:jc w:val="both"/>
        <w:rPr>
          <w:rFonts w:eastAsiaTheme="minorEastAsia" w:cs="Times New Roman"/>
          <w:noProof/>
        </w:rPr>
      </w:pPr>
      <w:r>
        <w:rPr>
          <w:noProof/>
        </w:rPr>
        <w:t>Cilj tega ukrepa je okrepiti nacionalno opolnomočenje na področju kibernetske varnosti in informacijske varnosti ter ustvariti fizične in tehnološke pogoje za izvajanje in operacionalizacijo novega modela za usklajevanje kibernetske in informacijske varnosti. Vključuje štiri ukrepe:</w:t>
      </w:r>
    </w:p>
    <w:p w14:paraId="6D7C0A47"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Povečanje krepitve zmogljivosti na področju kibernetske varnosti in informacijske varnosti z ustanovitvijo kompetenčnih centrov za razvoj rešitev na področju kibernetske varnosti za MSP in javno upravo; </w:t>
      </w:r>
    </w:p>
    <w:p w14:paraId="4AA336A2"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Povečati varnost pri upravljanju življenjskega cikla informacij z razvojem zmogljivosti za nacionalno kriptografijo in nadzora nad tajnimi podatki;</w:t>
      </w:r>
    </w:p>
    <w:p w14:paraId="7273D3F8" w14:textId="0A1AA4AB"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Izvajanje nacionalnega referenčnega okvira za kibernetsko varnost (v skladu z reformo TD-r34), vključno z akreditacijo organov (pri usklajevanju in uporabi ukrepov, vključenih v komponento 16); in</w:t>
      </w:r>
    </w:p>
    <w:p w14:paraId="6097B93E" w14:textId="77777777" w:rsidR="00F24946" w:rsidRDefault="00613B06">
      <w:pPr>
        <w:pStyle w:val="P68B1DB1-Normal4"/>
        <w:keepNext/>
        <w:numPr>
          <w:ilvl w:val="0"/>
          <w:numId w:val="35"/>
        </w:numPr>
        <w:spacing w:before="40" w:after="160" w:line="259" w:lineRule="auto"/>
        <w:contextualSpacing/>
        <w:jc w:val="both"/>
        <w:rPr>
          <w:rFonts w:eastAsiaTheme="minorEastAsia" w:cs="Times New Roman"/>
          <w:noProof/>
        </w:rPr>
      </w:pPr>
      <w:r>
        <w:rPr>
          <w:noProof/>
        </w:rPr>
        <w:t>Ustvariti fizične in tehnološke pogoje za operacionalizacijo novega modela usklajevanja kibernetske varnosti in varnosti informacij (z ustreznimi novimi organi, ki imajo vsa pooblastila).</w:t>
      </w:r>
    </w:p>
    <w:p w14:paraId="37AA6BF2"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1FFBF663"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TD-C19-i04: Učinkovita, varna in skupna kritična digitalna infrastruktura </w:t>
      </w:r>
    </w:p>
    <w:p w14:paraId="2027F4C8"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povečati odpornost kritične digitalne infrastrukture, in sicer nujnih in varnostnih komunikacijskih omrežij, ter vladnega računalniškega omrežja (RING).</w:t>
      </w:r>
    </w:p>
    <w:p w14:paraId="37E654B4" w14:textId="77777777" w:rsidR="00F24946" w:rsidRDefault="00613B06">
      <w:pPr>
        <w:pStyle w:val="P68B1DB1-Normal4"/>
        <w:keepNext/>
        <w:spacing w:before="40" w:after="0" w:line="259" w:lineRule="auto"/>
        <w:jc w:val="both"/>
        <w:rPr>
          <w:rFonts w:eastAsiaTheme="minorEastAsia" w:cs="Times New Roman"/>
          <w:noProof/>
        </w:rPr>
      </w:pPr>
      <w:r>
        <w:rPr>
          <w:noProof/>
        </w:rPr>
        <w:t>Ta naložba je usmerjena v vladno informacijsko omrežje, izboljšuje pokritost in zmogljivost državnega komunikacijskega omrežja za izredne razmere in nacionalnega omrežja za notranjo varnost ter pregleda arhitekturo informacijskih sistemov in procesov varnostnih sil. To vključuje:</w:t>
      </w:r>
    </w:p>
    <w:p w14:paraId="1A4C5223"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 xml:space="preserve">Obnovitev tehnoloških sistemov za upravljanje in nadzor meja, policijsko in pravosodno sodelovanje; </w:t>
      </w:r>
    </w:p>
    <w:p w14:paraId="7CF7CCE5"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Projekt operativnih centrov 112 – posodobitev zaradi upoštevanja novih standardov (nova generacija 112);</w:t>
      </w:r>
    </w:p>
    <w:p w14:paraId="497C78A2"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Projekt nacionalne mreže za notranjo varnost – ustreznost arhitekturnih sistemov IT in tehnoloških orodij ter vzpostavitev in operacionalizacija novega podatkovnega centra;</w:t>
      </w:r>
    </w:p>
    <w:p w14:paraId="472CBA0A"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Projekt državnega komunikacijskega omrežja v sili (SIRESP) – naložba vključuje spodbujanje spremembe tehnologije zemeljske infrastrukture (hrbtenice) SIRESP z E1 na IP (internetni protokol), ustanovitev centra za ponovno vzpostavitev informacijskih sistemov, povezanih s SIRESP, ter uvedbo hertzijskih žarkov na nekaterih omrežnih lokacijah z zamenjavo bakrenih in optičnih povezav, da se zagotovi sistem redundance;</w:t>
      </w:r>
    </w:p>
    <w:p w14:paraId="19E9EDA6"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Izvajanje skupnih storitev v varnostnih silah in službah, odprava presežkov v tehničnih procesih, oblikovanje skupnih sistemov in zmanjšanje operativnih stroškov; in</w:t>
      </w:r>
    </w:p>
    <w:p w14:paraId="3E4EAEE1" w14:textId="77777777" w:rsidR="00F24946" w:rsidRDefault="00613B06">
      <w:pPr>
        <w:pStyle w:val="P68B1DB1-Normal4"/>
        <w:keepNext/>
        <w:numPr>
          <w:ilvl w:val="0"/>
          <w:numId w:val="53"/>
        </w:numPr>
        <w:spacing w:before="40" w:after="160" w:line="259" w:lineRule="auto"/>
        <w:contextualSpacing/>
        <w:jc w:val="both"/>
        <w:rPr>
          <w:rFonts w:eastAsiaTheme="minorEastAsia" w:cs="Times New Roman"/>
          <w:noProof/>
        </w:rPr>
      </w:pPr>
      <w:r>
        <w:rPr>
          <w:noProof/>
        </w:rPr>
        <w:t>Ring – obnova in razvoj tehnološke infrastrukture in informacijskih sistemov vladnega centra za upravljanje informacijskih omrežij, usposabljanje zaposlenih, zagotavljanje integriranega multimedijskega sistema ter varni komunikacijski sistemi in upravljanje.</w:t>
      </w:r>
    </w:p>
    <w:p w14:paraId="6B97C2B4"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381572D8" w14:textId="1EFC180A"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TD-C19-i05-RAM: Digitalni prehod javne uprave Madeire </w:t>
      </w:r>
    </w:p>
    <w:p w14:paraId="29E3A143" w14:textId="77777777" w:rsidR="00F24946" w:rsidRDefault="00613B06">
      <w:pPr>
        <w:pStyle w:val="P68B1DB1-Normal4"/>
        <w:keepNext/>
        <w:spacing w:before="40" w:after="0" w:line="22" w:lineRule="atLeast"/>
        <w:jc w:val="both"/>
        <w:rPr>
          <w:rFonts w:eastAsiaTheme="minorEastAsia" w:cs="Times New Roman"/>
          <w:noProof/>
        </w:rPr>
      </w:pPr>
      <w:r>
        <w:rPr>
          <w:noProof/>
        </w:rPr>
        <w:t xml:space="preserve">Cilj te naložbe je zagotoviti odpornejšo javno upravo, ki bo dala na voljo digitalne tehnologije za zagotavljanje javnih storitev. </w:t>
      </w:r>
    </w:p>
    <w:p w14:paraId="62BFA60F" w14:textId="00FFE6EC" w:rsidR="00F24946" w:rsidRDefault="00613B06">
      <w:pPr>
        <w:pStyle w:val="P68B1DB1-Normal4"/>
        <w:keepNext/>
        <w:spacing w:after="160" w:line="22" w:lineRule="atLeast"/>
        <w:jc w:val="both"/>
        <w:rPr>
          <w:rFonts w:eastAsia="Times New Roman" w:cs="Times New Roman"/>
          <w:noProof/>
        </w:rPr>
      </w:pPr>
      <w:r>
        <w:rPr>
          <w:noProof/>
        </w:rPr>
        <w:t>Ta naložba sledi pristopu, sprejetemu v okviru naložb TD-C19-i01 do i03, katerih cilj je posodobitev kritične infrastrukture in arhitekture IT, dajanje na voljo digitalnih orodij v skladu s potrebami javne uprave in državljanov, izpopolnjevanje človeških virov (zlasti na področju digitalnih znanj in spretnosti), razpoložljivost javnih storitev „mnichannel“ ter interoperabilnost in povezljivost. Ta ukrep javni upravi regije zagotavlja infrastrukturo, orodja, interoperabilnost storitev ter strokovno znanje in izkušnje za zagotavljanje digitalnih javnih storitev. Z ukrepom se razvije tudi centralizirana rešitev za upravljanje podatkov.</w:t>
      </w:r>
    </w:p>
    <w:p w14:paraId="647A856E"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30. junija 2025.</w:t>
      </w:r>
    </w:p>
    <w:p w14:paraId="4B5DBC4E" w14:textId="722653DB"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TD-C19-i06-RAA: Digitalni prehod javne uprave na Azorih </w:t>
      </w:r>
    </w:p>
    <w:p w14:paraId="660DD307"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podpreti digitalni prehod javnega sektorja in zmanjšati upravno breme za zagotavljanje boljših javnih storitev za državljane in podjetja.</w:t>
      </w:r>
    </w:p>
    <w:p w14:paraId="3B659374" w14:textId="744A928B" w:rsidR="00F24946" w:rsidRDefault="00613B06">
      <w:pPr>
        <w:pStyle w:val="P68B1DB1-Normal4"/>
        <w:keepNext/>
        <w:spacing w:before="40" w:after="0" w:line="259" w:lineRule="auto"/>
        <w:jc w:val="both"/>
        <w:rPr>
          <w:rFonts w:eastAsiaTheme="minorEastAsia" w:cs="Times New Roman"/>
          <w:noProof/>
        </w:rPr>
      </w:pPr>
      <w:r>
        <w:rPr>
          <w:noProof/>
        </w:rPr>
        <w:t>Ta ukrep podpira digitalni prehod javnih storitev, tudi v okviru pristopa „omnichannel“, pri čemer se opira na interoperabilne digitalne storitve, pri katerih so transakcijske storitve na voljo na spletu. Preoblikuje javno službo, da bi omogočila enostavnejše in prožnejše storitve, ter povečala tehnološke pogoje za dematerializacijo delovnih mest v javni upravi z zagotavljanjem virtualnega delovnega okolja in usposabljanjem osebja (kot so digitalne spretnosti, upravljanje in sodelovalno delo). Za zagotovitev varnosti podatkov se ustanovi operativni center za kibernetsko varnost.</w:t>
      </w:r>
    </w:p>
    <w:p w14:paraId="42D68FCC"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3C5769F7"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TD-C19-i07: Javna uprava, pooblaščena za ustvarjanje javne vrednosti</w:t>
      </w:r>
    </w:p>
    <w:p w14:paraId="0088EEF1" w14:textId="77777777" w:rsidR="00F24946" w:rsidRDefault="00613B06">
      <w:pPr>
        <w:pStyle w:val="P68B1DB1-Normal4"/>
        <w:keepNext/>
        <w:spacing w:before="40" w:after="0" w:line="259" w:lineRule="auto"/>
        <w:jc w:val="both"/>
        <w:rPr>
          <w:rFonts w:eastAsiaTheme="minorEastAsia" w:cs="Times New Roman"/>
          <w:noProof/>
        </w:rPr>
      </w:pPr>
      <w:r>
        <w:rPr>
          <w:noProof/>
        </w:rPr>
        <w:t>Cilj te naložbe je zagotoviti, da ima javna uprava potrebno strokovno znanje, zlasti kar zadeva vodstvene sposobnosti in tehnologijo, da se javnosti zagotovi visokokakovostna storitev.</w:t>
      </w:r>
    </w:p>
    <w:p w14:paraId="20434E99" w14:textId="6144F8EC" w:rsidR="00F24946" w:rsidRDefault="00613B06">
      <w:pPr>
        <w:pStyle w:val="P68B1DB1-Normal4"/>
        <w:keepNext/>
        <w:spacing w:before="40" w:after="0" w:line="259" w:lineRule="auto"/>
        <w:jc w:val="both"/>
        <w:rPr>
          <w:rFonts w:eastAsiaTheme="minorEastAsia" w:cs="Times New Roman"/>
          <w:noProof/>
        </w:rPr>
      </w:pPr>
      <w:r>
        <w:rPr>
          <w:noProof/>
        </w:rPr>
        <w:t>Cilj te naložbe je razviti ponudbo usposabljanja za delavce in vodstvene delavce v javni upravi, spodbujati privabljanje talentov s ponudbo programov pripravništva in spodbujati delo na daljavo. Zajema zlasti digitalne omogočitvene programe, višje in napredno usposabljanje vodstva ter splošno usposabljanje in izpopolnjevanje javnih uslužbencev.</w:t>
      </w:r>
    </w:p>
    <w:p w14:paraId="512AFC27" w14:textId="77777777" w:rsidR="00F24946" w:rsidRDefault="00613B06">
      <w:pPr>
        <w:pStyle w:val="P68B1DB1-Normal4"/>
        <w:keepNext/>
        <w:spacing w:before="40" w:after="0" w:line="259" w:lineRule="auto"/>
        <w:jc w:val="both"/>
        <w:rPr>
          <w:rFonts w:eastAsiaTheme="minorEastAsia" w:cs="Times New Roman"/>
          <w:noProof/>
        </w:rPr>
      </w:pPr>
      <w:r>
        <w:rPr>
          <w:noProof/>
        </w:rPr>
        <w:t>Ta ukrep vključuje tudi ustanovitev Kompetenčnega centra za načrtovanje, politiko in predvidevanje v javni upravi, ki je pomemben za krepitev zmogljivosti za podporo opredelitvi in izvajanju javnih politik, ocenjevanju politik in predvidevanju.</w:t>
      </w:r>
    </w:p>
    <w:p w14:paraId="79184ED3" w14:textId="77777777" w:rsidR="00F24946" w:rsidRDefault="00613B06">
      <w:pPr>
        <w:pStyle w:val="P68B1DB1-Normal4"/>
        <w:keepNext/>
        <w:spacing w:before="40" w:after="0" w:line="259" w:lineRule="auto"/>
        <w:jc w:val="both"/>
        <w:rPr>
          <w:rFonts w:eastAsiaTheme="minorEastAsia" w:cs="Times New Roman"/>
          <w:noProof/>
        </w:rPr>
      </w:pPr>
      <w:r>
        <w:rPr>
          <w:noProof/>
        </w:rPr>
        <w:t>Poleg tega se v okviru te naložbe vzpostavi struktura nalog za podporo reorganizaciji javnih služb, kot je navedeno v reformi TD-r35.</w:t>
      </w:r>
    </w:p>
    <w:p w14:paraId="3494F754"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marca 2026.</w:t>
      </w:r>
    </w:p>
    <w:p w14:paraId="33A26B41" w14:textId="0518C380"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Reforma TD-C19-r41: Dostop do javnih storitev: uskladiti in utrditi osebni in spletni dostop </w:t>
      </w:r>
    </w:p>
    <w:p w14:paraId="78F96C8F" w14:textId="085A25C0" w:rsidR="00F24946" w:rsidRDefault="00613B06">
      <w:pPr>
        <w:pStyle w:val="P68B1DB1-Normal4"/>
        <w:spacing w:before="40" w:after="0" w:line="259" w:lineRule="auto"/>
        <w:jc w:val="both"/>
        <w:rPr>
          <w:rFonts w:cs="Times New Roman"/>
          <w:noProof/>
        </w:rPr>
      </w:pPr>
      <w:r>
        <w:rPr>
          <w:noProof/>
        </w:rPr>
        <w:t xml:space="preserve">Cilj te reforme je poglobiti digitalni prehod javne uprave in izkoristiti nove tehnologije za preoblikovanje sedanjega modela javnih storitev. </w:t>
      </w:r>
    </w:p>
    <w:p w14:paraId="13C6A2E3" w14:textId="0566F40C" w:rsidR="00F24946" w:rsidRDefault="00613B06">
      <w:pPr>
        <w:pStyle w:val="P68B1DB1-Normal4"/>
        <w:spacing w:before="40" w:after="0" w:line="259" w:lineRule="auto"/>
        <w:jc w:val="both"/>
        <w:rPr>
          <w:rFonts w:eastAsia="@MS Mincho" w:cs="Times New Roman"/>
          <w:noProof/>
        </w:rPr>
      </w:pPr>
      <w:r>
        <w:rPr>
          <w:noProof/>
        </w:rPr>
        <w:t>Reforma vključuje začetek veljavnosti zakonodajnega akta, s katerim se harmonizirajo in konsolidirajo pravila v zvezi z dostopom do javnih storitev osebno in na daljavo (prek aplikacije, po telefonu). S tem zakonodajnim aktom se poveča tudi število javnih storitev, ki so na voljo na enotnem portalu javnih služb.</w:t>
      </w:r>
    </w:p>
    <w:p w14:paraId="46639889" w14:textId="77777777" w:rsidR="00F24946" w:rsidRDefault="00613B06">
      <w:pPr>
        <w:pStyle w:val="P68B1DB1-Normal4"/>
        <w:spacing w:before="40" w:after="0" w:line="259" w:lineRule="auto"/>
        <w:jc w:val="both"/>
        <w:rPr>
          <w:rFonts w:cs="Times New Roman"/>
          <w:noProof/>
        </w:rPr>
      </w:pPr>
      <w:r>
        <w:rPr>
          <w:noProof/>
        </w:rPr>
        <w:t>Reforma se izvede do 30. septembra 2025.</w:t>
      </w:r>
    </w:p>
    <w:p w14:paraId="7DE1A9CA" w14:textId="2210B9E1" w:rsidR="00F24946" w:rsidRDefault="00613B06">
      <w:pPr>
        <w:pStyle w:val="P68B1DB1-Heading214"/>
        <w:spacing w:before="240"/>
        <w:rPr>
          <w:noProof/>
        </w:rPr>
      </w:pPr>
      <w:r>
        <w:rPr>
          <w:noProof/>
        </w:rPr>
        <w:t>Reforma TD-C19-r42: Nov sistem ocenjevanja za opolnomočenje in pomladitev delovne sile v javni upravi</w:t>
      </w:r>
    </w:p>
    <w:p w14:paraId="553B9ED2" w14:textId="1CFBDB39" w:rsidR="00F24946" w:rsidRDefault="00613B06">
      <w:pPr>
        <w:pStyle w:val="P68B1DB1-Normal4"/>
        <w:spacing w:beforeLines="40" w:before="96" w:after="0" w:line="22" w:lineRule="atLeast"/>
        <w:jc w:val="both"/>
        <w:rPr>
          <w:rFonts w:cs="Times New Roman"/>
          <w:noProof/>
        </w:rPr>
      </w:pPr>
      <w:r>
        <w:rPr>
          <w:noProof/>
        </w:rPr>
        <w:t xml:space="preserve">Glavni cilj te reforme je obravnavati enega glavnih izzivov, s katerimi se sooča portugalska javna uprava: sposobnost pomladitve delovne sile ter privabljanja in zadrževanja talentov. </w:t>
      </w:r>
    </w:p>
    <w:p w14:paraId="6B48C29E" w14:textId="77777777" w:rsidR="00F24946" w:rsidRDefault="00613B06">
      <w:pPr>
        <w:pStyle w:val="P68B1DB1-Normal4"/>
        <w:spacing w:beforeLines="40" w:before="96" w:after="0" w:line="22" w:lineRule="atLeast"/>
        <w:jc w:val="both"/>
        <w:rPr>
          <w:rFonts w:cs="Times New Roman"/>
          <w:noProof/>
        </w:rPr>
      </w:pPr>
      <w:r>
        <w:rPr>
          <w:noProof/>
        </w:rPr>
        <w:t>Ta reforma vključuje revizijo sistema ocenjevanja uspešnosti v javni upravi (integrirani sistem za upravljanje in ocenjevanje uspešnosti v javni upravi – SIADAP) s spremembo pravnega okvira. Revidirani SIADAP:</w:t>
      </w:r>
    </w:p>
    <w:p w14:paraId="615F098E" w14:textId="77777777" w:rsidR="00F24946" w:rsidRDefault="00613B06">
      <w:pPr>
        <w:pStyle w:val="ListParagraph"/>
        <w:keepNext w:val="0"/>
        <w:numPr>
          <w:ilvl w:val="0"/>
          <w:numId w:val="82"/>
        </w:numPr>
        <w:spacing w:beforeLines="40" w:before="96" w:after="0" w:line="22" w:lineRule="atLeast"/>
        <w:rPr>
          <w:noProof/>
        </w:rPr>
      </w:pPr>
      <w:r>
        <w:rPr>
          <w:noProof/>
        </w:rPr>
        <w:t xml:space="preserve">Spremeniti pogostost ocenjevanja (z vsaki dve leti na vsako leto); </w:t>
      </w:r>
    </w:p>
    <w:p w14:paraId="15FE64A1" w14:textId="77777777" w:rsidR="00F24946" w:rsidRDefault="00613B06">
      <w:pPr>
        <w:pStyle w:val="ListParagraph"/>
        <w:keepNext w:val="0"/>
        <w:numPr>
          <w:ilvl w:val="0"/>
          <w:numId w:val="82"/>
        </w:numPr>
        <w:spacing w:beforeLines="40" w:before="96" w:after="0" w:line="22" w:lineRule="atLeast"/>
        <w:rPr>
          <w:noProof/>
        </w:rPr>
      </w:pPr>
      <w:r>
        <w:rPr>
          <w:noProof/>
        </w:rPr>
        <w:t xml:space="preserve">Povečanje deleža delavcev, ki lahko prejmejo dve najvišji oceni uspešnosti, in njihovih ustreznih točk na cikel ocenjevanja; </w:t>
      </w:r>
    </w:p>
    <w:p w14:paraId="5B67385F" w14:textId="77777777" w:rsidR="00F24946" w:rsidRDefault="00613B06">
      <w:pPr>
        <w:pStyle w:val="ListParagraph"/>
        <w:keepNext w:val="0"/>
        <w:numPr>
          <w:ilvl w:val="0"/>
          <w:numId w:val="82"/>
        </w:numPr>
        <w:spacing w:beforeLines="40" w:before="96" w:after="0" w:line="22" w:lineRule="atLeast"/>
        <w:rPr>
          <w:noProof/>
        </w:rPr>
      </w:pPr>
      <w:r>
        <w:rPr>
          <w:noProof/>
        </w:rPr>
        <w:t xml:space="preserve">Uvedba dodatnega razreda uspešnosti; </w:t>
      </w:r>
    </w:p>
    <w:p w14:paraId="3CD9DEDD" w14:textId="2385DC1D" w:rsidR="00F24946" w:rsidRDefault="00613B06">
      <w:pPr>
        <w:pStyle w:val="ListParagraph"/>
        <w:keepNext w:val="0"/>
        <w:numPr>
          <w:ilvl w:val="0"/>
          <w:numId w:val="82"/>
        </w:numPr>
        <w:spacing w:beforeLines="40" w:before="96" w:after="0" w:line="22" w:lineRule="atLeast"/>
        <w:rPr>
          <w:noProof/>
        </w:rPr>
      </w:pPr>
      <w:r>
        <w:rPr>
          <w:noProof/>
        </w:rPr>
        <w:t xml:space="preserve">Določi seznam kompetenc, ki jih je treba oceniti v profilu pristojnosti javne uprave;  </w:t>
      </w:r>
    </w:p>
    <w:p w14:paraId="0D4797D5" w14:textId="615A1814" w:rsidR="00F24946" w:rsidRDefault="00613B06">
      <w:pPr>
        <w:pStyle w:val="ListParagraph"/>
        <w:keepNext w:val="0"/>
        <w:numPr>
          <w:ilvl w:val="0"/>
          <w:numId w:val="82"/>
        </w:numPr>
        <w:spacing w:beforeLines="40" w:before="96" w:after="0" w:line="22" w:lineRule="atLeast"/>
        <w:rPr>
          <w:noProof/>
        </w:rPr>
      </w:pPr>
      <w:r>
        <w:rPr>
          <w:noProof/>
        </w:rPr>
        <w:t>Opredelitev potreb po nadaljnjem razvoju kompetenc in ustreznega usposabljanja.</w:t>
      </w:r>
    </w:p>
    <w:p w14:paraId="0E988E2A" w14:textId="585AA569" w:rsidR="00F24946" w:rsidRDefault="00613B06">
      <w:pPr>
        <w:pStyle w:val="P68B1DB1-Normal4"/>
        <w:spacing w:beforeLines="40" w:before="96" w:after="0" w:line="22" w:lineRule="atLeast"/>
        <w:jc w:val="both"/>
        <w:rPr>
          <w:rFonts w:cs="Times New Roman"/>
          <w:noProof/>
        </w:rPr>
      </w:pPr>
      <w:r>
        <w:rPr>
          <w:noProof/>
        </w:rPr>
        <w:t xml:space="preserve">Poleg tega reforma skupaj z revizijo modela SIADAP vključuje tudi revizijo profila kompetenc javne uprave, ki vključuje kompetence, ki jih je treba oceniti v postopku zaposlovanja in izbora, v sistem ocenjevanja uspešnosti in vključiti v strokovno usposabljanje. </w:t>
      </w:r>
    </w:p>
    <w:p w14:paraId="0D929530" w14:textId="5F2DFF63" w:rsidR="00F24946" w:rsidRDefault="00613B06">
      <w:pPr>
        <w:pStyle w:val="P68B1DB1-Normal4"/>
        <w:spacing w:beforeLines="40" w:before="96" w:after="0" w:line="22" w:lineRule="atLeast"/>
        <w:jc w:val="both"/>
        <w:rPr>
          <w:rFonts w:cs="Times New Roman"/>
          <w:noProof/>
        </w:rPr>
      </w:pPr>
      <w:r>
        <w:rPr>
          <w:noProof/>
        </w:rPr>
        <w:t xml:space="preserve">Reforma vključuje tudi razvoj informacijske platforme, na kateri bo deloval SIADAP. Zagotovi se posebno usposabljanje za učenje uporabe platforme. </w:t>
      </w:r>
    </w:p>
    <w:p w14:paraId="6FA49BD3" w14:textId="291EABB7" w:rsidR="00F24946" w:rsidRDefault="00613B06">
      <w:pPr>
        <w:pStyle w:val="P68B1DB1-Normal4"/>
        <w:spacing w:beforeLines="40" w:before="96" w:after="0" w:line="22" w:lineRule="atLeast"/>
        <w:jc w:val="both"/>
        <w:rPr>
          <w:rFonts w:cs="Times New Roman"/>
          <w:noProof/>
        </w:rPr>
      </w:pPr>
      <w:r>
        <w:rPr>
          <w:noProof/>
        </w:rPr>
        <w:t>Reforma se izvede do 31. marca 2025.</w:t>
      </w:r>
    </w:p>
    <w:p w14:paraId="61D9A60B" w14:textId="76B79EF0" w:rsidR="00F24946" w:rsidRDefault="00613B06">
      <w:pPr>
        <w:pStyle w:val="P68B1DB1-Heading214"/>
        <w:spacing w:before="240"/>
        <w:rPr>
          <w:noProof/>
        </w:rPr>
      </w:pPr>
      <w:r>
        <w:rPr>
          <w:noProof/>
        </w:rPr>
        <w:t>Naložba TD-C19-i08 Inteligentna ozemlja</w:t>
      </w:r>
    </w:p>
    <w:p w14:paraId="75C3ED74" w14:textId="77777777" w:rsidR="00F24946" w:rsidRDefault="00613B06">
      <w:pPr>
        <w:pStyle w:val="P68B1DB1-Normal4"/>
        <w:spacing w:beforeLines="40" w:before="96" w:after="0" w:line="22" w:lineRule="atLeast"/>
        <w:jc w:val="both"/>
        <w:rPr>
          <w:rFonts w:cs="Times New Roman"/>
          <w:noProof/>
        </w:rPr>
      </w:pPr>
      <w:r>
        <w:rPr>
          <w:noProof/>
        </w:rPr>
        <w:t xml:space="preserve">Cilj te naložbe je ustvariti novo paradigmo za načrtovanje in upravljanje mest in ozemelj na podlagi podatkovnih javnih politik. </w:t>
      </w:r>
    </w:p>
    <w:p w14:paraId="787965D6" w14:textId="77777777" w:rsidR="00F24946" w:rsidRDefault="00613B06">
      <w:pPr>
        <w:pStyle w:val="P68B1DB1-Normal4"/>
        <w:spacing w:beforeLines="40" w:before="96" w:after="0" w:line="22" w:lineRule="atLeast"/>
        <w:jc w:val="both"/>
        <w:rPr>
          <w:rFonts w:cs="Times New Roman"/>
          <w:noProof/>
        </w:rPr>
      </w:pPr>
      <w:r>
        <w:rPr>
          <w:noProof/>
        </w:rPr>
        <w:t>Naložba vključuje:</w:t>
      </w:r>
    </w:p>
    <w:p w14:paraId="22DF1388" w14:textId="148F8DD1" w:rsidR="00F24946" w:rsidRDefault="00613B06">
      <w:pPr>
        <w:pStyle w:val="ListParagraph"/>
        <w:keepNext w:val="0"/>
        <w:numPr>
          <w:ilvl w:val="0"/>
          <w:numId w:val="84"/>
        </w:numPr>
        <w:spacing w:beforeLines="40" w:before="96" w:after="0" w:line="22" w:lineRule="atLeast"/>
        <w:rPr>
          <w:noProof/>
        </w:rPr>
      </w:pPr>
      <w:r>
        <w:rPr>
          <w:noProof/>
        </w:rPr>
        <w:t>Razvoj in vzpostavitev portala za pametna ozemlja. Ta portal ima spletni repozitorij ustreznih informacij na lokalni, regionalni in nacionalni ravni, kot so dobre prakse, smernice, informacije o standardih, zakonih in predpisih ter informacije o virih financiranja projektov.</w:t>
      </w:r>
    </w:p>
    <w:p w14:paraId="12D7477F" w14:textId="6BE4E225" w:rsidR="00F24946" w:rsidRDefault="00613B06">
      <w:pPr>
        <w:pStyle w:val="ListParagraph"/>
        <w:keepNext w:val="0"/>
        <w:numPr>
          <w:ilvl w:val="0"/>
          <w:numId w:val="84"/>
        </w:numPr>
        <w:spacing w:beforeLines="40" w:before="96" w:after="0" w:line="22" w:lineRule="atLeast"/>
        <w:rPr>
          <w:noProof/>
        </w:rPr>
      </w:pPr>
      <w:r>
        <w:rPr>
          <w:noProof/>
        </w:rPr>
        <w:t xml:space="preserve">Razvoj, vzpostavitev ali nadgradnjo platform za upravljanje mest v 75 občinah in Comunidades Intermunicipais/Areas Metropolitanas, vključno z digitalizacijo stanovanjskih postopkov in postopkov prostorskega načrtovanja. </w:t>
      </w:r>
    </w:p>
    <w:p w14:paraId="61C1C578" w14:textId="29C677AC" w:rsidR="00F24946" w:rsidRDefault="00613B06">
      <w:pPr>
        <w:pStyle w:val="ListParagraph"/>
        <w:keepNext w:val="0"/>
        <w:numPr>
          <w:ilvl w:val="0"/>
          <w:numId w:val="84"/>
        </w:numPr>
        <w:spacing w:beforeLines="40" w:before="96" w:after="0" w:line="22" w:lineRule="atLeast"/>
        <w:rPr>
          <w:noProof/>
        </w:rPr>
      </w:pPr>
      <w:r>
        <w:rPr>
          <w:noProof/>
        </w:rPr>
        <w:t xml:space="preserve">Razvoj digitalnih dvojčkov (digitalna predstavitev načrtovanega ali dejanskega fizičnega proizvoda, sistema ali procesa iz praktičnih razlogov) na nacionalnih prednostnih področjih, kot so voda in kmetijstvo, odpornost proti podnebnim spremembam, mobilnost in razogljičenje, zdravje, energija, turizem in civilna zaščita. </w:t>
      </w:r>
    </w:p>
    <w:p w14:paraId="61C1750B" w14:textId="479FE5E9" w:rsidR="00F24946" w:rsidRDefault="00613B06">
      <w:pPr>
        <w:pStyle w:val="ListParagraph"/>
        <w:keepNext w:val="0"/>
        <w:numPr>
          <w:ilvl w:val="0"/>
          <w:numId w:val="84"/>
        </w:numPr>
        <w:spacing w:beforeLines="40" w:before="96" w:after="0" w:line="22" w:lineRule="atLeast"/>
        <w:rPr>
          <w:noProof/>
        </w:rPr>
      </w:pPr>
      <w:r>
        <w:rPr>
          <w:noProof/>
        </w:rPr>
        <w:t xml:space="preserve">Razvoj in vzpostavitev preglednice javne politike za pomoč pri političnem odločanju javnih akterjev na različnih hierarhičnih ravneh s sistematičnimi in posodobljenimi informacijami. </w:t>
      </w:r>
    </w:p>
    <w:p w14:paraId="55B408C7" w14:textId="24E1FBE6" w:rsidR="00F24946" w:rsidRDefault="00613B06">
      <w:pPr>
        <w:pStyle w:val="ListParagraph"/>
        <w:keepNext w:val="0"/>
        <w:numPr>
          <w:ilvl w:val="0"/>
          <w:numId w:val="84"/>
        </w:numPr>
        <w:spacing w:beforeLines="40" w:before="96" w:after="0" w:line="22" w:lineRule="atLeast"/>
        <w:rPr>
          <w:noProof/>
        </w:rPr>
      </w:pPr>
      <w:r>
        <w:rPr>
          <w:noProof/>
        </w:rPr>
        <w:t>Razvoj vsebin in zagotavljanje usposabljanja o zbiranju in upravljanju podatkov, standardih, odprtih standardih, vmesnikih za aplikacijsko programiranje in drugih vsebinah, povezanih s pametnimi mesti in stavbami, ter trajnosti.</w:t>
      </w:r>
    </w:p>
    <w:p w14:paraId="7B990B4E" w14:textId="66208460" w:rsidR="00F24946" w:rsidRDefault="00613B06">
      <w:pPr>
        <w:pStyle w:val="P68B1DB1-Normal4"/>
        <w:spacing w:beforeLines="40" w:before="96" w:after="0" w:line="22" w:lineRule="atLeast"/>
        <w:jc w:val="both"/>
        <w:rPr>
          <w:rFonts w:cs="Times New Roman"/>
          <w:noProof/>
        </w:rPr>
      </w:pPr>
      <w:r>
        <w:rPr>
          <w:noProof/>
        </w:rPr>
        <w:t>Naložba se izvede do 30. junija 2026.</w:t>
      </w:r>
    </w:p>
    <w:p w14:paraId="681015AA"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7CC8938" w14:textId="77777777" w:rsidR="00F24946" w:rsidRDefault="00F24946">
      <w:pPr>
        <w:keepNext/>
        <w:spacing w:before="40" w:after="0" w:line="259" w:lineRule="auto"/>
        <w:rPr>
          <w:rFonts w:ascii="Times New Roman" w:eastAsiaTheme="minorEastAsia" w:hAnsi="Times New Roman" w:cs="Times New Roman"/>
          <w:noProof/>
          <w:sz w:val="24"/>
        </w:rPr>
        <w:sectPr w:rsidR="00F24946" w:rsidSect="00E00EDD">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20"/>
          <w:docGrid w:linePitch="360"/>
        </w:sectPr>
      </w:pPr>
    </w:p>
    <w:p w14:paraId="7CB91F94"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 xml:space="preserve">S.2. </w:t>
      </w:r>
      <w:r>
        <w:rPr>
          <w:noProof/>
        </w:rPr>
        <w:tab/>
        <w:t>Mejniki, cilji, kazalniki in časovni razpored za spremljanje in izvajanje nepovratne finančne podpore Naslednje;</w:t>
      </w:r>
    </w:p>
    <w:p w14:paraId="64FD62E1"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186"/>
        <w:gridCol w:w="1058"/>
        <w:gridCol w:w="1573"/>
        <w:gridCol w:w="1314"/>
        <w:gridCol w:w="1110"/>
        <w:gridCol w:w="928"/>
        <w:gridCol w:w="670"/>
        <w:gridCol w:w="542"/>
        <w:gridCol w:w="670"/>
        <w:gridCol w:w="4347"/>
      </w:tblGrid>
      <w:tr w:rsidR="00F24946" w14:paraId="088C7A32" w14:textId="77777777">
        <w:trPr>
          <w:trHeight w:val="910"/>
          <w:tblHeader/>
        </w:trPr>
        <w:tc>
          <w:tcPr>
            <w:tcW w:w="1082" w:type="dxa"/>
            <w:vMerge w:val="restart"/>
            <w:shd w:val="clear" w:color="auto" w:fill="BDD6EE"/>
            <w:vAlign w:val="center"/>
            <w:hideMark/>
          </w:tcPr>
          <w:p w14:paraId="67C74427"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11" w:type="dxa"/>
            <w:vMerge w:val="restart"/>
            <w:shd w:val="clear" w:color="auto" w:fill="BDD6EE"/>
            <w:vAlign w:val="center"/>
            <w:hideMark/>
          </w:tcPr>
          <w:p w14:paraId="628E7404"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080" w:type="dxa"/>
            <w:vMerge w:val="restart"/>
            <w:shd w:val="clear" w:color="auto" w:fill="BDD6EE"/>
            <w:vAlign w:val="center"/>
            <w:hideMark/>
          </w:tcPr>
          <w:p w14:paraId="0E05B438" w14:textId="53E6D5D2" w:rsidR="00F24946" w:rsidRDefault="00613B06">
            <w:pPr>
              <w:pStyle w:val="P68B1DB1-Normal6"/>
              <w:spacing w:after="0" w:line="240" w:lineRule="auto"/>
              <w:jc w:val="center"/>
              <w:rPr>
                <w:rFonts w:eastAsia="Times New Roman" w:cs="Times New Roman"/>
                <w:noProof/>
              </w:rPr>
            </w:pPr>
            <w:r>
              <w:rPr>
                <w:noProof/>
              </w:rPr>
              <w:t>Mejnik/cilj</w:t>
            </w:r>
          </w:p>
        </w:tc>
        <w:tc>
          <w:tcPr>
            <w:tcW w:w="1609" w:type="dxa"/>
            <w:vMerge w:val="restart"/>
            <w:shd w:val="clear" w:color="auto" w:fill="BDD6EE"/>
            <w:vAlign w:val="center"/>
            <w:hideMark/>
          </w:tcPr>
          <w:p w14:paraId="0BDF7800" w14:textId="77777777" w:rsidR="00F24946" w:rsidRDefault="00613B06">
            <w:pPr>
              <w:pStyle w:val="P68B1DB1-Normal6"/>
              <w:spacing w:after="0" w:line="240" w:lineRule="auto"/>
              <w:jc w:val="center"/>
              <w:rPr>
                <w:rFonts w:eastAsia="Times New Roman" w:cs="Times New Roman"/>
                <w:noProof/>
              </w:rPr>
            </w:pPr>
            <w:r>
              <w:rPr>
                <w:noProof/>
              </w:rPr>
              <w:t>Ime</w:t>
            </w:r>
          </w:p>
        </w:tc>
        <w:tc>
          <w:tcPr>
            <w:tcW w:w="1343" w:type="dxa"/>
            <w:vMerge w:val="restart"/>
            <w:shd w:val="clear" w:color="auto" w:fill="BDD6EE"/>
            <w:vAlign w:val="center"/>
            <w:hideMark/>
          </w:tcPr>
          <w:p w14:paraId="170B5F8F"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444" w:type="dxa"/>
            <w:gridSpan w:val="3"/>
            <w:shd w:val="clear" w:color="auto" w:fill="BDD6EE"/>
            <w:vAlign w:val="center"/>
            <w:hideMark/>
          </w:tcPr>
          <w:p w14:paraId="2A5DB656"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32" w:type="dxa"/>
            <w:gridSpan w:val="2"/>
            <w:shd w:val="clear" w:color="auto" w:fill="BDD6EE"/>
            <w:vAlign w:val="center"/>
            <w:hideMark/>
          </w:tcPr>
          <w:p w14:paraId="6828BC5C"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4458" w:type="dxa"/>
            <w:vMerge w:val="restart"/>
            <w:shd w:val="clear" w:color="auto" w:fill="BDD6EE"/>
            <w:vAlign w:val="center"/>
            <w:hideMark/>
          </w:tcPr>
          <w:p w14:paraId="7DCEFB52"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4548F8B7" w14:textId="77777777">
        <w:trPr>
          <w:trHeight w:val="470"/>
          <w:tblHeader/>
        </w:trPr>
        <w:tc>
          <w:tcPr>
            <w:tcW w:w="1082" w:type="dxa"/>
            <w:vMerge/>
            <w:vAlign w:val="center"/>
            <w:hideMark/>
          </w:tcPr>
          <w:p w14:paraId="103877F4" w14:textId="77777777" w:rsidR="00F24946" w:rsidRDefault="00F24946">
            <w:pPr>
              <w:spacing w:after="0" w:line="240" w:lineRule="auto"/>
              <w:rPr>
                <w:rFonts w:ascii="Times New Roman" w:eastAsia="Times New Roman" w:hAnsi="Times New Roman" w:cs="Times New Roman"/>
                <w:b/>
                <w:noProof/>
                <w:sz w:val="18"/>
              </w:rPr>
            </w:pPr>
          </w:p>
        </w:tc>
        <w:tc>
          <w:tcPr>
            <w:tcW w:w="1211" w:type="dxa"/>
            <w:vMerge/>
            <w:vAlign w:val="center"/>
            <w:hideMark/>
          </w:tcPr>
          <w:p w14:paraId="615E906C" w14:textId="77777777" w:rsidR="00F24946" w:rsidRDefault="00F24946">
            <w:pPr>
              <w:spacing w:after="0" w:line="240" w:lineRule="auto"/>
              <w:rPr>
                <w:rFonts w:ascii="Times New Roman" w:eastAsia="Times New Roman" w:hAnsi="Times New Roman" w:cs="Times New Roman"/>
                <w:b/>
                <w:noProof/>
                <w:sz w:val="18"/>
              </w:rPr>
            </w:pPr>
          </w:p>
        </w:tc>
        <w:tc>
          <w:tcPr>
            <w:tcW w:w="1080" w:type="dxa"/>
            <w:vMerge/>
            <w:vAlign w:val="center"/>
            <w:hideMark/>
          </w:tcPr>
          <w:p w14:paraId="03D775B3" w14:textId="2BE8587E" w:rsidR="00F24946" w:rsidRDefault="00F24946">
            <w:pPr>
              <w:spacing w:after="0" w:line="240" w:lineRule="auto"/>
              <w:jc w:val="center"/>
              <w:rPr>
                <w:rFonts w:ascii="Times New Roman" w:eastAsia="Times New Roman" w:hAnsi="Times New Roman" w:cs="Times New Roman"/>
                <w:b/>
                <w:noProof/>
                <w:sz w:val="18"/>
              </w:rPr>
            </w:pPr>
          </w:p>
        </w:tc>
        <w:tc>
          <w:tcPr>
            <w:tcW w:w="1609" w:type="dxa"/>
            <w:vMerge/>
            <w:vAlign w:val="center"/>
            <w:hideMark/>
          </w:tcPr>
          <w:p w14:paraId="7BCB0E2B" w14:textId="77777777" w:rsidR="00F24946" w:rsidRDefault="00F24946">
            <w:pPr>
              <w:spacing w:after="0" w:line="240" w:lineRule="auto"/>
              <w:rPr>
                <w:rFonts w:ascii="Times New Roman" w:eastAsia="Times New Roman" w:hAnsi="Times New Roman" w:cs="Times New Roman"/>
                <w:b/>
                <w:noProof/>
                <w:sz w:val="18"/>
              </w:rPr>
            </w:pPr>
          </w:p>
        </w:tc>
        <w:tc>
          <w:tcPr>
            <w:tcW w:w="1343" w:type="dxa"/>
            <w:vMerge/>
            <w:vAlign w:val="center"/>
            <w:hideMark/>
          </w:tcPr>
          <w:p w14:paraId="37EB8607" w14:textId="77777777" w:rsidR="00F24946" w:rsidRDefault="00F24946">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61817E80"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47" w:type="dxa"/>
            <w:shd w:val="clear" w:color="auto" w:fill="BDD6EE"/>
            <w:vAlign w:val="center"/>
            <w:hideMark/>
          </w:tcPr>
          <w:p w14:paraId="3FDEEB09"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682" w:type="dxa"/>
            <w:shd w:val="clear" w:color="auto" w:fill="BDD6EE"/>
            <w:vAlign w:val="center"/>
            <w:hideMark/>
          </w:tcPr>
          <w:p w14:paraId="65EB9FBE" w14:textId="77777777" w:rsidR="00F24946" w:rsidRDefault="00613B06">
            <w:pPr>
              <w:pStyle w:val="P68B1DB1-Normal6"/>
              <w:spacing w:after="0" w:line="240" w:lineRule="auto"/>
              <w:jc w:val="center"/>
              <w:rPr>
                <w:rFonts w:eastAsia="Times New Roman" w:cs="Times New Roman"/>
                <w:noProof/>
              </w:rPr>
            </w:pPr>
            <w:r>
              <w:rPr>
                <w:noProof/>
              </w:rPr>
              <w:t>Cilj</w:t>
            </w:r>
          </w:p>
        </w:tc>
        <w:tc>
          <w:tcPr>
            <w:tcW w:w="550" w:type="dxa"/>
            <w:shd w:val="clear" w:color="auto" w:fill="BDD6EE"/>
            <w:vAlign w:val="center"/>
            <w:hideMark/>
          </w:tcPr>
          <w:p w14:paraId="1B5C364F" w14:textId="77777777" w:rsidR="00F24946" w:rsidRDefault="00613B06">
            <w:pPr>
              <w:pStyle w:val="P68B1DB1-Normal6"/>
              <w:spacing w:after="0" w:line="240" w:lineRule="auto"/>
              <w:jc w:val="center"/>
              <w:rPr>
                <w:rFonts w:eastAsia="Times New Roman" w:cs="Times New Roman"/>
                <w:noProof/>
              </w:rPr>
            </w:pPr>
            <w:r>
              <w:rPr>
                <w:noProof/>
              </w:rPr>
              <w:t>Q</w:t>
            </w:r>
          </w:p>
        </w:tc>
        <w:tc>
          <w:tcPr>
            <w:tcW w:w="682" w:type="dxa"/>
            <w:shd w:val="clear" w:color="auto" w:fill="BDD6EE"/>
            <w:vAlign w:val="center"/>
            <w:hideMark/>
          </w:tcPr>
          <w:p w14:paraId="3B9C38F6" w14:textId="77777777" w:rsidR="00F24946" w:rsidRDefault="00613B06">
            <w:pPr>
              <w:pStyle w:val="P68B1DB1-Normal6"/>
              <w:spacing w:after="0" w:line="240" w:lineRule="auto"/>
              <w:jc w:val="center"/>
              <w:rPr>
                <w:rFonts w:eastAsia="Times New Roman" w:cs="Times New Roman"/>
                <w:noProof/>
              </w:rPr>
            </w:pPr>
            <w:r>
              <w:rPr>
                <w:noProof/>
              </w:rPr>
              <w:t>Leto</w:t>
            </w:r>
          </w:p>
        </w:tc>
        <w:tc>
          <w:tcPr>
            <w:tcW w:w="4458" w:type="dxa"/>
            <w:vMerge/>
            <w:vAlign w:val="center"/>
            <w:hideMark/>
          </w:tcPr>
          <w:p w14:paraId="7341FB0C" w14:textId="77777777" w:rsidR="00F24946" w:rsidRDefault="00F24946">
            <w:pPr>
              <w:spacing w:after="0" w:line="240" w:lineRule="auto"/>
              <w:rPr>
                <w:rFonts w:ascii="Times New Roman" w:eastAsia="Times New Roman" w:hAnsi="Times New Roman" w:cs="Times New Roman"/>
                <w:b/>
                <w:noProof/>
                <w:sz w:val="18"/>
              </w:rPr>
            </w:pPr>
          </w:p>
        </w:tc>
      </w:tr>
      <w:tr w:rsidR="00F24946" w14:paraId="1E167ECE" w14:textId="77777777">
        <w:trPr>
          <w:trHeight w:val="420"/>
        </w:trPr>
        <w:tc>
          <w:tcPr>
            <w:tcW w:w="1082" w:type="dxa"/>
            <w:shd w:val="clear" w:color="auto" w:fill="C4EFCE"/>
            <w:vAlign w:val="center"/>
            <w:hideMark/>
          </w:tcPr>
          <w:p w14:paraId="1B7A59FA" w14:textId="77777777" w:rsidR="00F24946" w:rsidRDefault="00613B06">
            <w:pPr>
              <w:pStyle w:val="P68B1DB1-Normal7"/>
              <w:spacing w:after="0" w:line="240" w:lineRule="auto"/>
              <w:jc w:val="center"/>
              <w:rPr>
                <w:rFonts w:eastAsia="Times New Roman" w:cs="Calibri"/>
                <w:noProof/>
              </w:rPr>
            </w:pPr>
            <w:r>
              <w:rPr>
                <w:noProof/>
              </w:rPr>
              <w:t>19.1</w:t>
            </w:r>
          </w:p>
        </w:tc>
        <w:tc>
          <w:tcPr>
            <w:tcW w:w="1211" w:type="dxa"/>
            <w:shd w:val="clear" w:color="auto" w:fill="C4EFCE"/>
            <w:noWrap/>
            <w:vAlign w:val="center"/>
            <w:hideMark/>
          </w:tcPr>
          <w:p w14:paraId="3FDA88F6" w14:textId="77777777"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DC52799"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F8CF771" w14:textId="77777777" w:rsidR="00F24946" w:rsidRDefault="00613B06">
            <w:pPr>
              <w:pStyle w:val="P68B1DB1-Normal8"/>
              <w:spacing w:after="0" w:line="240" w:lineRule="auto"/>
              <w:jc w:val="center"/>
              <w:rPr>
                <w:rFonts w:eastAsia="Times New Roman" w:cs="Calibri"/>
                <w:noProof/>
              </w:rPr>
            </w:pPr>
            <w:r>
              <w:rPr>
                <w:noProof/>
              </w:rPr>
              <w:t>Javne storitve, ki so na voljo na poenostavljen in skladen način prek različnih kanalov</w:t>
            </w:r>
          </w:p>
        </w:tc>
        <w:tc>
          <w:tcPr>
            <w:tcW w:w="1343" w:type="dxa"/>
            <w:shd w:val="clear" w:color="auto" w:fill="C4EFCE"/>
            <w:noWrap/>
            <w:vAlign w:val="center"/>
            <w:hideMark/>
          </w:tcPr>
          <w:p w14:paraId="6DFD823D"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17A5659"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3D4F554C"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7880A98" w14:textId="77777777" w:rsidR="00F24946" w:rsidRDefault="00613B06">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290B35B9" w14:textId="77777777"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hideMark/>
          </w:tcPr>
          <w:p w14:paraId="2E18BF24" w14:textId="77777777" w:rsidR="00F24946" w:rsidRDefault="00613B06">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F2A0419" w14:textId="77777777" w:rsidR="00F24946" w:rsidRDefault="00613B06">
            <w:pPr>
              <w:pStyle w:val="P68B1DB1-Normal8"/>
              <w:spacing w:after="0" w:line="240" w:lineRule="auto"/>
              <w:jc w:val="both"/>
              <w:rPr>
                <w:rFonts w:eastAsia="Times New Roman" w:cs="Calibri"/>
                <w:noProof/>
              </w:rPr>
            </w:pPr>
            <w:r>
              <w:rPr>
                <w:noProof/>
              </w:rPr>
              <w:t xml:space="preserve">Število storitev, ki so evidentirane v izboljšanem katalogu subjektov in storitev ter so na voljo prek več kanalov: enotni portal digitalnih storitev, kontaktni center, </w:t>
            </w:r>
            <w:r>
              <w:rPr>
                <w:i/>
                <w:noProof/>
              </w:rPr>
              <w:t>Lojas do Cidadão</w:t>
            </w:r>
            <w:r>
              <w:rPr>
                <w:noProof/>
              </w:rPr>
              <w:t xml:space="preserve"> / </w:t>
            </w:r>
            <w:r>
              <w:rPr>
                <w:i/>
                <w:noProof/>
              </w:rPr>
              <w:t>Espaços Cidadão</w:t>
            </w:r>
            <w:r>
              <w:rPr>
                <w:noProof/>
              </w:rPr>
              <w:t xml:space="preserve">. </w:t>
            </w:r>
          </w:p>
          <w:p w14:paraId="0669A61E" w14:textId="66964D8D" w:rsidR="00F24946" w:rsidRDefault="00613B06">
            <w:pPr>
              <w:pStyle w:val="P68B1DB1-Normal8"/>
              <w:spacing w:after="0" w:line="240" w:lineRule="auto"/>
              <w:jc w:val="both"/>
              <w:rPr>
                <w:rFonts w:eastAsia="Times New Roman" w:cs="Calibri"/>
                <w:noProof/>
              </w:rPr>
            </w:pPr>
            <w:r>
              <w:rPr>
                <w:noProof/>
              </w:rPr>
              <w:t>Ta kazalnik pomeni preoblikovanje teh storitev v skladu z načelom „samo enkrat“ in njihovo dajanje na voljo v okviru pristopa „samo enkrat“.</w:t>
            </w:r>
          </w:p>
        </w:tc>
      </w:tr>
      <w:tr w:rsidR="00F24946" w14:paraId="5047912C" w14:textId="77777777">
        <w:trPr>
          <w:trHeight w:val="420"/>
        </w:trPr>
        <w:tc>
          <w:tcPr>
            <w:tcW w:w="1082" w:type="dxa"/>
            <w:shd w:val="clear" w:color="auto" w:fill="C4EFCE"/>
            <w:vAlign w:val="center"/>
            <w:hideMark/>
          </w:tcPr>
          <w:p w14:paraId="313C63A5" w14:textId="77777777" w:rsidR="00F24946" w:rsidRDefault="00613B06">
            <w:pPr>
              <w:pStyle w:val="P68B1DB1-Normal7"/>
              <w:spacing w:after="0" w:line="240" w:lineRule="auto"/>
              <w:jc w:val="center"/>
              <w:rPr>
                <w:rFonts w:eastAsia="Times New Roman" w:cs="Calibri"/>
                <w:noProof/>
              </w:rPr>
            </w:pPr>
            <w:r>
              <w:rPr>
                <w:noProof/>
              </w:rPr>
              <w:t>19.2</w:t>
            </w:r>
          </w:p>
        </w:tc>
        <w:tc>
          <w:tcPr>
            <w:tcW w:w="1211" w:type="dxa"/>
            <w:shd w:val="clear" w:color="auto" w:fill="C4EFCE"/>
            <w:noWrap/>
            <w:vAlign w:val="center"/>
            <w:hideMark/>
          </w:tcPr>
          <w:p w14:paraId="74C76E9B" w14:textId="77777777"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21EB2875"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57BE133" w14:textId="77777777" w:rsidR="00F24946" w:rsidRDefault="00613B06">
            <w:pPr>
              <w:pStyle w:val="P68B1DB1-Normal8"/>
              <w:spacing w:after="0" w:line="240" w:lineRule="auto"/>
              <w:jc w:val="center"/>
              <w:rPr>
                <w:rFonts w:eastAsia="Times New Roman" w:cs="Calibri"/>
                <w:noProof/>
              </w:rPr>
            </w:pPr>
            <w:r>
              <w:rPr>
                <w:noProof/>
              </w:rPr>
              <w:t>Javne storitve, ki so na voljo na poenostavljen in skladen način prek različnih kanalov</w:t>
            </w:r>
          </w:p>
        </w:tc>
        <w:tc>
          <w:tcPr>
            <w:tcW w:w="1343" w:type="dxa"/>
            <w:shd w:val="clear" w:color="auto" w:fill="C4EFCE"/>
            <w:noWrap/>
            <w:vAlign w:val="center"/>
            <w:hideMark/>
          </w:tcPr>
          <w:p w14:paraId="0C7B536C"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23C0D4E"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04D75696" w14:textId="77777777" w:rsidR="00F24946" w:rsidRDefault="00613B06">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542165AC" w14:textId="77777777" w:rsidR="00F24946" w:rsidRDefault="00613B06">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204665A2"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47B5ABC7"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6A62EF75" w14:textId="77777777" w:rsidR="00F24946" w:rsidRDefault="00613B06">
            <w:pPr>
              <w:pStyle w:val="P68B1DB1-Normal8"/>
              <w:spacing w:after="0" w:line="240" w:lineRule="auto"/>
              <w:jc w:val="both"/>
              <w:rPr>
                <w:rFonts w:eastAsia="Times New Roman" w:cs="Calibri"/>
                <w:noProof/>
              </w:rPr>
            </w:pPr>
            <w:r>
              <w:rPr>
                <w:noProof/>
              </w:rPr>
              <w:t xml:space="preserve">Število storitev, ki so evidentirane v izboljšanem katalogu subjektov in storitev ter so na voljo prek več kanalov: enotni portal digitalnih storitev, kontaktni center, </w:t>
            </w:r>
            <w:r>
              <w:rPr>
                <w:i/>
                <w:noProof/>
              </w:rPr>
              <w:t>Lojas do Cidadão</w:t>
            </w:r>
            <w:r>
              <w:rPr>
                <w:noProof/>
              </w:rPr>
              <w:t xml:space="preserve"> / </w:t>
            </w:r>
            <w:r>
              <w:rPr>
                <w:i/>
                <w:noProof/>
              </w:rPr>
              <w:t>Espaços Cidadão</w:t>
            </w:r>
            <w:r>
              <w:rPr>
                <w:noProof/>
              </w:rPr>
              <w:t xml:space="preserve">. </w:t>
            </w:r>
          </w:p>
          <w:p w14:paraId="1F8BC66A" w14:textId="3E0F41FA" w:rsidR="00F24946" w:rsidRDefault="00613B06">
            <w:pPr>
              <w:pStyle w:val="P68B1DB1-Normal8"/>
              <w:spacing w:after="0" w:line="240" w:lineRule="auto"/>
              <w:jc w:val="both"/>
              <w:rPr>
                <w:rFonts w:eastAsia="Times New Roman" w:cs="Calibri"/>
                <w:noProof/>
              </w:rPr>
            </w:pPr>
            <w:r>
              <w:rPr>
                <w:noProof/>
              </w:rPr>
              <w:t>Ta kazalnik pomeni preoblikovanje teh storitev v skladu z načelom „samo enkrat“ in njihovo dajanje na voljo v okviru pristopa „samo enkrat“.</w:t>
            </w:r>
          </w:p>
        </w:tc>
      </w:tr>
      <w:tr w:rsidR="00F24946" w14:paraId="27972876" w14:textId="77777777">
        <w:trPr>
          <w:trHeight w:val="290"/>
        </w:trPr>
        <w:tc>
          <w:tcPr>
            <w:tcW w:w="1082" w:type="dxa"/>
            <w:shd w:val="clear" w:color="auto" w:fill="C4EFCE"/>
            <w:vAlign w:val="center"/>
            <w:hideMark/>
          </w:tcPr>
          <w:p w14:paraId="0B0D05C4" w14:textId="77777777" w:rsidR="00F24946" w:rsidRDefault="00613B06">
            <w:pPr>
              <w:pStyle w:val="P68B1DB1-Normal7"/>
              <w:spacing w:after="0" w:line="240" w:lineRule="auto"/>
              <w:jc w:val="center"/>
              <w:rPr>
                <w:rFonts w:eastAsia="Times New Roman" w:cs="Calibri"/>
                <w:noProof/>
              </w:rPr>
            </w:pPr>
            <w:r>
              <w:rPr>
                <w:noProof/>
              </w:rPr>
              <w:t>19.3</w:t>
            </w:r>
          </w:p>
        </w:tc>
        <w:tc>
          <w:tcPr>
            <w:tcW w:w="1211" w:type="dxa"/>
            <w:shd w:val="clear" w:color="auto" w:fill="C4EFCE"/>
            <w:noWrap/>
            <w:vAlign w:val="center"/>
            <w:hideMark/>
          </w:tcPr>
          <w:p w14:paraId="0DA2F717" w14:textId="77777777"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FEDE5E4"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4992453" w14:textId="77777777" w:rsidR="00F24946" w:rsidRDefault="00613B06">
            <w:pPr>
              <w:pStyle w:val="P68B1DB1-Normal8"/>
              <w:spacing w:after="0" w:line="240" w:lineRule="auto"/>
              <w:jc w:val="center"/>
              <w:rPr>
                <w:rFonts w:eastAsia="Times New Roman" w:cs="Calibri"/>
                <w:noProof/>
              </w:rPr>
            </w:pPr>
            <w:r>
              <w:rPr>
                <w:noProof/>
              </w:rPr>
              <w:t>Vzpostavljen nov model konzularnega upravljanja</w:t>
            </w:r>
          </w:p>
        </w:tc>
        <w:tc>
          <w:tcPr>
            <w:tcW w:w="1343" w:type="dxa"/>
            <w:shd w:val="clear" w:color="auto" w:fill="C4EFCE"/>
            <w:noWrap/>
            <w:vAlign w:val="center"/>
            <w:hideMark/>
          </w:tcPr>
          <w:p w14:paraId="221340B2" w14:textId="77777777" w:rsidR="00F24946" w:rsidRDefault="00613B06">
            <w:pPr>
              <w:pStyle w:val="P68B1DB1-Normal8"/>
              <w:spacing w:after="0" w:line="240" w:lineRule="auto"/>
              <w:jc w:val="center"/>
              <w:rPr>
                <w:rFonts w:eastAsia="Times New Roman" w:cs="Calibri"/>
                <w:noProof/>
              </w:rPr>
            </w:pPr>
            <w:r>
              <w:rPr>
                <w:noProof/>
              </w:rPr>
              <w:t>Vzpostavljen nov model konzularnega upravljanja</w:t>
            </w:r>
          </w:p>
        </w:tc>
        <w:tc>
          <w:tcPr>
            <w:tcW w:w="1134" w:type="dxa"/>
            <w:shd w:val="clear" w:color="auto" w:fill="C4EFCE"/>
            <w:noWrap/>
            <w:vAlign w:val="center"/>
            <w:hideMark/>
          </w:tcPr>
          <w:p w14:paraId="57A5BD83" w14:textId="77777777" w:rsidR="00F24946" w:rsidRDefault="00613B06">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0C64240F"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8C80247"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0C4BCA"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6EC450BB"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6DC3E91" w14:textId="77777777" w:rsidR="00F24946" w:rsidRDefault="00613B06">
            <w:pPr>
              <w:pStyle w:val="P68B1DB1-Normal8"/>
              <w:spacing w:after="0" w:line="240" w:lineRule="auto"/>
              <w:jc w:val="both"/>
              <w:rPr>
                <w:rFonts w:eastAsia="Calibri" w:cs="Calibri"/>
                <w:noProof/>
              </w:rPr>
            </w:pPr>
            <w:r>
              <w:rPr>
                <w:noProof/>
              </w:rPr>
              <w:t xml:space="preserve">Popolno izvajanje novega modela konzularnega upravljanja: </w:t>
            </w:r>
          </w:p>
          <w:p w14:paraId="1B8817E6" w14:textId="77777777" w:rsidR="00F24946" w:rsidRDefault="00613B06">
            <w:pPr>
              <w:pStyle w:val="P68B1DB1-Normal8"/>
              <w:spacing w:after="0" w:line="240" w:lineRule="auto"/>
              <w:jc w:val="both"/>
              <w:rPr>
                <w:rFonts w:eastAsia="Calibri" w:cs="Calibri"/>
                <w:noProof/>
              </w:rPr>
            </w:pPr>
            <w:r>
              <w:rPr>
                <w:noProof/>
              </w:rPr>
              <w:t xml:space="preserve">i) dematerializirane konzularne storitve, ki so na voljo državljanom/nedržavljanom v tujini, pri čemer je 80 % storitev, ki jih zagotavlja ministrstvo za zunanje zadeve, digitaliziranih; </w:t>
            </w:r>
          </w:p>
          <w:p w14:paraId="7C5A19A7" w14:textId="49C1668D" w:rsidR="00F24946" w:rsidRDefault="00613B06">
            <w:pPr>
              <w:pStyle w:val="P68B1DB1-Normal8"/>
              <w:spacing w:after="0" w:line="240" w:lineRule="auto"/>
              <w:jc w:val="both"/>
              <w:rPr>
                <w:rFonts w:eastAsia="Times New Roman" w:cs="Calibri"/>
                <w:noProof/>
              </w:rPr>
            </w:pPr>
            <w:r>
              <w:rPr>
                <w:noProof/>
              </w:rPr>
              <w:t xml:space="preserve">(II) </w:t>
            </w:r>
            <w:r>
              <w:rPr>
                <w:i/>
                <w:noProof/>
              </w:rPr>
              <w:t>konzularno delovanje Centro de Atendimento</w:t>
            </w:r>
            <w:r>
              <w:rPr>
                <w:noProof/>
              </w:rPr>
              <w:t>, ki je na voljo v vsaj 15 državah.</w:t>
            </w:r>
          </w:p>
        </w:tc>
      </w:tr>
      <w:tr w:rsidR="00F24946" w14:paraId="42D2A359" w14:textId="77777777">
        <w:trPr>
          <w:trHeight w:val="290"/>
        </w:trPr>
        <w:tc>
          <w:tcPr>
            <w:tcW w:w="1082" w:type="dxa"/>
            <w:shd w:val="clear" w:color="auto" w:fill="C4EFCE"/>
            <w:vAlign w:val="center"/>
          </w:tcPr>
          <w:p w14:paraId="4C161EC7" w14:textId="4D567DD7" w:rsidR="00F24946" w:rsidRDefault="00613B06">
            <w:pPr>
              <w:pStyle w:val="P68B1DB1-Normal7"/>
              <w:spacing w:after="0" w:line="240" w:lineRule="auto"/>
              <w:jc w:val="center"/>
              <w:rPr>
                <w:rFonts w:eastAsia="Times New Roman" w:cs="Calibri"/>
                <w:noProof/>
              </w:rPr>
            </w:pPr>
            <w:r>
              <w:rPr>
                <w:noProof/>
              </w:rPr>
              <w:t>19.25</w:t>
            </w:r>
          </w:p>
        </w:tc>
        <w:tc>
          <w:tcPr>
            <w:tcW w:w="1211" w:type="dxa"/>
            <w:shd w:val="clear" w:color="auto" w:fill="C4EFCE"/>
            <w:noWrap/>
            <w:vAlign w:val="center"/>
          </w:tcPr>
          <w:p w14:paraId="07A7A65E" w14:textId="3F4583C4"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45A6111B" w14:textId="49684DBC"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EEB120D" w14:textId="7DE3216A" w:rsidR="00F24946" w:rsidRDefault="00613B06">
            <w:pPr>
              <w:pStyle w:val="P68B1DB1-Normal8"/>
              <w:spacing w:after="0" w:line="240" w:lineRule="auto"/>
              <w:jc w:val="center"/>
              <w:rPr>
                <w:rFonts w:eastAsia="Times New Roman" w:cs="Calibri"/>
                <w:noProof/>
              </w:rPr>
            </w:pPr>
            <w:r>
              <w:rPr>
                <w:noProof/>
              </w:rPr>
              <w:t>Podpis protokolov za vzpostavitev novih državljanskih trgovin in prostorov za državljane</w:t>
            </w:r>
          </w:p>
        </w:tc>
        <w:tc>
          <w:tcPr>
            <w:tcW w:w="1343" w:type="dxa"/>
            <w:shd w:val="clear" w:color="auto" w:fill="C4EFCE"/>
            <w:noWrap/>
            <w:vAlign w:val="center"/>
          </w:tcPr>
          <w:p w14:paraId="6B203D02" w14:textId="3253C7C6" w:rsidR="00F24946" w:rsidRDefault="00613B06">
            <w:pPr>
              <w:pStyle w:val="P68B1DB1-Normal8"/>
              <w:spacing w:after="0" w:line="240" w:lineRule="auto"/>
              <w:jc w:val="center"/>
              <w:rPr>
                <w:rFonts w:eastAsia="Times New Roman" w:cs="Calibri"/>
                <w:noProof/>
              </w:rPr>
            </w:pPr>
            <w:r>
              <w:rPr>
                <w:noProof/>
              </w:rPr>
              <w:t>Podpisani protokoli</w:t>
            </w:r>
          </w:p>
        </w:tc>
        <w:tc>
          <w:tcPr>
            <w:tcW w:w="1134" w:type="dxa"/>
            <w:shd w:val="clear" w:color="auto" w:fill="C4EFCE"/>
            <w:noWrap/>
            <w:vAlign w:val="center"/>
          </w:tcPr>
          <w:p w14:paraId="4ED17015" w14:textId="57284CD9" w:rsidR="00F24946" w:rsidRDefault="00F24946">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53C5C74B" w14:textId="638C6428"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57B7723" w14:textId="6009BCC2" w:rsidR="00F24946" w:rsidRDefault="00F24946">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4C967353" w14:textId="5DB71238" w:rsidR="00F24946" w:rsidRDefault="00613B06">
            <w:pPr>
              <w:pStyle w:val="P68B1DB1-Normal8"/>
              <w:spacing w:after="0" w:line="240" w:lineRule="auto"/>
              <w:jc w:val="center"/>
              <w:rPr>
                <w:rFonts w:eastAsia="Times New Roman" w:cs="Calibri"/>
                <w:noProof/>
              </w:rPr>
            </w:pPr>
            <w:r>
              <w:rPr>
                <w:noProof/>
              </w:rPr>
              <w:t>Q3</w:t>
            </w:r>
          </w:p>
        </w:tc>
        <w:tc>
          <w:tcPr>
            <w:tcW w:w="682" w:type="dxa"/>
            <w:shd w:val="clear" w:color="auto" w:fill="C4EFCE"/>
            <w:noWrap/>
            <w:vAlign w:val="center"/>
          </w:tcPr>
          <w:p w14:paraId="42D3096C" w14:textId="45ACD52F" w:rsidR="00F24946" w:rsidRDefault="00613B06">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351D5F02" w14:textId="653F6769" w:rsidR="00F24946" w:rsidRDefault="00613B06">
            <w:pPr>
              <w:pStyle w:val="P68B1DB1-Normal8"/>
              <w:spacing w:after="0" w:line="240" w:lineRule="auto"/>
              <w:jc w:val="both"/>
              <w:rPr>
                <w:rFonts w:eastAsia="Calibri" w:cs="Calibri"/>
                <w:noProof/>
              </w:rPr>
            </w:pPr>
            <w:r>
              <w:rPr>
                <w:noProof/>
              </w:rPr>
              <w:t>Podpis protokolov za ustanovitev 31 novih prodajaln (</w:t>
            </w:r>
            <w:r>
              <w:rPr>
                <w:i/>
                <w:noProof/>
              </w:rPr>
              <w:t>Lojas de Cidadão</w:t>
            </w:r>
            <w:r>
              <w:rPr>
                <w:noProof/>
              </w:rPr>
              <w:t>) in 400 novih prostorov za državljane (</w:t>
            </w:r>
            <w:r>
              <w:rPr>
                <w:i/>
                <w:noProof/>
              </w:rPr>
              <w:t>Espaços Cidadão</w:t>
            </w:r>
            <w:r>
              <w:rPr>
                <w:noProof/>
              </w:rPr>
              <w:t>)</w:t>
            </w:r>
          </w:p>
        </w:tc>
      </w:tr>
      <w:tr w:rsidR="00F24946" w14:paraId="408CD92E" w14:textId="77777777">
        <w:trPr>
          <w:trHeight w:val="290"/>
        </w:trPr>
        <w:tc>
          <w:tcPr>
            <w:tcW w:w="1082" w:type="dxa"/>
            <w:shd w:val="clear" w:color="auto" w:fill="C4EFCE"/>
            <w:vAlign w:val="center"/>
          </w:tcPr>
          <w:p w14:paraId="641766AF" w14:textId="4D443BCF" w:rsidR="00F24946" w:rsidRDefault="00613B06">
            <w:pPr>
              <w:pStyle w:val="P68B1DB1-Normal7"/>
              <w:spacing w:after="0" w:line="240" w:lineRule="auto"/>
              <w:jc w:val="center"/>
              <w:rPr>
                <w:rFonts w:eastAsia="Times New Roman" w:cs="Calibri"/>
                <w:noProof/>
              </w:rPr>
            </w:pPr>
            <w:r>
              <w:rPr>
                <w:noProof/>
              </w:rPr>
              <w:t>19.26</w:t>
            </w:r>
          </w:p>
        </w:tc>
        <w:tc>
          <w:tcPr>
            <w:tcW w:w="1211" w:type="dxa"/>
            <w:shd w:val="clear" w:color="auto" w:fill="C4EFCE"/>
            <w:noWrap/>
            <w:vAlign w:val="center"/>
          </w:tcPr>
          <w:p w14:paraId="70CB2BFA" w14:textId="4DB762B8"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3D62FEF2" w14:textId="0F53039D"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19DB5DC3" w14:textId="2D88108E" w:rsidR="00F24946" w:rsidRDefault="00613B06">
            <w:pPr>
              <w:pStyle w:val="P68B1DB1-Normal8"/>
              <w:spacing w:after="0" w:line="240" w:lineRule="auto"/>
              <w:jc w:val="center"/>
              <w:rPr>
                <w:rFonts w:eastAsia="Times New Roman" w:cs="Calibri"/>
                <w:noProof/>
              </w:rPr>
            </w:pPr>
            <w:r>
              <w:rPr>
                <w:noProof/>
              </w:rPr>
              <w:t xml:space="preserve">Delujoče so trgovine z novimi državljani in prostori za državljane. </w:t>
            </w:r>
          </w:p>
        </w:tc>
        <w:tc>
          <w:tcPr>
            <w:tcW w:w="1343" w:type="dxa"/>
            <w:shd w:val="clear" w:color="auto" w:fill="C4EFCE"/>
            <w:noWrap/>
            <w:vAlign w:val="center"/>
          </w:tcPr>
          <w:p w14:paraId="0FA8BF22" w14:textId="77777777" w:rsidR="00F24946" w:rsidRDefault="00F24946">
            <w:pPr>
              <w:spacing w:after="0" w:line="240" w:lineRule="auto"/>
              <w:jc w:val="center"/>
              <w:rPr>
                <w:rFonts w:ascii="Calibri" w:eastAsia="Times New Roman" w:hAnsi="Calibri" w:cs="Calibri"/>
                <w:noProof/>
                <w:sz w:val="16"/>
              </w:rPr>
            </w:pPr>
          </w:p>
        </w:tc>
        <w:tc>
          <w:tcPr>
            <w:tcW w:w="1134" w:type="dxa"/>
            <w:shd w:val="clear" w:color="auto" w:fill="C4EFCE"/>
            <w:noWrap/>
            <w:vAlign w:val="center"/>
          </w:tcPr>
          <w:p w14:paraId="57B94528" w14:textId="683E09C2"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tcPr>
          <w:p w14:paraId="799EE625" w14:textId="2F093CB5"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5FF018BE" w14:textId="106AAE71" w:rsidR="00F24946" w:rsidRDefault="00613B06">
            <w:pPr>
              <w:pStyle w:val="P68B1DB1-Normal8"/>
              <w:spacing w:after="0" w:line="240" w:lineRule="auto"/>
              <w:jc w:val="center"/>
              <w:rPr>
                <w:rFonts w:eastAsia="Times New Roman" w:cs="Calibri"/>
                <w:noProof/>
              </w:rPr>
            </w:pPr>
            <w:r>
              <w:rPr>
                <w:noProof/>
              </w:rPr>
              <w:t>431</w:t>
            </w:r>
          </w:p>
        </w:tc>
        <w:tc>
          <w:tcPr>
            <w:tcW w:w="550" w:type="dxa"/>
            <w:shd w:val="clear" w:color="auto" w:fill="C4EFCE"/>
            <w:noWrap/>
            <w:vAlign w:val="center"/>
          </w:tcPr>
          <w:p w14:paraId="18F2223E" w14:textId="67B2F1DA" w:rsidR="00F24946" w:rsidRDefault="00613B06">
            <w:pPr>
              <w:pStyle w:val="P68B1DB1-Normal8"/>
              <w:spacing w:after="0" w:line="240" w:lineRule="auto"/>
              <w:jc w:val="center"/>
              <w:rPr>
                <w:rFonts w:eastAsia="Times New Roman" w:cs="Calibri"/>
                <w:noProof/>
              </w:rPr>
            </w:pPr>
            <w:r>
              <w:rPr>
                <w:noProof/>
              </w:rPr>
              <w:t>Q2</w:t>
            </w:r>
          </w:p>
        </w:tc>
        <w:tc>
          <w:tcPr>
            <w:tcW w:w="682" w:type="dxa"/>
            <w:shd w:val="clear" w:color="auto" w:fill="C4EFCE"/>
            <w:noWrap/>
            <w:vAlign w:val="center"/>
          </w:tcPr>
          <w:p w14:paraId="1C18699C" w14:textId="56F51900"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6849E419" w14:textId="44B1A1B2" w:rsidR="00F24946" w:rsidRDefault="00613B06">
            <w:pPr>
              <w:pStyle w:val="P68B1DB1-Normal8"/>
              <w:spacing w:line="240" w:lineRule="auto"/>
              <w:rPr>
                <w:rFonts w:eastAsia="Times New Roman" w:cs="Calibri"/>
                <w:noProof/>
              </w:rPr>
            </w:pPr>
            <w:r>
              <w:rPr>
                <w:noProof/>
              </w:rPr>
              <w:t>Deluje 31 novih prodajaln (</w:t>
            </w:r>
            <w:r>
              <w:rPr>
                <w:i/>
                <w:noProof/>
              </w:rPr>
              <w:t>Lojas de Cidadão</w:t>
            </w:r>
            <w:r>
              <w:rPr>
                <w:noProof/>
              </w:rPr>
              <w:t>) in 400 novih prostorov za državljane (</w:t>
            </w:r>
            <w:r>
              <w:rPr>
                <w:i/>
                <w:noProof/>
              </w:rPr>
              <w:t>Espaços Cidadão</w:t>
            </w:r>
            <w:r>
              <w:rPr>
                <w:noProof/>
              </w:rPr>
              <w:t xml:space="preserve">).  </w:t>
            </w:r>
          </w:p>
          <w:p w14:paraId="6F984B47" w14:textId="3B47A9D3" w:rsidR="00F24946" w:rsidRDefault="00613B06">
            <w:pPr>
              <w:pStyle w:val="P68B1DB1-Normal8"/>
              <w:spacing w:line="240" w:lineRule="auto"/>
              <w:rPr>
                <w:rFonts w:eastAsia="Times New Roman" w:cs="Calibri"/>
                <w:noProof/>
              </w:rPr>
            </w:pPr>
            <w:r>
              <w:rPr>
                <w:noProof/>
              </w:rPr>
              <w:t>Nove stavbe morajo imeti vsaj 20 % nižje potrebe po primarni energiji od standarda SNPE.</w:t>
            </w:r>
          </w:p>
        </w:tc>
      </w:tr>
      <w:tr w:rsidR="00F24946" w14:paraId="20304CE4" w14:textId="77777777">
        <w:trPr>
          <w:trHeight w:val="290"/>
        </w:trPr>
        <w:tc>
          <w:tcPr>
            <w:tcW w:w="1082" w:type="dxa"/>
            <w:shd w:val="clear" w:color="auto" w:fill="C4EFCE"/>
            <w:vAlign w:val="center"/>
          </w:tcPr>
          <w:p w14:paraId="3F6EF73B" w14:textId="54A6CD7F" w:rsidR="00F24946" w:rsidRDefault="00613B06">
            <w:pPr>
              <w:pStyle w:val="P68B1DB1-Normal7"/>
              <w:spacing w:after="0" w:line="240" w:lineRule="auto"/>
              <w:jc w:val="center"/>
              <w:rPr>
                <w:rFonts w:eastAsia="Times New Roman" w:cs="Calibri"/>
                <w:noProof/>
              </w:rPr>
            </w:pPr>
            <w:r>
              <w:rPr>
                <w:noProof/>
              </w:rPr>
              <w:t>19.27</w:t>
            </w:r>
          </w:p>
        </w:tc>
        <w:tc>
          <w:tcPr>
            <w:tcW w:w="1211" w:type="dxa"/>
            <w:shd w:val="clear" w:color="auto" w:fill="C4EFCE"/>
            <w:noWrap/>
            <w:vAlign w:val="center"/>
          </w:tcPr>
          <w:p w14:paraId="1F0F77AA" w14:textId="41ECE9F0" w:rsidR="00F24946" w:rsidRDefault="00613B06">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2F6E7772" w14:textId="38D77F2B"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3BE91D37" w14:textId="3B8C1000" w:rsidR="00F24946" w:rsidRDefault="00613B06">
            <w:pPr>
              <w:pStyle w:val="P68B1DB1-Normal8"/>
              <w:spacing w:after="0" w:line="240" w:lineRule="auto"/>
              <w:jc w:val="center"/>
              <w:rPr>
                <w:rFonts w:ascii="Arial" w:eastAsia="Arial" w:hAnsi="Arial" w:cs="Arial"/>
                <w:noProof/>
                <w:sz w:val="15"/>
              </w:rPr>
            </w:pPr>
            <w:r>
              <w:rPr>
                <w:noProof/>
              </w:rPr>
              <w:t>Vloga za državljane</w:t>
            </w:r>
          </w:p>
        </w:tc>
        <w:tc>
          <w:tcPr>
            <w:tcW w:w="1343" w:type="dxa"/>
            <w:shd w:val="clear" w:color="auto" w:fill="C4EFCE"/>
            <w:noWrap/>
            <w:vAlign w:val="center"/>
          </w:tcPr>
          <w:p w14:paraId="7912A7C9" w14:textId="336432D3" w:rsidR="00F24946" w:rsidRDefault="00613B06">
            <w:pPr>
              <w:pStyle w:val="P68B1DB1-Normal8"/>
              <w:spacing w:after="0" w:line="240" w:lineRule="auto"/>
              <w:jc w:val="center"/>
              <w:rPr>
                <w:rFonts w:eastAsia="Times New Roman" w:cs="Calibri"/>
                <w:noProof/>
              </w:rPr>
            </w:pPr>
            <w:r>
              <w:rPr>
                <w:noProof/>
              </w:rPr>
              <w:t>Vložitev prošnje za državljane</w:t>
            </w:r>
          </w:p>
        </w:tc>
        <w:tc>
          <w:tcPr>
            <w:tcW w:w="1134" w:type="dxa"/>
            <w:shd w:val="clear" w:color="auto" w:fill="C4EFCE"/>
            <w:noWrap/>
            <w:vAlign w:val="center"/>
          </w:tcPr>
          <w:p w14:paraId="5BBBBDEF" w14:textId="77777777" w:rsidR="00F24946" w:rsidRDefault="00F24946">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C7253AA" w14:textId="77777777"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5900726E" w14:textId="77777777" w:rsidR="00F24946" w:rsidRDefault="00F24946">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0132BF5B" w14:textId="226BA8E4"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tcPr>
          <w:p w14:paraId="12E3ADEC" w14:textId="0B99F5D6" w:rsidR="00F24946" w:rsidRDefault="00613B06">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4394027D" w14:textId="6D95096C" w:rsidR="00F24946" w:rsidRDefault="00613B06">
            <w:pPr>
              <w:pStyle w:val="P68B1DB1-Normal8"/>
              <w:spacing w:after="0" w:line="240" w:lineRule="auto"/>
              <w:rPr>
                <w:rFonts w:eastAsia="Times New Roman" w:cs="Calibri"/>
                <w:noProof/>
              </w:rPr>
            </w:pPr>
            <w:r>
              <w:rPr>
                <w:noProof/>
              </w:rPr>
              <w:t>Sprožena in operativna vloga državljanov. Aplikacija uporabnikom omogoča digitalni dostop do najbolj priljubljenih javnih storitev in drugih funkcij (kot je plačilo za storitve).</w:t>
            </w:r>
          </w:p>
        </w:tc>
      </w:tr>
      <w:tr w:rsidR="00F24946" w14:paraId="4C5FE56E" w14:textId="77777777">
        <w:trPr>
          <w:trHeight w:val="1460"/>
        </w:trPr>
        <w:tc>
          <w:tcPr>
            <w:tcW w:w="1082" w:type="dxa"/>
            <w:shd w:val="clear" w:color="auto" w:fill="C4EFCE"/>
            <w:vAlign w:val="center"/>
            <w:hideMark/>
          </w:tcPr>
          <w:p w14:paraId="056AA2D9" w14:textId="77777777" w:rsidR="00F24946" w:rsidRDefault="00613B06">
            <w:pPr>
              <w:pStyle w:val="P68B1DB1-Normal7"/>
              <w:spacing w:after="0" w:line="240" w:lineRule="auto"/>
              <w:jc w:val="center"/>
              <w:rPr>
                <w:rFonts w:eastAsia="Times New Roman" w:cs="Calibri"/>
                <w:noProof/>
              </w:rPr>
            </w:pPr>
            <w:r>
              <w:rPr>
                <w:noProof/>
              </w:rPr>
              <w:t>19.4</w:t>
            </w:r>
          </w:p>
        </w:tc>
        <w:tc>
          <w:tcPr>
            <w:tcW w:w="1211" w:type="dxa"/>
            <w:shd w:val="clear" w:color="auto" w:fill="C4EFCE"/>
            <w:noWrap/>
            <w:vAlign w:val="center"/>
            <w:hideMark/>
          </w:tcPr>
          <w:p w14:paraId="66F6086A" w14:textId="77777777" w:rsidR="00F24946" w:rsidRDefault="00613B06">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7ADC372"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302FA656" w14:textId="77777777" w:rsidR="00F24946" w:rsidRDefault="00613B06">
            <w:pPr>
              <w:pStyle w:val="P68B1DB1-Normal8"/>
              <w:spacing w:after="0" w:line="240" w:lineRule="auto"/>
              <w:jc w:val="center"/>
              <w:rPr>
                <w:rFonts w:eastAsia="Times New Roman" w:cs="Calibri"/>
                <w:noProof/>
              </w:rPr>
            </w:pPr>
            <w:r>
              <w:rPr>
                <w:noProof/>
              </w:rPr>
              <w:t>Javne storitve, ki so varno dostopne z elektronsko identiteto in spoštujejo načelo „samo enkrat“</w:t>
            </w:r>
          </w:p>
        </w:tc>
        <w:tc>
          <w:tcPr>
            <w:tcW w:w="1343" w:type="dxa"/>
            <w:shd w:val="clear" w:color="auto" w:fill="C4EFCE"/>
            <w:noWrap/>
            <w:vAlign w:val="center"/>
            <w:hideMark/>
          </w:tcPr>
          <w:p w14:paraId="2F0CF461"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1F07FD7D"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10946C7F"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912ED93" w14:textId="77777777" w:rsidR="00F24946" w:rsidRDefault="00613B06">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5630E509" w14:textId="77777777" w:rsidR="00F24946" w:rsidRDefault="00613B06">
            <w:pPr>
              <w:pStyle w:val="P68B1DB1-Normal8"/>
              <w:spacing w:after="0" w:line="240" w:lineRule="auto"/>
              <w:jc w:val="center"/>
              <w:rPr>
                <w:rFonts w:eastAsia="Times New Roman" w:cs="Calibri"/>
                <w:noProof/>
              </w:rPr>
            </w:pPr>
            <w:r>
              <w:rPr>
                <w:noProof/>
              </w:rPr>
              <w:t>Q3</w:t>
            </w:r>
          </w:p>
        </w:tc>
        <w:tc>
          <w:tcPr>
            <w:tcW w:w="682" w:type="dxa"/>
            <w:shd w:val="clear" w:color="auto" w:fill="C4EFCE"/>
            <w:noWrap/>
            <w:vAlign w:val="center"/>
            <w:hideMark/>
          </w:tcPr>
          <w:p w14:paraId="2CCF72CC" w14:textId="77777777" w:rsidR="00F24946" w:rsidRDefault="00613B06">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D73BE7F" w14:textId="77777777" w:rsidR="00F24946" w:rsidRDefault="00EF7D0E">
            <w:pPr>
              <w:pStyle w:val="P68B1DB1-Normal8"/>
              <w:spacing w:after="0" w:line="240" w:lineRule="auto"/>
              <w:jc w:val="both"/>
              <w:rPr>
                <w:rFonts w:eastAsia="Times New Roman" w:cs="Calibri"/>
                <w:noProof/>
              </w:rPr>
            </w:pPr>
            <w:hyperlink r:id="rId348" w:history="1">
              <w:r w:rsidR="00613B06">
                <w:rPr>
                  <w:noProof/>
                </w:rPr>
                <w:t>Število digitalnih javnih storitev, ki so na voljo državljanom in podjetjem, ki ponovno uporabljajo podatke, ki so na voljo v katalogu iAP (na voljo na spletnem naslovu iap.gov.pt), ki so zajete z elektronsko identiteto (na zahtevo služb) in sistemom za nadzor osebnih podatkov v javni upravi, ter objavljanje odprtih podatkov na spletni strani www.dados.gov.pt.</w:t>
              </w:r>
            </w:hyperlink>
          </w:p>
        </w:tc>
      </w:tr>
      <w:tr w:rsidR="00F24946" w14:paraId="68FF8B70" w14:textId="77777777">
        <w:trPr>
          <w:trHeight w:val="1460"/>
        </w:trPr>
        <w:tc>
          <w:tcPr>
            <w:tcW w:w="1082" w:type="dxa"/>
            <w:shd w:val="clear" w:color="auto" w:fill="C4EFCE"/>
            <w:vAlign w:val="center"/>
            <w:hideMark/>
          </w:tcPr>
          <w:p w14:paraId="15F177E4" w14:textId="77777777" w:rsidR="00F24946" w:rsidRDefault="00613B06">
            <w:pPr>
              <w:pStyle w:val="P68B1DB1-Normal7"/>
              <w:spacing w:after="0" w:line="240" w:lineRule="auto"/>
              <w:jc w:val="center"/>
              <w:rPr>
                <w:rFonts w:eastAsia="Times New Roman" w:cs="Calibri"/>
                <w:noProof/>
              </w:rPr>
            </w:pPr>
            <w:r>
              <w:rPr>
                <w:noProof/>
              </w:rPr>
              <w:t>19.5</w:t>
            </w:r>
          </w:p>
        </w:tc>
        <w:tc>
          <w:tcPr>
            <w:tcW w:w="1211" w:type="dxa"/>
            <w:shd w:val="clear" w:color="auto" w:fill="C4EFCE"/>
            <w:noWrap/>
            <w:vAlign w:val="center"/>
            <w:hideMark/>
          </w:tcPr>
          <w:p w14:paraId="6B9131E1" w14:textId="77777777" w:rsidR="00F24946" w:rsidRDefault="00613B06">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3C336C97"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1BD9AD68" w14:textId="77777777" w:rsidR="00F24946" w:rsidRDefault="00613B06">
            <w:pPr>
              <w:pStyle w:val="P68B1DB1-Normal8"/>
              <w:spacing w:after="0" w:line="240" w:lineRule="auto"/>
              <w:jc w:val="center"/>
              <w:rPr>
                <w:rFonts w:eastAsia="Times New Roman" w:cs="Calibri"/>
                <w:noProof/>
              </w:rPr>
            </w:pPr>
            <w:r>
              <w:rPr>
                <w:noProof/>
              </w:rPr>
              <w:t>Javne storitve, ki so varno dostopne z elektronsko identiteto in spoštujejo načelo „samo enkrat“</w:t>
            </w:r>
          </w:p>
        </w:tc>
        <w:tc>
          <w:tcPr>
            <w:tcW w:w="1343" w:type="dxa"/>
            <w:shd w:val="clear" w:color="auto" w:fill="C4EFCE"/>
            <w:noWrap/>
            <w:vAlign w:val="center"/>
            <w:hideMark/>
          </w:tcPr>
          <w:p w14:paraId="08DE2C60"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4E591E30"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4BE803EF" w14:textId="77777777" w:rsidR="00F24946" w:rsidRDefault="00613B06">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1EEBC244" w14:textId="77777777" w:rsidR="00F24946" w:rsidRDefault="00613B06">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55886765"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6CF36C79"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195558B" w14:textId="77777777" w:rsidR="00F24946" w:rsidRDefault="00EF7D0E">
            <w:pPr>
              <w:pStyle w:val="P68B1DB1-Normal8"/>
              <w:spacing w:after="0" w:line="240" w:lineRule="auto"/>
              <w:jc w:val="both"/>
              <w:rPr>
                <w:rFonts w:eastAsia="Times New Roman" w:cs="Calibri"/>
                <w:noProof/>
                <w:u w:val="single"/>
              </w:rPr>
            </w:pPr>
            <w:hyperlink r:id="rId349" w:history="1">
              <w:r w:rsidR="00613B06">
                <w:rPr>
                  <w:noProof/>
                </w:rPr>
                <w:t>Število digitalnih javnih storitev, ki so na voljo državljanom in podjetjem, ki ponovno uporabljajo podatke, ki so na voljo v katalogu iAP (na voljo na spletnem naslovu iap.gov.pt, ki so zajete z elektronsko identiteto (na zahtevo služb) in sistemom za nadzor osebnih podatkov v javni upravi, ter objavljanje odprtih podatkov na spletni strani www.dados.gov.pt.</w:t>
              </w:r>
            </w:hyperlink>
          </w:p>
        </w:tc>
      </w:tr>
      <w:tr w:rsidR="00F24946" w14:paraId="05EB17B2" w14:textId="77777777">
        <w:trPr>
          <w:trHeight w:val="2864"/>
        </w:trPr>
        <w:tc>
          <w:tcPr>
            <w:tcW w:w="1082" w:type="dxa"/>
            <w:shd w:val="clear" w:color="auto" w:fill="C4EFCE"/>
            <w:vAlign w:val="center"/>
            <w:hideMark/>
          </w:tcPr>
          <w:p w14:paraId="2E952EA4" w14:textId="77777777" w:rsidR="00F24946" w:rsidRDefault="00613B06">
            <w:pPr>
              <w:pStyle w:val="P68B1DB1-Normal7"/>
              <w:spacing w:after="0" w:line="240" w:lineRule="auto"/>
              <w:jc w:val="center"/>
              <w:rPr>
                <w:rFonts w:eastAsia="Times New Roman" w:cs="Calibri"/>
                <w:noProof/>
              </w:rPr>
            </w:pPr>
            <w:r>
              <w:rPr>
                <w:noProof/>
              </w:rPr>
              <w:t>19.6</w:t>
            </w:r>
          </w:p>
        </w:tc>
        <w:tc>
          <w:tcPr>
            <w:tcW w:w="1211" w:type="dxa"/>
            <w:shd w:val="clear" w:color="auto" w:fill="C4EFCE"/>
            <w:noWrap/>
            <w:vAlign w:val="center"/>
            <w:hideMark/>
          </w:tcPr>
          <w:p w14:paraId="2C2B1316" w14:textId="77777777" w:rsidR="00F24946" w:rsidRDefault="00613B06">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B87EDBD"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8B82EB8" w14:textId="77777777" w:rsidR="00F24946" w:rsidRDefault="00613B06">
            <w:pPr>
              <w:pStyle w:val="P68B1DB1-Normal8"/>
              <w:spacing w:after="0" w:line="240" w:lineRule="auto"/>
              <w:jc w:val="center"/>
              <w:rPr>
                <w:rFonts w:eastAsia="Times New Roman" w:cs="Calibri"/>
                <w:noProof/>
              </w:rPr>
            </w:pPr>
            <w:r>
              <w:rPr>
                <w:noProof/>
              </w:rPr>
              <w:t>Teritorialna informacijska infrastruktura</w:t>
            </w:r>
          </w:p>
        </w:tc>
        <w:tc>
          <w:tcPr>
            <w:tcW w:w="1343" w:type="dxa"/>
            <w:shd w:val="clear" w:color="auto" w:fill="C4EFCE"/>
            <w:noWrap/>
            <w:vAlign w:val="center"/>
            <w:hideMark/>
          </w:tcPr>
          <w:p w14:paraId="4CE5387D" w14:textId="77777777" w:rsidR="00F24946" w:rsidRDefault="00613B06">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10B4DFC4" w14:textId="77777777" w:rsidR="00F24946" w:rsidRDefault="00613B06">
            <w:pPr>
              <w:pStyle w:val="P68B1DB1-Normal8"/>
              <w:spacing w:after="0" w:line="240" w:lineRule="auto"/>
              <w:jc w:val="center"/>
              <w:rPr>
                <w:rFonts w:eastAsia="Times New Roman" w:cs="Calibri"/>
                <w:noProof/>
              </w:rPr>
            </w:pPr>
            <w:r>
              <w:rPr>
                <w:noProof/>
              </w:rPr>
              <w:t> Število</w:t>
            </w:r>
          </w:p>
        </w:tc>
        <w:tc>
          <w:tcPr>
            <w:tcW w:w="947" w:type="dxa"/>
            <w:shd w:val="clear" w:color="auto" w:fill="C4EFCE"/>
            <w:noWrap/>
            <w:vAlign w:val="center"/>
            <w:hideMark/>
          </w:tcPr>
          <w:p w14:paraId="05F91934" w14:textId="77777777" w:rsidR="00F24946" w:rsidRDefault="00613B06">
            <w:pPr>
              <w:pStyle w:val="P68B1DB1-Normal8"/>
              <w:spacing w:after="0" w:line="240" w:lineRule="auto"/>
              <w:jc w:val="center"/>
              <w:rPr>
                <w:rFonts w:eastAsia="Times New Roman" w:cs="Calibri"/>
                <w:noProof/>
              </w:rPr>
            </w:pPr>
            <w:r>
              <w:rPr>
                <w:noProof/>
              </w:rPr>
              <w:t> 0</w:t>
            </w:r>
          </w:p>
        </w:tc>
        <w:tc>
          <w:tcPr>
            <w:tcW w:w="682" w:type="dxa"/>
            <w:shd w:val="clear" w:color="auto" w:fill="C4EFCE"/>
            <w:noWrap/>
            <w:vAlign w:val="center"/>
            <w:hideMark/>
          </w:tcPr>
          <w:p w14:paraId="40489FCE" w14:textId="77777777" w:rsidR="00F24946" w:rsidRDefault="00613B06">
            <w:pPr>
              <w:pStyle w:val="P68B1DB1-Normal8"/>
              <w:spacing w:after="0" w:line="240" w:lineRule="auto"/>
              <w:jc w:val="center"/>
              <w:rPr>
                <w:rFonts w:eastAsia="Times New Roman" w:cs="Calibri"/>
                <w:noProof/>
              </w:rPr>
            </w:pPr>
            <w:r>
              <w:rPr>
                <w:noProof/>
              </w:rPr>
              <w:t> 150</w:t>
            </w:r>
          </w:p>
        </w:tc>
        <w:tc>
          <w:tcPr>
            <w:tcW w:w="550" w:type="dxa"/>
            <w:shd w:val="clear" w:color="auto" w:fill="C4EFCE"/>
            <w:noWrap/>
            <w:vAlign w:val="center"/>
            <w:hideMark/>
          </w:tcPr>
          <w:p w14:paraId="3D27795A"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2E675188"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CAF8E18" w14:textId="77777777" w:rsidR="00F24946" w:rsidRDefault="00613B06">
            <w:pPr>
              <w:pStyle w:val="P68B1DB1-Normal8"/>
              <w:spacing w:after="0" w:line="240" w:lineRule="auto"/>
              <w:jc w:val="both"/>
              <w:rPr>
                <w:rFonts w:eastAsia="Times New Roman" w:cs="Calibri"/>
                <w:noProof/>
              </w:rPr>
            </w:pPr>
            <w:r>
              <w:rPr>
                <w:noProof/>
              </w:rPr>
              <w:t>Število virov podatkov, vključenih v teritorialno informacijsko infrastrukturo, ki zajema stanovanjske, demografske, socialne in ekonomske informacije. Viri podatkov vključujejo upravne in anketne mikropodatke (običajno na ravni posameznika ali organizacije/podjetja), ki se postopoma vključujejo v statistiko Portugalske (prek njene nacionalne podatkovne infrastrukture), od socialne varnosti, davčnega organa in več organov javne uprave, ki med drugim spadajo na vladna področja izobraževanja, dela, zdravja in pravosodja, ter razširitev zajetih let (letne ali medletne informacije), kolikor je to mogoče. Vsak vir podatkov se stabilizira (prenos), obdela in analizira, da je pripravljen za integracijo in pripravo statističnih informacij na najbolj razčlenjeni ravni, zlasti na regionalni ravni.</w:t>
            </w:r>
          </w:p>
        </w:tc>
      </w:tr>
      <w:tr w:rsidR="00F24946" w14:paraId="021D13B4" w14:textId="77777777">
        <w:trPr>
          <w:trHeight w:val="1546"/>
        </w:trPr>
        <w:tc>
          <w:tcPr>
            <w:tcW w:w="1082" w:type="dxa"/>
            <w:shd w:val="clear" w:color="auto" w:fill="C4EFCE"/>
            <w:vAlign w:val="center"/>
            <w:hideMark/>
          </w:tcPr>
          <w:p w14:paraId="26F8CD80" w14:textId="77777777" w:rsidR="00F24946" w:rsidRDefault="00613B06">
            <w:pPr>
              <w:pStyle w:val="P68B1DB1-Normal7"/>
              <w:spacing w:after="0" w:line="240" w:lineRule="auto"/>
              <w:jc w:val="center"/>
              <w:rPr>
                <w:rFonts w:eastAsia="Times New Roman" w:cs="Calibri"/>
                <w:noProof/>
              </w:rPr>
            </w:pPr>
            <w:r>
              <w:rPr>
                <w:noProof/>
              </w:rPr>
              <w:t>19.7</w:t>
            </w:r>
          </w:p>
        </w:tc>
        <w:tc>
          <w:tcPr>
            <w:tcW w:w="1211" w:type="dxa"/>
            <w:shd w:val="clear" w:color="auto" w:fill="C4EFCE"/>
            <w:noWrap/>
            <w:vAlign w:val="center"/>
            <w:hideMark/>
          </w:tcPr>
          <w:p w14:paraId="31F06611" w14:textId="77777777" w:rsidR="00F24946" w:rsidRDefault="00613B06">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6E886759"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01F1C4FC" w14:textId="77777777" w:rsidR="00F24946" w:rsidRDefault="00613B06">
            <w:pPr>
              <w:pStyle w:val="P68B1DB1-Normal8"/>
              <w:spacing w:after="0" w:line="240" w:lineRule="auto"/>
              <w:jc w:val="center"/>
              <w:rPr>
                <w:rFonts w:eastAsia="Times New Roman" w:cs="Calibri"/>
                <w:noProof/>
              </w:rPr>
            </w:pPr>
            <w:r>
              <w:rPr>
                <w:noProof/>
              </w:rPr>
              <w:t>Usposabljanje strokovnjakov za IT za krepitev zmogljivosti na področju kibernetske varnosti in informacijske varnosti</w:t>
            </w:r>
          </w:p>
        </w:tc>
        <w:tc>
          <w:tcPr>
            <w:tcW w:w="1343" w:type="dxa"/>
            <w:shd w:val="clear" w:color="auto" w:fill="C4EFCE"/>
            <w:noWrap/>
            <w:vAlign w:val="center"/>
            <w:hideMark/>
          </w:tcPr>
          <w:p w14:paraId="331EB092"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B688D49"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3500F57F"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00D6EA06" w14:textId="77777777" w:rsidR="00F24946" w:rsidRDefault="00613B06">
            <w:pPr>
              <w:pStyle w:val="P68B1DB1-Normal8"/>
              <w:spacing w:after="0" w:line="240" w:lineRule="auto"/>
              <w:jc w:val="center"/>
              <w:rPr>
                <w:rFonts w:eastAsia="Times New Roman" w:cs="Calibri"/>
                <w:noProof/>
              </w:rPr>
            </w:pPr>
            <w:r>
              <w:rPr>
                <w:noProof/>
              </w:rPr>
              <w:t>9 800</w:t>
            </w:r>
          </w:p>
        </w:tc>
        <w:tc>
          <w:tcPr>
            <w:tcW w:w="550" w:type="dxa"/>
            <w:shd w:val="clear" w:color="auto" w:fill="C4EFCE"/>
            <w:noWrap/>
            <w:vAlign w:val="center"/>
            <w:hideMark/>
          </w:tcPr>
          <w:p w14:paraId="4FDC9656"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5C8036E3"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DC67902" w14:textId="77777777" w:rsidR="00F24946" w:rsidRDefault="00613B06">
            <w:pPr>
              <w:pStyle w:val="P68B1DB1-Normal8"/>
              <w:spacing w:after="0" w:line="240" w:lineRule="auto"/>
              <w:jc w:val="both"/>
              <w:rPr>
                <w:rFonts w:eastAsia="Times New Roman" w:cs="Calibri"/>
                <w:noProof/>
              </w:rPr>
            </w:pPr>
            <w:r>
              <w:rPr>
                <w:noProof/>
              </w:rPr>
              <w:t>Število strokovnjakov za IT, usposobljenih v mreži sedmih novoustanovljenih strokovnih centrov za kibernetsko varnost. Centri zagotavljajo napredna znanja in spretnosti na področju kibernetske varnosti in informacijske varnosti s programi usposabljanja in pripravništva v nacionalnem centru za kibernetsko varnost (CNCS) za zaposlene na področju IKT v javni upravi (osebno ali telematsko usposabljanje).</w:t>
            </w:r>
          </w:p>
        </w:tc>
      </w:tr>
      <w:tr w:rsidR="00F24946" w14:paraId="6EAE2210" w14:textId="77777777">
        <w:trPr>
          <w:trHeight w:val="1690"/>
        </w:trPr>
        <w:tc>
          <w:tcPr>
            <w:tcW w:w="1082" w:type="dxa"/>
            <w:shd w:val="clear" w:color="auto" w:fill="C4EFCE"/>
            <w:vAlign w:val="center"/>
            <w:hideMark/>
          </w:tcPr>
          <w:p w14:paraId="308988EE" w14:textId="77777777" w:rsidR="00F24946" w:rsidRDefault="00613B06">
            <w:pPr>
              <w:pStyle w:val="P68B1DB1-Normal7"/>
              <w:spacing w:after="0" w:line="240" w:lineRule="auto"/>
              <w:jc w:val="center"/>
              <w:rPr>
                <w:rFonts w:eastAsia="Times New Roman" w:cs="Calibri"/>
                <w:noProof/>
              </w:rPr>
            </w:pPr>
            <w:r>
              <w:rPr>
                <w:noProof/>
              </w:rPr>
              <w:t>19.8</w:t>
            </w:r>
          </w:p>
        </w:tc>
        <w:tc>
          <w:tcPr>
            <w:tcW w:w="1211" w:type="dxa"/>
            <w:shd w:val="clear" w:color="auto" w:fill="C4EFCE"/>
            <w:noWrap/>
            <w:vAlign w:val="center"/>
            <w:hideMark/>
          </w:tcPr>
          <w:p w14:paraId="2756D035" w14:textId="77777777" w:rsidR="00F24946" w:rsidRDefault="00613B06">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487E3F25"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2E4949A1" w14:textId="77777777" w:rsidR="00F24946" w:rsidRDefault="00613B06">
            <w:pPr>
              <w:pStyle w:val="P68B1DB1-Normal8"/>
              <w:spacing w:after="0" w:line="240" w:lineRule="auto"/>
              <w:jc w:val="center"/>
              <w:rPr>
                <w:rFonts w:eastAsia="Times New Roman" w:cs="Calibri"/>
                <w:noProof/>
              </w:rPr>
            </w:pPr>
            <w:r>
              <w:rPr>
                <w:noProof/>
              </w:rPr>
              <w:t>Sprejetje portugalske kriptografske rešitve s strani javnih organov</w:t>
            </w:r>
          </w:p>
        </w:tc>
        <w:tc>
          <w:tcPr>
            <w:tcW w:w="1343" w:type="dxa"/>
            <w:shd w:val="clear" w:color="auto" w:fill="C4EFCE"/>
            <w:noWrap/>
            <w:vAlign w:val="center"/>
            <w:hideMark/>
          </w:tcPr>
          <w:p w14:paraId="4C9A8180" w14:textId="77777777" w:rsidR="00F24946" w:rsidRDefault="00613B06">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5E66E76F"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2CC988A8"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A8C6E1F" w14:textId="77777777" w:rsidR="00F24946" w:rsidRDefault="00613B06">
            <w:pPr>
              <w:pStyle w:val="P68B1DB1-Normal8"/>
              <w:spacing w:after="0" w:line="240" w:lineRule="auto"/>
              <w:jc w:val="center"/>
              <w:rPr>
                <w:rFonts w:eastAsia="Times New Roman" w:cs="Calibri"/>
                <w:noProof/>
              </w:rPr>
            </w:pPr>
            <w:r>
              <w:rPr>
                <w:noProof/>
              </w:rPr>
              <w:t>150</w:t>
            </w:r>
          </w:p>
        </w:tc>
        <w:tc>
          <w:tcPr>
            <w:tcW w:w="550" w:type="dxa"/>
            <w:shd w:val="clear" w:color="auto" w:fill="C4EFCE"/>
            <w:noWrap/>
            <w:vAlign w:val="center"/>
            <w:hideMark/>
          </w:tcPr>
          <w:p w14:paraId="086973FB"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50931A0E"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5B7BEE" w14:textId="77777777" w:rsidR="00F24946" w:rsidRDefault="00613B06">
            <w:pPr>
              <w:pStyle w:val="P68B1DB1-Normal8"/>
              <w:spacing w:after="0" w:line="240" w:lineRule="auto"/>
              <w:jc w:val="both"/>
              <w:rPr>
                <w:rFonts w:eastAsia="Times New Roman" w:cs="Calibri"/>
                <w:noProof/>
              </w:rPr>
            </w:pPr>
            <w:r>
              <w:rPr>
                <w:noProof/>
              </w:rPr>
              <w:t>Število javnih organov, ki jim je zagotovljena kriptografska oprema, ki je v skladu s pravnimi zahtevami [</w:t>
            </w:r>
            <w:r>
              <w:rPr>
                <w:i/>
                <w:noProof/>
              </w:rPr>
              <w:t>Resolução do Conselho de Ministros, n. 16/96, de 22 de março – Instruções para a Segurança Nacional, Segurança das Telecomunicações (SEGNAC 3),</w:t>
            </w:r>
            <w:r>
              <w:rPr>
                <w:noProof/>
              </w:rPr>
              <w:t xml:space="preserve"> Capítulo 3/Resolucija Sveta ministrov, št. 16/96, 22. marec – Navodila za nacionalno varnost, telekomunikacijsko varnost (SEGNAC 3), poglavje 3]. </w:t>
            </w:r>
          </w:p>
        </w:tc>
      </w:tr>
      <w:tr w:rsidR="00F24946" w14:paraId="4FEFFAA1" w14:textId="77777777">
        <w:trPr>
          <w:trHeight w:val="1969"/>
        </w:trPr>
        <w:tc>
          <w:tcPr>
            <w:tcW w:w="1082" w:type="dxa"/>
            <w:shd w:val="clear" w:color="auto" w:fill="C4EFCE"/>
            <w:vAlign w:val="center"/>
          </w:tcPr>
          <w:p w14:paraId="3A68F726" w14:textId="59EE31D4" w:rsidR="00F24946" w:rsidRDefault="00613B06">
            <w:pPr>
              <w:pStyle w:val="P68B1DB1-Normal7"/>
              <w:spacing w:after="0" w:line="240" w:lineRule="auto"/>
              <w:jc w:val="center"/>
              <w:rPr>
                <w:rFonts w:eastAsia="Times New Roman" w:cs="Calibri"/>
                <w:noProof/>
              </w:rPr>
            </w:pPr>
            <w:r>
              <w:rPr>
                <w:noProof/>
              </w:rPr>
              <w:t>19.9</w:t>
            </w:r>
          </w:p>
        </w:tc>
        <w:tc>
          <w:tcPr>
            <w:tcW w:w="1211" w:type="dxa"/>
            <w:shd w:val="clear" w:color="auto" w:fill="C4EFCE"/>
            <w:noWrap/>
            <w:vAlign w:val="center"/>
          </w:tcPr>
          <w:p w14:paraId="67DE3F13" w14:textId="744B2D80" w:rsidR="00F24946" w:rsidRDefault="00613B06">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tcPr>
          <w:p w14:paraId="5426B223" w14:textId="1A66F3E2"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6B8CDAAE" w14:textId="05621BA1" w:rsidR="00F24946" w:rsidRDefault="00613B06">
            <w:pPr>
              <w:pStyle w:val="P68B1DB1-Normal8"/>
              <w:spacing w:after="0" w:line="240" w:lineRule="auto"/>
              <w:jc w:val="center"/>
              <w:rPr>
                <w:rFonts w:eastAsia="Times New Roman" w:cs="Calibri"/>
                <w:noProof/>
              </w:rPr>
            </w:pPr>
            <w:r>
              <w:rPr>
                <w:noProof/>
              </w:rPr>
              <w:t>Izvajanje nacionalnega okvira za kibernetsko varnost</w:t>
            </w:r>
          </w:p>
        </w:tc>
        <w:tc>
          <w:tcPr>
            <w:tcW w:w="1343" w:type="dxa"/>
            <w:shd w:val="clear" w:color="auto" w:fill="C4EFCE"/>
            <w:noWrap/>
            <w:vAlign w:val="center"/>
          </w:tcPr>
          <w:p w14:paraId="15AE299E" w14:textId="77777777" w:rsidR="00F24946" w:rsidRDefault="00F24946">
            <w:pPr>
              <w:spacing w:after="0" w:line="240" w:lineRule="auto"/>
              <w:rPr>
                <w:rFonts w:ascii="Calibri" w:eastAsia="Times New Roman" w:hAnsi="Calibri" w:cs="Calibri"/>
                <w:noProof/>
                <w:sz w:val="16"/>
              </w:rPr>
            </w:pPr>
          </w:p>
        </w:tc>
        <w:tc>
          <w:tcPr>
            <w:tcW w:w="1134" w:type="dxa"/>
            <w:shd w:val="clear" w:color="auto" w:fill="C4EFCE"/>
            <w:noWrap/>
            <w:vAlign w:val="center"/>
          </w:tcPr>
          <w:p w14:paraId="557F5529" w14:textId="47FFDC85"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tcPr>
          <w:p w14:paraId="10F2D9AB" w14:textId="31D9A02A"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4F952B72" w14:textId="3DF121B4" w:rsidR="00F24946" w:rsidRDefault="00613B06">
            <w:pPr>
              <w:pStyle w:val="P68B1DB1-Normal8"/>
              <w:spacing w:after="0" w:line="240" w:lineRule="auto"/>
              <w:jc w:val="center"/>
              <w:rPr>
                <w:rFonts w:eastAsia="Times New Roman" w:cs="Calibri"/>
                <w:noProof/>
              </w:rPr>
            </w:pPr>
            <w:r>
              <w:rPr>
                <w:noProof/>
              </w:rPr>
              <w:t>47</w:t>
            </w:r>
          </w:p>
        </w:tc>
        <w:tc>
          <w:tcPr>
            <w:tcW w:w="550" w:type="dxa"/>
            <w:shd w:val="clear" w:color="auto" w:fill="C4EFCE"/>
            <w:noWrap/>
            <w:vAlign w:val="center"/>
          </w:tcPr>
          <w:p w14:paraId="28B08257" w14:textId="1AD527DF"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tcPr>
          <w:p w14:paraId="168519DA" w14:textId="5F4A2B04"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0B3D764C" w14:textId="37515DD9" w:rsidR="00F24946" w:rsidRDefault="00613B06">
            <w:pPr>
              <w:pStyle w:val="P68B1DB1-Normal8"/>
              <w:spacing w:after="0" w:line="240" w:lineRule="auto"/>
              <w:jc w:val="both"/>
              <w:rPr>
                <w:rFonts w:eastAsia="Times New Roman" w:cs="Calibri"/>
                <w:noProof/>
              </w:rPr>
            </w:pPr>
            <w:r>
              <w:rPr>
                <w:noProof/>
              </w:rPr>
              <w:t>Število novih subjektov v javni upravi, ki jih zajema nacionalni okvir za kibernetsko varnost (glej reformo TD-r34). Ti subjekti morajo pripraviti kazalnike kibernetske varnosti, izvajati nacionalni regulativni okvir in regulativni okvir EU za kibernetsko varnost, tudi prek organov za ugotavljanje skladnosti in novih revizorjev ter z opredelitvijo in spremljanjem modela upravljanja za sodelovanje in izmenjavo informacij za varnost znanja in informacij.</w:t>
            </w:r>
          </w:p>
        </w:tc>
      </w:tr>
      <w:tr w:rsidR="00F24946" w14:paraId="2F6B4CDF" w14:textId="77777777">
        <w:trPr>
          <w:trHeight w:val="430"/>
        </w:trPr>
        <w:tc>
          <w:tcPr>
            <w:tcW w:w="1082" w:type="dxa"/>
            <w:shd w:val="clear" w:color="auto" w:fill="C4EFCE"/>
            <w:vAlign w:val="center"/>
            <w:hideMark/>
          </w:tcPr>
          <w:p w14:paraId="312AB79F" w14:textId="77777777" w:rsidR="00F24946" w:rsidRDefault="00613B06">
            <w:pPr>
              <w:pStyle w:val="P68B1DB1-Normal7"/>
              <w:spacing w:after="0" w:line="240" w:lineRule="auto"/>
              <w:jc w:val="center"/>
              <w:rPr>
                <w:rFonts w:eastAsia="Times New Roman" w:cs="Calibri"/>
                <w:noProof/>
              </w:rPr>
            </w:pPr>
            <w:r>
              <w:rPr>
                <w:noProof/>
              </w:rPr>
              <w:t>19.10</w:t>
            </w:r>
          </w:p>
        </w:tc>
        <w:tc>
          <w:tcPr>
            <w:tcW w:w="1211" w:type="dxa"/>
            <w:shd w:val="clear" w:color="auto" w:fill="C4EFCE"/>
            <w:noWrap/>
            <w:vAlign w:val="center"/>
            <w:hideMark/>
          </w:tcPr>
          <w:p w14:paraId="4ED32827" w14:textId="77777777" w:rsidR="00F24946" w:rsidRDefault="00613B06">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15B82E65"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55D8A471" w14:textId="77777777" w:rsidR="00F24946" w:rsidRDefault="00613B06">
            <w:pPr>
              <w:pStyle w:val="P68B1DB1-Normal8"/>
              <w:spacing w:after="0" w:line="240" w:lineRule="auto"/>
              <w:jc w:val="center"/>
              <w:rPr>
                <w:rFonts w:eastAsia="Times New Roman" w:cs="Calibri"/>
                <w:noProof/>
              </w:rPr>
            </w:pPr>
            <w:r>
              <w:rPr>
                <w:noProof/>
              </w:rPr>
              <w:t>Zaključek gradnje organov za kibernetsko varnost in informacijsko varnost</w:t>
            </w:r>
          </w:p>
        </w:tc>
        <w:tc>
          <w:tcPr>
            <w:tcW w:w="1343" w:type="dxa"/>
            <w:shd w:val="clear" w:color="auto" w:fill="C4EFCE"/>
            <w:noWrap/>
            <w:vAlign w:val="center"/>
            <w:hideMark/>
          </w:tcPr>
          <w:p w14:paraId="73297563" w14:textId="77777777" w:rsidR="00F24946" w:rsidRDefault="00613B06">
            <w:pPr>
              <w:pStyle w:val="P68B1DB1-Normal8"/>
              <w:spacing w:after="0" w:line="240" w:lineRule="auto"/>
              <w:jc w:val="center"/>
              <w:rPr>
                <w:rFonts w:eastAsia="Times New Roman" w:cs="Calibri"/>
                <w:noProof/>
              </w:rPr>
            </w:pPr>
            <w:r>
              <w:rPr>
                <w:noProof/>
              </w:rPr>
              <w:t xml:space="preserve">Zaključek gradnje organov za kibernetsko varnost in informacijsko varnost </w:t>
            </w:r>
          </w:p>
        </w:tc>
        <w:tc>
          <w:tcPr>
            <w:tcW w:w="1134" w:type="dxa"/>
            <w:shd w:val="clear" w:color="auto" w:fill="C4EFCE"/>
            <w:noWrap/>
            <w:vAlign w:val="center"/>
            <w:hideMark/>
          </w:tcPr>
          <w:p w14:paraId="18895E37"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947" w:type="dxa"/>
            <w:shd w:val="clear" w:color="auto" w:fill="C4EFCE"/>
            <w:noWrap/>
            <w:vAlign w:val="center"/>
            <w:hideMark/>
          </w:tcPr>
          <w:p w14:paraId="68F01236"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682" w:type="dxa"/>
            <w:shd w:val="clear" w:color="auto" w:fill="C4EFCE"/>
            <w:noWrap/>
            <w:vAlign w:val="center"/>
            <w:hideMark/>
          </w:tcPr>
          <w:p w14:paraId="5CF77E3A"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550" w:type="dxa"/>
            <w:shd w:val="clear" w:color="auto" w:fill="C4EFCE"/>
            <w:noWrap/>
            <w:vAlign w:val="center"/>
            <w:hideMark/>
          </w:tcPr>
          <w:p w14:paraId="1DB26465"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5FC22AB1"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ECA463" w14:textId="77777777" w:rsidR="00F24946" w:rsidRDefault="00613B06">
            <w:pPr>
              <w:pStyle w:val="P68B1DB1-Normal8"/>
              <w:spacing w:after="0" w:line="240" w:lineRule="auto"/>
              <w:jc w:val="both"/>
              <w:rPr>
                <w:rFonts w:eastAsia="Times New Roman" w:cs="Calibri"/>
                <w:noProof/>
              </w:rPr>
            </w:pPr>
            <w:r>
              <w:rPr>
                <w:noProof/>
              </w:rPr>
              <w:t>Dokončanje gradbenih del in namestitev opreme z ustreznimi tehnološkimi in varnostnimi pogoji za gradnjo treh organov za kibernetsko varnost in informacijsko varnost.</w:t>
            </w:r>
          </w:p>
        </w:tc>
      </w:tr>
      <w:tr w:rsidR="00F24946" w14:paraId="3DC45753" w14:textId="77777777">
        <w:trPr>
          <w:trHeight w:val="430"/>
        </w:trPr>
        <w:tc>
          <w:tcPr>
            <w:tcW w:w="1082" w:type="dxa"/>
            <w:shd w:val="clear" w:color="auto" w:fill="C4EFCE"/>
            <w:vAlign w:val="center"/>
            <w:hideMark/>
          </w:tcPr>
          <w:p w14:paraId="4270D7DC" w14:textId="77777777" w:rsidR="00F24946" w:rsidRDefault="00613B06">
            <w:pPr>
              <w:pStyle w:val="P68B1DB1-Normal7"/>
              <w:spacing w:after="0" w:line="240" w:lineRule="auto"/>
              <w:jc w:val="center"/>
              <w:rPr>
                <w:rFonts w:eastAsia="Times New Roman" w:cs="Calibri"/>
                <w:noProof/>
              </w:rPr>
            </w:pPr>
            <w:r>
              <w:rPr>
                <w:noProof/>
              </w:rPr>
              <w:t>19.11</w:t>
            </w:r>
          </w:p>
        </w:tc>
        <w:tc>
          <w:tcPr>
            <w:tcW w:w="1211" w:type="dxa"/>
            <w:shd w:val="clear" w:color="auto" w:fill="C4EFCE"/>
            <w:noWrap/>
            <w:vAlign w:val="center"/>
            <w:hideMark/>
          </w:tcPr>
          <w:p w14:paraId="7E15EC62" w14:textId="77777777" w:rsidR="00F24946" w:rsidRDefault="00613B06">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2A1A6729"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1F4579A" w14:textId="77777777" w:rsidR="00F24946" w:rsidRDefault="00613B06">
            <w:pPr>
              <w:pStyle w:val="P68B1DB1-Normal8"/>
              <w:spacing w:after="0" w:line="240" w:lineRule="auto"/>
              <w:jc w:val="center"/>
              <w:rPr>
                <w:rFonts w:eastAsia="Times New Roman" w:cs="Calibri"/>
                <w:noProof/>
              </w:rPr>
            </w:pPr>
            <w:r>
              <w:rPr>
                <w:noProof/>
              </w:rPr>
              <w:t>Sistem varnih mobilnih komunikacij za vladne uslužbence</w:t>
            </w:r>
          </w:p>
        </w:tc>
        <w:tc>
          <w:tcPr>
            <w:tcW w:w="1343" w:type="dxa"/>
            <w:shd w:val="clear" w:color="auto" w:fill="C4EFCE"/>
            <w:noWrap/>
            <w:vAlign w:val="center"/>
            <w:hideMark/>
          </w:tcPr>
          <w:p w14:paraId="25D18244"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17F43F1" w14:textId="77777777" w:rsidR="00F24946" w:rsidRDefault="00613B06">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3A5E5B34"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50DDAE09" w14:textId="77777777" w:rsidR="00F24946" w:rsidRDefault="00613B06">
            <w:pPr>
              <w:pStyle w:val="P68B1DB1-Normal8"/>
              <w:spacing w:after="0" w:line="240" w:lineRule="auto"/>
              <w:jc w:val="center"/>
              <w:rPr>
                <w:rFonts w:eastAsia="Times New Roman" w:cs="Calibri"/>
                <w:noProof/>
              </w:rPr>
            </w:pPr>
            <w:r>
              <w:rPr>
                <w:noProof/>
              </w:rPr>
              <w:t>95</w:t>
            </w:r>
          </w:p>
        </w:tc>
        <w:tc>
          <w:tcPr>
            <w:tcW w:w="550" w:type="dxa"/>
            <w:shd w:val="clear" w:color="auto" w:fill="C4EFCE"/>
            <w:noWrap/>
            <w:vAlign w:val="center"/>
            <w:hideMark/>
          </w:tcPr>
          <w:p w14:paraId="636A686F" w14:textId="77777777" w:rsidR="00F24946" w:rsidRDefault="00613B06">
            <w:pPr>
              <w:pStyle w:val="P68B1DB1-Normal8"/>
              <w:spacing w:after="0" w:line="240" w:lineRule="auto"/>
              <w:jc w:val="center"/>
              <w:rPr>
                <w:rFonts w:eastAsia="Times New Roman" w:cs="Calibri"/>
                <w:noProof/>
              </w:rPr>
            </w:pPr>
            <w:r>
              <w:rPr>
                <w:noProof/>
              </w:rPr>
              <w:t>Q2</w:t>
            </w:r>
          </w:p>
        </w:tc>
        <w:tc>
          <w:tcPr>
            <w:tcW w:w="682" w:type="dxa"/>
            <w:shd w:val="clear" w:color="auto" w:fill="C4EFCE"/>
            <w:noWrap/>
            <w:vAlign w:val="center"/>
            <w:hideMark/>
          </w:tcPr>
          <w:p w14:paraId="04354A03" w14:textId="77777777" w:rsidR="00F24946" w:rsidRDefault="00613B06">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0B6506D9" w14:textId="77777777" w:rsidR="00F24946" w:rsidRDefault="00613B06">
            <w:pPr>
              <w:pStyle w:val="P68B1DB1-Normal8"/>
              <w:spacing w:after="0" w:line="240" w:lineRule="auto"/>
              <w:jc w:val="both"/>
              <w:rPr>
                <w:rFonts w:eastAsia="Times New Roman" w:cs="Calibri"/>
                <w:noProof/>
              </w:rPr>
            </w:pPr>
            <w:r>
              <w:rPr>
                <w:noProof/>
              </w:rPr>
              <w:t>Odstotek zaposlenih na vladnem območju z dostopom do varnega glasovnega, sporočilnega in videokomunikacijskega sistema.</w:t>
            </w:r>
          </w:p>
        </w:tc>
      </w:tr>
      <w:tr w:rsidR="00F24946" w14:paraId="3CA6562D" w14:textId="77777777">
        <w:trPr>
          <w:trHeight w:val="290"/>
        </w:trPr>
        <w:tc>
          <w:tcPr>
            <w:tcW w:w="1082" w:type="dxa"/>
            <w:shd w:val="clear" w:color="auto" w:fill="C4EFCE"/>
            <w:vAlign w:val="center"/>
            <w:hideMark/>
          </w:tcPr>
          <w:p w14:paraId="3056D03D" w14:textId="77777777" w:rsidR="00F24946" w:rsidRDefault="00613B06">
            <w:pPr>
              <w:pStyle w:val="P68B1DB1-Normal7"/>
              <w:spacing w:after="0" w:line="240" w:lineRule="auto"/>
              <w:jc w:val="center"/>
              <w:rPr>
                <w:rFonts w:eastAsia="Times New Roman" w:cs="Calibri"/>
                <w:noProof/>
              </w:rPr>
            </w:pPr>
            <w:r>
              <w:rPr>
                <w:noProof/>
              </w:rPr>
              <w:t>19.12</w:t>
            </w:r>
          </w:p>
        </w:tc>
        <w:tc>
          <w:tcPr>
            <w:tcW w:w="1211" w:type="dxa"/>
            <w:shd w:val="clear" w:color="auto" w:fill="C4EFCE"/>
            <w:noWrap/>
            <w:vAlign w:val="center"/>
            <w:hideMark/>
          </w:tcPr>
          <w:p w14:paraId="0D7F79C6" w14:textId="77777777" w:rsidR="00F24946" w:rsidRDefault="00613B06">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6E6F4A96"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E8D5C65" w14:textId="77777777" w:rsidR="00F24946" w:rsidRDefault="00613B06">
            <w:pPr>
              <w:pStyle w:val="P68B1DB1-Normal8"/>
              <w:spacing w:after="0" w:line="240" w:lineRule="auto"/>
              <w:jc w:val="center"/>
              <w:rPr>
                <w:rFonts w:eastAsia="Times New Roman" w:cs="Calibri"/>
                <w:noProof/>
              </w:rPr>
            </w:pPr>
            <w:r>
              <w:rPr>
                <w:noProof/>
              </w:rPr>
              <w:t xml:space="preserve">Dokončanje posodobitev kritične digitalne infrastrukture </w:t>
            </w:r>
          </w:p>
        </w:tc>
        <w:tc>
          <w:tcPr>
            <w:tcW w:w="1343" w:type="dxa"/>
            <w:shd w:val="clear" w:color="auto" w:fill="C4EFCE"/>
            <w:noWrap/>
            <w:vAlign w:val="center"/>
            <w:hideMark/>
          </w:tcPr>
          <w:p w14:paraId="501E6AED" w14:textId="77777777" w:rsidR="00F24946" w:rsidRDefault="00613B06">
            <w:pPr>
              <w:pStyle w:val="P68B1DB1-Normal8"/>
              <w:spacing w:after="0" w:line="240" w:lineRule="auto"/>
              <w:jc w:val="center"/>
              <w:rPr>
                <w:rFonts w:eastAsia="Times New Roman" w:cs="Calibri"/>
                <w:noProof/>
              </w:rPr>
            </w:pPr>
            <w:r>
              <w:rPr>
                <w:noProof/>
              </w:rPr>
              <w:t>Dokončanje posodobitev nacionalne mreže za notranjo varnost in državne komunikacijske mreže za izredne razmere</w:t>
            </w:r>
          </w:p>
        </w:tc>
        <w:tc>
          <w:tcPr>
            <w:tcW w:w="1134" w:type="dxa"/>
            <w:shd w:val="clear" w:color="auto" w:fill="C4EFCE"/>
            <w:noWrap/>
            <w:vAlign w:val="center"/>
            <w:hideMark/>
          </w:tcPr>
          <w:p w14:paraId="39F8F6F1" w14:textId="77777777" w:rsidR="00F24946" w:rsidRDefault="00613B06">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1F264429" w14:textId="77777777" w:rsidR="00F24946" w:rsidRDefault="00613B06">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1A118CBF" w14:textId="77777777" w:rsidR="00F24946" w:rsidRDefault="00613B06">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E51498A" w14:textId="09975352"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7F7EF7EA" w14:textId="0D64379A" w:rsidR="00F24946" w:rsidRDefault="00613B06">
            <w:pPr>
              <w:pStyle w:val="P68B1DB1-Normal8"/>
              <w:spacing w:after="0" w:line="240" w:lineRule="auto"/>
              <w:jc w:val="right"/>
              <w:rPr>
                <w:rFonts w:eastAsia="Times New Roman" w:cs="Calibri"/>
                <w:noProof/>
              </w:rPr>
            </w:pPr>
            <w:r>
              <w:rPr>
                <w:noProof/>
              </w:rPr>
              <w:t>2024</w:t>
            </w:r>
          </w:p>
        </w:tc>
        <w:tc>
          <w:tcPr>
            <w:tcW w:w="4458" w:type="dxa"/>
            <w:shd w:val="clear" w:color="auto" w:fill="C4EFCE"/>
            <w:hideMark/>
          </w:tcPr>
          <w:p w14:paraId="4312DD38" w14:textId="77777777" w:rsidR="00F24946" w:rsidRDefault="00613B06">
            <w:pPr>
              <w:pStyle w:val="P68B1DB1-Normal8"/>
              <w:spacing w:after="0" w:line="240" w:lineRule="auto"/>
              <w:jc w:val="both"/>
              <w:rPr>
                <w:rFonts w:eastAsia="Calibri" w:cs="Calibri"/>
                <w:noProof/>
              </w:rPr>
            </w:pPr>
            <w:r>
              <w:rPr>
                <w:noProof/>
              </w:rPr>
              <w:t xml:space="preserve">Dokončanje posodobitev kritične digitalne infrastrukture: (I) 60 % izvajanja dodatnih zmogljivosti v okviru nacionalne mreže notranje varnosti, vključno z visoko zmogljivostjo za obdelavo podatkov, odpornostjo in varnostjo: </w:t>
            </w:r>
          </w:p>
          <w:p w14:paraId="44F9C278" w14:textId="4B066DDA" w:rsidR="00F24946" w:rsidRDefault="00613B06">
            <w:pPr>
              <w:pStyle w:val="P68B1DB1-Normal8"/>
              <w:spacing w:after="0" w:line="240" w:lineRule="auto"/>
              <w:jc w:val="both"/>
              <w:rPr>
                <w:rFonts w:eastAsia="Times New Roman" w:cs="Calibri"/>
                <w:noProof/>
              </w:rPr>
            </w:pPr>
            <w:r>
              <w:rPr>
                <w:noProof/>
              </w:rPr>
              <w:t>(II) 55 % izvajanja popolne ozemeljske pokritosti, zmogljivosti in odpuščanja v državnem komunikacijskem omrežju za izredne razmere</w:t>
            </w:r>
          </w:p>
        </w:tc>
      </w:tr>
      <w:tr w:rsidR="00F24946" w14:paraId="3F8BAA6B" w14:textId="77777777">
        <w:trPr>
          <w:trHeight w:val="290"/>
        </w:trPr>
        <w:tc>
          <w:tcPr>
            <w:tcW w:w="1082" w:type="dxa"/>
            <w:shd w:val="clear" w:color="auto" w:fill="C4EFCE"/>
            <w:vAlign w:val="center"/>
            <w:hideMark/>
          </w:tcPr>
          <w:p w14:paraId="60B7CB28" w14:textId="77777777" w:rsidR="00F24946" w:rsidRDefault="00613B06">
            <w:pPr>
              <w:pStyle w:val="P68B1DB1-Normal7"/>
              <w:spacing w:after="0" w:line="240" w:lineRule="auto"/>
              <w:jc w:val="center"/>
              <w:rPr>
                <w:rFonts w:eastAsia="Times New Roman" w:cs="Calibri"/>
                <w:noProof/>
              </w:rPr>
            </w:pPr>
            <w:r>
              <w:rPr>
                <w:noProof/>
              </w:rPr>
              <w:t>19.13</w:t>
            </w:r>
          </w:p>
        </w:tc>
        <w:tc>
          <w:tcPr>
            <w:tcW w:w="1211" w:type="dxa"/>
            <w:shd w:val="clear" w:color="auto" w:fill="C4EFCE"/>
            <w:noWrap/>
            <w:vAlign w:val="center"/>
            <w:hideMark/>
          </w:tcPr>
          <w:p w14:paraId="05F9B74B" w14:textId="77777777" w:rsidR="00F24946" w:rsidRDefault="00613B06">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57F97217"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179ABEE4" w14:textId="77777777" w:rsidR="00F24946" w:rsidRDefault="00613B06">
            <w:pPr>
              <w:pStyle w:val="P68B1DB1-Normal8"/>
              <w:spacing w:after="0" w:line="240" w:lineRule="auto"/>
              <w:jc w:val="center"/>
              <w:rPr>
                <w:rFonts w:eastAsia="Times New Roman" w:cs="Calibri"/>
                <w:noProof/>
              </w:rPr>
            </w:pPr>
            <w:r>
              <w:rPr>
                <w:noProof/>
              </w:rPr>
              <w:t xml:space="preserve">Dokončanje posodobitev kritične digitalne infrastrukture </w:t>
            </w:r>
          </w:p>
        </w:tc>
        <w:tc>
          <w:tcPr>
            <w:tcW w:w="1343" w:type="dxa"/>
            <w:shd w:val="clear" w:color="auto" w:fill="C4EFCE"/>
            <w:noWrap/>
            <w:vAlign w:val="center"/>
            <w:hideMark/>
          </w:tcPr>
          <w:p w14:paraId="2699DED6" w14:textId="77777777" w:rsidR="00F24946" w:rsidRDefault="00613B06">
            <w:pPr>
              <w:pStyle w:val="P68B1DB1-Normal8"/>
              <w:spacing w:after="0" w:line="240" w:lineRule="auto"/>
              <w:jc w:val="center"/>
              <w:rPr>
                <w:rFonts w:eastAsia="Times New Roman" w:cs="Calibri"/>
                <w:noProof/>
              </w:rPr>
            </w:pPr>
            <w:r>
              <w:rPr>
                <w:noProof/>
              </w:rPr>
              <w:t>Dokončanje posodobitev nacionalne mreže za notranjo varnost in državne komunikacijske mreže za izredne razmere</w:t>
            </w:r>
          </w:p>
        </w:tc>
        <w:tc>
          <w:tcPr>
            <w:tcW w:w="1134" w:type="dxa"/>
            <w:shd w:val="clear" w:color="auto" w:fill="C4EFCE"/>
            <w:noWrap/>
            <w:vAlign w:val="center"/>
            <w:hideMark/>
          </w:tcPr>
          <w:p w14:paraId="78067F72" w14:textId="77777777" w:rsidR="00F24946" w:rsidRDefault="00613B06">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C543219" w14:textId="77777777" w:rsidR="00F24946" w:rsidRDefault="00613B06">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3512C253" w14:textId="77777777" w:rsidR="00F24946" w:rsidRDefault="00613B06">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BB5AA71" w14:textId="77777777"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hideMark/>
          </w:tcPr>
          <w:p w14:paraId="7358850B" w14:textId="77777777" w:rsidR="00F24946" w:rsidRDefault="00613B06">
            <w:pPr>
              <w:pStyle w:val="P68B1DB1-Normal8"/>
              <w:spacing w:after="0" w:line="240" w:lineRule="auto"/>
              <w:jc w:val="right"/>
              <w:rPr>
                <w:rFonts w:eastAsia="Times New Roman" w:cs="Calibri"/>
                <w:noProof/>
              </w:rPr>
            </w:pPr>
            <w:r>
              <w:rPr>
                <w:noProof/>
              </w:rPr>
              <w:t>2025</w:t>
            </w:r>
          </w:p>
        </w:tc>
        <w:tc>
          <w:tcPr>
            <w:tcW w:w="4458" w:type="dxa"/>
            <w:shd w:val="clear" w:color="auto" w:fill="C4EFCE"/>
            <w:vAlign w:val="center"/>
            <w:hideMark/>
          </w:tcPr>
          <w:p w14:paraId="3FAC7FB6" w14:textId="77777777" w:rsidR="00F24946" w:rsidRDefault="00613B06">
            <w:pPr>
              <w:pStyle w:val="P68B1DB1-Normal8"/>
              <w:spacing w:after="0" w:line="240" w:lineRule="auto"/>
              <w:jc w:val="both"/>
              <w:rPr>
                <w:rFonts w:eastAsia="Calibri" w:cs="Calibri"/>
                <w:noProof/>
              </w:rPr>
            </w:pPr>
            <w:r>
              <w:rPr>
                <w:noProof/>
              </w:rPr>
              <w:t xml:space="preserve">Dokončanje posodobitev kritične digitalne infrastrukture: I) Začetek delovanja dodatnih zmogljivosti v okviru nacionalne mreže notranje varnosti, vključno z visoko zmogljivostjo za obdelavo podatkov, odpornostjo in varnostjo: </w:t>
            </w:r>
          </w:p>
          <w:p w14:paraId="4A3AF4F0" w14:textId="77777777" w:rsidR="00F24946" w:rsidRDefault="00613B06">
            <w:pPr>
              <w:pStyle w:val="P68B1DB1-Normal8"/>
              <w:spacing w:after="0" w:line="240" w:lineRule="auto"/>
              <w:jc w:val="both"/>
              <w:rPr>
                <w:rFonts w:eastAsia="Calibri" w:cs="Calibri"/>
                <w:noProof/>
              </w:rPr>
            </w:pPr>
            <w:r>
              <w:rPr>
                <w:noProof/>
              </w:rPr>
              <w:t xml:space="preserve">II) Izvajanje novih tehnoloških arhitektur, sistemov in orodij z zmožnostjo pametne avtomatizacije in izpopolnjenosti </w:t>
            </w:r>
          </w:p>
          <w:p w14:paraId="25F4E897" w14:textId="455BEF95" w:rsidR="00F24946" w:rsidRDefault="00613B06">
            <w:pPr>
              <w:pStyle w:val="P68B1DB1-Normal8"/>
              <w:spacing w:after="0" w:line="240" w:lineRule="auto"/>
              <w:jc w:val="both"/>
              <w:rPr>
                <w:rFonts w:eastAsia="Times New Roman" w:cs="Calibri"/>
                <w:noProof/>
              </w:rPr>
            </w:pPr>
            <w:r>
              <w:rPr>
                <w:noProof/>
              </w:rPr>
              <w:t>(III) Državno komunikacijsko omrežje za izredne razmere: doseganje polne ozemeljske pokritosti ter izboljšanje zmogljivosti in odpuščanja delavcev</w:t>
            </w:r>
          </w:p>
        </w:tc>
      </w:tr>
      <w:tr w:rsidR="00F24946" w14:paraId="0A8D9375" w14:textId="77777777">
        <w:trPr>
          <w:trHeight w:val="290"/>
        </w:trPr>
        <w:tc>
          <w:tcPr>
            <w:tcW w:w="1082" w:type="dxa"/>
            <w:shd w:val="clear" w:color="auto" w:fill="C4EFCE"/>
            <w:vAlign w:val="center"/>
            <w:hideMark/>
          </w:tcPr>
          <w:p w14:paraId="59CF7E22" w14:textId="77777777" w:rsidR="00F24946" w:rsidRDefault="00613B06">
            <w:pPr>
              <w:pStyle w:val="P68B1DB1-Normal7"/>
              <w:spacing w:after="0" w:line="240" w:lineRule="auto"/>
              <w:jc w:val="center"/>
              <w:rPr>
                <w:rFonts w:eastAsia="Times New Roman" w:cs="Calibri"/>
                <w:noProof/>
              </w:rPr>
            </w:pPr>
            <w:r>
              <w:rPr>
                <w:noProof/>
              </w:rPr>
              <w:t>19.14</w:t>
            </w:r>
          </w:p>
        </w:tc>
        <w:tc>
          <w:tcPr>
            <w:tcW w:w="1211" w:type="dxa"/>
            <w:shd w:val="clear" w:color="auto" w:fill="C4EFCE"/>
            <w:noWrap/>
            <w:vAlign w:val="center"/>
            <w:hideMark/>
          </w:tcPr>
          <w:p w14:paraId="0826B3A0" w14:textId="77777777" w:rsidR="00F24946" w:rsidRDefault="00613B06">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4FC5A95C"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6CFF1D03" w14:textId="77777777" w:rsidR="00F24946" w:rsidRDefault="00613B06">
            <w:pPr>
              <w:pStyle w:val="P68B1DB1-Normal8"/>
              <w:spacing w:after="0" w:line="240" w:lineRule="auto"/>
              <w:jc w:val="center"/>
              <w:rPr>
                <w:rFonts w:eastAsia="Times New Roman" w:cs="Calibri"/>
                <w:noProof/>
              </w:rPr>
            </w:pPr>
            <w:r>
              <w:rPr>
                <w:noProof/>
              </w:rPr>
              <w:t>Nadgradnja informacijskega sistema varnostnih sil in služb</w:t>
            </w:r>
          </w:p>
        </w:tc>
        <w:tc>
          <w:tcPr>
            <w:tcW w:w="1343" w:type="dxa"/>
            <w:shd w:val="clear" w:color="auto" w:fill="C4EFCE"/>
            <w:noWrap/>
            <w:vAlign w:val="center"/>
            <w:hideMark/>
          </w:tcPr>
          <w:p w14:paraId="12090031" w14:textId="77777777" w:rsidR="00F24946" w:rsidRDefault="00613B06">
            <w:pPr>
              <w:pStyle w:val="P68B1DB1-Normal8"/>
              <w:spacing w:after="0" w:line="240" w:lineRule="auto"/>
              <w:jc w:val="center"/>
              <w:rPr>
                <w:rFonts w:eastAsia="Times New Roman" w:cs="Calibri"/>
                <w:noProof/>
              </w:rPr>
            </w:pPr>
            <w:r>
              <w:rPr>
                <w:noProof/>
              </w:rPr>
              <w:t>Nadgradnja informacijskih sistemov varnostnih sil in služb</w:t>
            </w:r>
          </w:p>
        </w:tc>
        <w:tc>
          <w:tcPr>
            <w:tcW w:w="1134" w:type="dxa"/>
            <w:shd w:val="clear" w:color="auto" w:fill="C4EFCE"/>
            <w:noWrap/>
            <w:vAlign w:val="center"/>
            <w:hideMark/>
          </w:tcPr>
          <w:p w14:paraId="7E591444" w14:textId="77777777" w:rsidR="00F24946" w:rsidRDefault="00613B06">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3A6B64F2"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450C75A6"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A0A4410" w14:textId="77777777" w:rsidR="00F24946" w:rsidRDefault="00613B06">
            <w:pPr>
              <w:pStyle w:val="P68B1DB1-Normal8"/>
              <w:spacing w:after="0" w:line="240" w:lineRule="auto"/>
              <w:jc w:val="center"/>
              <w:rPr>
                <w:rFonts w:eastAsia="Times New Roman" w:cs="Calibri"/>
                <w:noProof/>
              </w:rPr>
            </w:pPr>
            <w:r>
              <w:rPr>
                <w:noProof/>
              </w:rPr>
              <w:t xml:space="preserve">Q4 </w:t>
            </w:r>
          </w:p>
        </w:tc>
        <w:tc>
          <w:tcPr>
            <w:tcW w:w="682" w:type="dxa"/>
            <w:shd w:val="clear" w:color="auto" w:fill="C4EFCE"/>
            <w:noWrap/>
            <w:vAlign w:val="center"/>
            <w:hideMark/>
          </w:tcPr>
          <w:p w14:paraId="46E1DCB9" w14:textId="77777777" w:rsidR="00F24946" w:rsidRDefault="00613B06">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hideMark/>
          </w:tcPr>
          <w:p w14:paraId="73F537E7" w14:textId="77777777" w:rsidR="00F24946" w:rsidRDefault="00613B06">
            <w:pPr>
              <w:pStyle w:val="P68B1DB1-Normal8"/>
              <w:spacing w:after="0" w:line="240" w:lineRule="auto"/>
              <w:jc w:val="both"/>
              <w:rPr>
                <w:rFonts w:eastAsia="Times New Roman" w:cs="Calibri"/>
                <w:noProof/>
              </w:rPr>
            </w:pPr>
            <w:r>
              <w:rPr>
                <w:noProof/>
              </w:rPr>
              <w:t xml:space="preserve">Nadgradnja informacijskih sistemov varnostnih sil in služb: </w:t>
            </w:r>
          </w:p>
          <w:p w14:paraId="61DD86E9" w14:textId="0DD5A6A7" w:rsidR="00F24946" w:rsidRDefault="00613B06">
            <w:pPr>
              <w:pStyle w:val="P68B1DB1-Normal8"/>
              <w:spacing w:after="0" w:line="240" w:lineRule="auto"/>
              <w:jc w:val="both"/>
              <w:rPr>
                <w:rFonts w:eastAsia="Times New Roman" w:cs="Calibri"/>
                <w:noProof/>
              </w:rPr>
            </w:pPr>
            <w:r>
              <w:rPr>
                <w:noProof/>
              </w:rPr>
              <w:t>a) Začetek delovanja prenovljenih informacijskih sistemov SEF (upravljanje in nadzor meja, policijsko in pravosodno sodelovanje ter skupni evropski azilni sistem) b) skupne storitve IT v varnostnih silah in službah</w:t>
            </w:r>
          </w:p>
        </w:tc>
      </w:tr>
      <w:tr w:rsidR="00F24946" w14:paraId="09BA9EDE" w14:textId="77777777">
        <w:trPr>
          <w:trHeight w:val="640"/>
        </w:trPr>
        <w:tc>
          <w:tcPr>
            <w:tcW w:w="1082" w:type="dxa"/>
            <w:shd w:val="clear" w:color="auto" w:fill="C4EFCE"/>
            <w:vAlign w:val="center"/>
            <w:hideMark/>
          </w:tcPr>
          <w:p w14:paraId="6AD2F9D4" w14:textId="77777777" w:rsidR="00F24946" w:rsidRDefault="00613B06">
            <w:pPr>
              <w:pStyle w:val="P68B1DB1-Normal7"/>
              <w:spacing w:after="0" w:line="240" w:lineRule="auto"/>
              <w:jc w:val="center"/>
              <w:rPr>
                <w:rFonts w:eastAsia="Times New Roman" w:cs="Calibri"/>
                <w:noProof/>
              </w:rPr>
            </w:pPr>
            <w:r>
              <w:rPr>
                <w:noProof/>
              </w:rPr>
              <w:t>19.15</w:t>
            </w:r>
          </w:p>
        </w:tc>
        <w:tc>
          <w:tcPr>
            <w:tcW w:w="1211" w:type="dxa"/>
            <w:shd w:val="clear" w:color="auto" w:fill="C4EFCE"/>
            <w:noWrap/>
            <w:vAlign w:val="center"/>
            <w:hideMark/>
          </w:tcPr>
          <w:p w14:paraId="3AC7180D" w14:textId="77777777" w:rsidR="00F24946" w:rsidRDefault="00613B06">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02F28311"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C9ADC93" w14:textId="77777777" w:rsidR="00F24946" w:rsidRDefault="00613B06">
            <w:pPr>
              <w:pStyle w:val="P68B1DB1-Normal8"/>
              <w:spacing w:after="0" w:line="240" w:lineRule="auto"/>
              <w:jc w:val="center"/>
              <w:rPr>
                <w:rFonts w:eastAsia="Times New Roman" w:cs="Calibri"/>
                <w:noProof/>
              </w:rPr>
            </w:pPr>
            <w:r>
              <w:rPr>
                <w:noProof/>
              </w:rPr>
              <w:t>Okrepitev vladnega centra za upravljanje informacijskih omrežij (RING)</w:t>
            </w:r>
          </w:p>
        </w:tc>
        <w:tc>
          <w:tcPr>
            <w:tcW w:w="1343" w:type="dxa"/>
            <w:shd w:val="clear" w:color="auto" w:fill="C4EFCE"/>
            <w:noWrap/>
            <w:vAlign w:val="center"/>
            <w:hideMark/>
          </w:tcPr>
          <w:p w14:paraId="4C0CAC20" w14:textId="77777777" w:rsidR="00F24946" w:rsidRDefault="00613B06">
            <w:pPr>
              <w:pStyle w:val="P68B1DB1-Normal8"/>
              <w:spacing w:after="0" w:line="240" w:lineRule="auto"/>
              <w:jc w:val="center"/>
              <w:rPr>
                <w:rFonts w:eastAsia="Times New Roman" w:cs="Calibri"/>
                <w:noProof/>
              </w:rPr>
            </w:pPr>
            <w:r>
              <w:rPr>
                <w:noProof/>
              </w:rPr>
              <w:t xml:space="preserve"> Okrepitev vladnega centra za upravljanje informacijskih omrežij (RING) </w:t>
            </w:r>
          </w:p>
        </w:tc>
        <w:tc>
          <w:tcPr>
            <w:tcW w:w="1134" w:type="dxa"/>
            <w:shd w:val="clear" w:color="auto" w:fill="C4EFCE"/>
            <w:noWrap/>
            <w:vAlign w:val="center"/>
            <w:hideMark/>
          </w:tcPr>
          <w:p w14:paraId="1D34255D" w14:textId="77777777" w:rsidR="00F24946" w:rsidRDefault="00613B06">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748A1D2D"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18E309F"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76EC258A"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5C6920FB"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8233525" w14:textId="77777777" w:rsidR="00F24946" w:rsidRDefault="00613B06">
            <w:pPr>
              <w:pStyle w:val="P68B1DB1-Normal8"/>
              <w:spacing w:after="0" w:line="240" w:lineRule="auto"/>
              <w:jc w:val="both"/>
              <w:rPr>
                <w:rFonts w:eastAsia="Times New Roman" w:cs="Calibri"/>
                <w:noProof/>
              </w:rPr>
            </w:pPr>
            <w:r>
              <w:rPr>
                <w:noProof/>
              </w:rPr>
              <w:t xml:space="preserve">Cilj je okrepiti RING z nadgradnjo petih ključnih tehnoloških infrastruktur RING (zaščita protipožarnega zidu; računalništvo, shranjevanje in varnostno kopiranje; Telefonija VoIP; videokonference; in ekosistem aplikacij) in oblaka) ter nadgradnja razvoja glavnih informacijskih sistemov </w:t>
            </w:r>
          </w:p>
        </w:tc>
      </w:tr>
      <w:tr w:rsidR="00F24946" w14:paraId="0767329D" w14:textId="77777777">
        <w:trPr>
          <w:trHeight w:val="953"/>
        </w:trPr>
        <w:tc>
          <w:tcPr>
            <w:tcW w:w="1082" w:type="dxa"/>
            <w:shd w:val="clear" w:color="auto" w:fill="C4EFCE"/>
            <w:vAlign w:val="center"/>
          </w:tcPr>
          <w:p w14:paraId="18FB6E3B" w14:textId="16CADAA5" w:rsidR="00F24946" w:rsidRDefault="00613B06">
            <w:pPr>
              <w:pStyle w:val="P68B1DB1-Normal7"/>
              <w:spacing w:after="0" w:line="240" w:lineRule="auto"/>
              <w:jc w:val="center"/>
              <w:rPr>
                <w:rFonts w:eastAsia="Times New Roman" w:cs="Calibri"/>
                <w:noProof/>
              </w:rPr>
            </w:pPr>
            <w:r>
              <w:rPr>
                <w:noProof/>
              </w:rPr>
              <w:t>19.28</w:t>
            </w:r>
          </w:p>
        </w:tc>
        <w:tc>
          <w:tcPr>
            <w:tcW w:w="1211" w:type="dxa"/>
            <w:shd w:val="clear" w:color="auto" w:fill="C4EFCE"/>
            <w:noWrap/>
            <w:vAlign w:val="center"/>
          </w:tcPr>
          <w:p w14:paraId="00C07FA4" w14:textId="7F329DC4" w:rsidR="00F24946" w:rsidRDefault="00613B06">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73ED5E83" w14:textId="53DB6063"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744FC0AC" w14:textId="7F580C3A" w:rsidR="00F24946" w:rsidRDefault="00613B06">
            <w:pPr>
              <w:pStyle w:val="P68B1DB1-Normal8"/>
              <w:spacing w:after="0" w:line="240" w:lineRule="auto"/>
              <w:jc w:val="center"/>
              <w:rPr>
                <w:rFonts w:eastAsia="Times New Roman" w:cs="Calibri"/>
                <w:noProof/>
              </w:rPr>
            </w:pPr>
            <w:r>
              <w:rPr>
                <w:noProof/>
              </w:rPr>
              <w:t xml:space="preserve">Funkcionalni prototip za centralizirano rešitev za upravljanje podatkov </w:t>
            </w:r>
          </w:p>
        </w:tc>
        <w:tc>
          <w:tcPr>
            <w:tcW w:w="1343" w:type="dxa"/>
            <w:shd w:val="clear" w:color="auto" w:fill="C4EFCE"/>
            <w:noWrap/>
            <w:vAlign w:val="center"/>
          </w:tcPr>
          <w:p w14:paraId="329F803E" w14:textId="193C5F33" w:rsidR="00F24946" w:rsidRDefault="00613B06">
            <w:pPr>
              <w:pStyle w:val="P68B1DB1-Normal8"/>
              <w:spacing w:after="0" w:line="240" w:lineRule="auto"/>
              <w:jc w:val="center"/>
              <w:rPr>
                <w:rFonts w:eastAsia="Times New Roman" w:cs="Calibri"/>
                <w:noProof/>
              </w:rPr>
            </w:pPr>
            <w:r>
              <w:rPr>
                <w:noProof/>
              </w:rPr>
              <w:t>Funkcionalni prototip deluje</w:t>
            </w:r>
          </w:p>
        </w:tc>
        <w:tc>
          <w:tcPr>
            <w:tcW w:w="1134" w:type="dxa"/>
            <w:shd w:val="clear" w:color="auto" w:fill="C4EFCE"/>
            <w:noWrap/>
            <w:vAlign w:val="center"/>
          </w:tcPr>
          <w:p w14:paraId="2C07AACF" w14:textId="77777777" w:rsidR="00F24946" w:rsidRDefault="00F24946">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3D308A56" w14:textId="77777777"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A37D57E" w14:textId="77777777" w:rsidR="00F24946" w:rsidRDefault="00F24946">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1B060ADB" w14:textId="3C1CE63E"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tcPr>
          <w:p w14:paraId="51DB435B" w14:textId="3BB9B3A3" w:rsidR="00F24946" w:rsidRDefault="00613B06">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5E2D4942" w14:textId="77777777" w:rsidR="00F24946" w:rsidRDefault="00613B06">
            <w:pPr>
              <w:pStyle w:val="P68B1DB1-Normal8"/>
              <w:tabs>
                <w:tab w:val="left" w:pos="710"/>
                <w:tab w:val="right" w:pos="1963"/>
              </w:tabs>
              <w:spacing w:after="0" w:line="240" w:lineRule="auto"/>
              <w:jc w:val="both"/>
              <w:rPr>
                <w:rFonts w:eastAsia="Times New Roman" w:cs="Calibri"/>
                <w:noProof/>
              </w:rPr>
            </w:pPr>
            <w:r>
              <w:rPr>
                <w:noProof/>
              </w:rPr>
              <w:t>Izstrelitev funkcionalnega prototipa. Prototip lahko simulira naslednje funkcije:</w:t>
            </w:r>
          </w:p>
          <w:p w14:paraId="0A60490A" w14:textId="77777777" w:rsidR="00F24946" w:rsidRDefault="00613B06">
            <w:pPr>
              <w:pStyle w:val="P68B1DB1-Normal8"/>
              <w:tabs>
                <w:tab w:val="left" w:pos="710"/>
                <w:tab w:val="right" w:pos="1963"/>
              </w:tabs>
              <w:spacing w:after="0" w:line="240" w:lineRule="auto"/>
              <w:jc w:val="both"/>
              <w:rPr>
                <w:rFonts w:eastAsia="Times New Roman" w:cs="Calibri"/>
                <w:noProof/>
              </w:rPr>
            </w:pPr>
            <w:r>
              <w:rPr>
                <w:noProof/>
              </w:rPr>
              <w:t>Oblikovanje orodij za odkrivanje neučinkovitosti, goljufij in drugih področij tveganja z algoritmi umetne inteligence;</w:t>
            </w:r>
          </w:p>
          <w:p w14:paraId="2ADEB2DD" w14:textId="77777777" w:rsidR="00F24946" w:rsidRDefault="00613B06">
            <w:pPr>
              <w:pStyle w:val="P68B1DB1-Normal8"/>
              <w:spacing w:after="0" w:line="240" w:lineRule="auto"/>
              <w:jc w:val="both"/>
              <w:rPr>
                <w:rFonts w:eastAsia="Times New Roman" w:cs="Calibri"/>
                <w:noProof/>
              </w:rPr>
            </w:pPr>
            <w:r>
              <w:rPr>
                <w:noProof/>
              </w:rPr>
              <w:t xml:space="preserve">—Zagotavljanje dostopa do storitev umetne inteligence na različnih področjih javne uprave </w:t>
            </w:r>
          </w:p>
          <w:p w14:paraId="63B3E50E" w14:textId="567A0FC0" w:rsidR="00F24946" w:rsidRDefault="00613B06">
            <w:pPr>
              <w:pStyle w:val="P68B1DB1-Normal8"/>
              <w:spacing w:after="0" w:line="240" w:lineRule="auto"/>
              <w:jc w:val="both"/>
              <w:rPr>
                <w:rFonts w:eastAsia="Times New Roman" w:cs="Calibri"/>
                <w:noProof/>
              </w:rPr>
            </w:pPr>
            <w:r>
              <w:rPr>
                <w:noProof/>
              </w:rPr>
              <w:t>Avtomatizirati sprejemanje odločitev na različnih področjih javne uprave.</w:t>
            </w:r>
          </w:p>
        </w:tc>
      </w:tr>
      <w:tr w:rsidR="00F24946" w14:paraId="5CB7E1C4" w14:textId="77777777">
        <w:trPr>
          <w:trHeight w:val="953"/>
        </w:trPr>
        <w:tc>
          <w:tcPr>
            <w:tcW w:w="1082" w:type="dxa"/>
            <w:shd w:val="clear" w:color="auto" w:fill="C4EFCE"/>
            <w:vAlign w:val="center"/>
            <w:hideMark/>
          </w:tcPr>
          <w:p w14:paraId="576D56A1" w14:textId="77777777" w:rsidR="00F24946" w:rsidRDefault="00613B06">
            <w:pPr>
              <w:pStyle w:val="P68B1DB1-Normal7"/>
              <w:spacing w:after="0" w:line="240" w:lineRule="auto"/>
              <w:jc w:val="center"/>
              <w:rPr>
                <w:rFonts w:eastAsia="Times New Roman" w:cs="Calibri"/>
                <w:noProof/>
              </w:rPr>
            </w:pPr>
            <w:r>
              <w:rPr>
                <w:noProof/>
              </w:rPr>
              <w:t>19.16</w:t>
            </w:r>
          </w:p>
        </w:tc>
        <w:tc>
          <w:tcPr>
            <w:tcW w:w="1211" w:type="dxa"/>
            <w:shd w:val="clear" w:color="auto" w:fill="C4EFCE"/>
            <w:noWrap/>
            <w:vAlign w:val="center"/>
            <w:hideMark/>
          </w:tcPr>
          <w:p w14:paraId="18A1503B" w14:textId="77777777" w:rsidR="00F24946" w:rsidRDefault="00613B06">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7F8FB6EE"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769BDF3" w14:textId="77777777" w:rsidR="00F24946" w:rsidRDefault="00613B06">
            <w:pPr>
              <w:pStyle w:val="P68B1DB1-Normal8"/>
              <w:spacing w:after="0" w:line="240" w:lineRule="auto"/>
              <w:jc w:val="center"/>
              <w:rPr>
                <w:rFonts w:eastAsia="Times New Roman" w:cs="Calibri"/>
                <w:noProof/>
              </w:rPr>
            </w:pPr>
            <w:r>
              <w:rPr>
                <w:noProof/>
              </w:rPr>
              <w:t>Javne storitve za državljane, obiskovalce in podjetja v ARM</w:t>
            </w:r>
          </w:p>
        </w:tc>
        <w:tc>
          <w:tcPr>
            <w:tcW w:w="1343" w:type="dxa"/>
            <w:shd w:val="clear" w:color="auto" w:fill="C4EFCE"/>
            <w:noWrap/>
            <w:vAlign w:val="center"/>
            <w:hideMark/>
          </w:tcPr>
          <w:p w14:paraId="3EA8E5EC"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08975FC"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648029EC"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3D539CC" w14:textId="77777777" w:rsidR="00F24946" w:rsidRDefault="00613B06">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461712A3" w14:textId="77777777" w:rsidR="00F24946" w:rsidRDefault="00613B06">
            <w:pPr>
              <w:pStyle w:val="P68B1DB1-Normal8"/>
              <w:spacing w:after="0" w:line="240" w:lineRule="auto"/>
              <w:jc w:val="center"/>
              <w:rPr>
                <w:rFonts w:eastAsia="Times New Roman" w:cs="Calibri"/>
                <w:noProof/>
              </w:rPr>
            </w:pPr>
            <w:r>
              <w:rPr>
                <w:noProof/>
              </w:rPr>
              <w:t>Q2</w:t>
            </w:r>
          </w:p>
        </w:tc>
        <w:tc>
          <w:tcPr>
            <w:tcW w:w="682" w:type="dxa"/>
            <w:shd w:val="clear" w:color="auto" w:fill="C4EFCE"/>
            <w:noWrap/>
            <w:vAlign w:val="center"/>
            <w:hideMark/>
          </w:tcPr>
          <w:p w14:paraId="7E32D4A6" w14:textId="77777777" w:rsidR="00F24946" w:rsidRDefault="00613B06">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7F14D18C" w14:textId="77777777" w:rsidR="00F24946" w:rsidRDefault="00613B06">
            <w:pPr>
              <w:pStyle w:val="P68B1DB1-Normal8"/>
              <w:spacing w:after="0" w:line="240" w:lineRule="auto"/>
              <w:jc w:val="both"/>
              <w:rPr>
                <w:rFonts w:eastAsia="Times New Roman" w:cs="Calibri"/>
                <w:noProof/>
              </w:rPr>
            </w:pPr>
            <w:r>
              <w:rPr>
                <w:noProof/>
              </w:rPr>
              <w:t>Število novih poenostavljenih digitaliziranih javnih storitev, ki so na voljo državljanom in podjetjem</w:t>
            </w:r>
          </w:p>
        </w:tc>
      </w:tr>
      <w:tr w:rsidR="00F24946" w14:paraId="4DDCEA50" w14:textId="77777777">
        <w:trPr>
          <w:trHeight w:val="290"/>
        </w:trPr>
        <w:tc>
          <w:tcPr>
            <w:tcW w:w="1082" w:type="dxa"/>
            <w:shd w:val="clear" w:color="auto" w:fill="C4EFCE"/>
            <w:vAlign w:val="center"/>
            <w:hideMark/>
          </w:tcPr>
          <w:p w14:paraId="155D0A6D" w14:textId="77777777" w:rsidR="00F24946" w:rsidRDefault="00613B06">
            <w:pPr>
              <w:pStyle w:val="P68B1DB1-Normal7"/>
              <w:spacing w:after="0" w:line="240" w:lineRule="auto"/>
              <w:jc w:val="center"/>
              <w:rPr>
                <w:rFonts w:eastAsia="Times New Roman" w:cs="Calibri"/>
                <w:noProof/>
              </w:rPr>
            </w:pPr>
            <w:r>
              <w:rPr>
                <w:noProof/>
              </w:rPr>
              <w:t>19.17</w:t>
            </w:r>
          </w:p>
        </w:tc>
        <w:tc>
          <w:tcPr>
            <w:tcW w:w="1211" w:type="dxa"/>
            <w:shd w:val="clear" w:color="auto" w:fill="C4EFCE"/>
            <w:noWrap/>
            <w:vAlign w:val="center"/>
            <w:hideMark/>
          </w:tcPr>
          <w:p w14:paraId="2D65B27E" w14:textId="77777777" w:rsidR="00F24946" w:rsidRDefault="00613B06">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317D5CC6"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15CD8F8" w14:textId="77777777" w:rsidR="00F24946" w:rsidRDefault="00613B06">
            <w:pPr>
              <w:pStyle w:val="P68B1DB1-Normal8"/>
              <w:spacing w:after="0" w:line="240" w:lineRule="auto"/>
              <w:jc w:val="center"/>
              <w:rPr>
                <w:rFonts w:eastAsia="Times New Roman" w:cs="Calibri"/>
                <w:noProof/>
              </w:rPr>
            </w:pPr>
            <w:r>
              <w:rPr>
                <w:noProof/>
              </w:rPr>
              <w:t>Posodobitev kritične infrastrukture in računalniške arhitekture javnih storitev v ARM</w:t>
            </w:r>
          </w:p>
        </w:tc>
        <w:tc>
          <w:tcPr>
            <w:tcW w:w="1343" w:type="dxa"/>
            <w:shd w:val="clear" w:color="auto" w:fill="C4EFCE"/>
            <w:noWrap/>
            <w:vAlign w:val="center"/>
            <w:hideMark/>
          </w:tcPr>
          <w:p w14:paraId="51FC6F0B" w14:textId="77777777" w:rsidR="00F24946" w:rsidRDefault="00613B06">
            <w:pPr>
              <w:pStyle w:val="P68B1DB1-Normal8"/>
              <w:spacing w:after="0" w:line="240" w:lineRule="auto"/>
              <w:jc w:val="center"/>
              <w:rPr>
                <w:rFonts w:eastAsia="Times New Roman" w:cs="Calibri"/>
                <w:noProof/>
              </w:rPr>
            </w:pPr>
            <w:r>
              <w:rPr>
                <w:noProof/>
              </w:rPr>
              <w:t>Posodobitev kritične infrastrukture in računalniške arhitekture javnih storitev v ARM</w:t>
            </w:r>
          </w:p>
        </w:tc>
        <w:tc>
          <w:tcPr>
            <w:tcW w:w="1134" w:type="dxa"/>
            <w:shd w:val="clear" w:color="auto" w:fill="C4EFCE"/>
            <w:noWrap/>
            <w:vAlign w:val="center"/>
            <w:hideMark/>
          </w:tcPr>
          <w:p w14:paraId="5C3CE7BD" w14:textId="77777777" w:rsidR="00F24946" w:rsidRDefault="00613B06">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7932955"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53A57C64"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EA1F25B" w14:textId="77777777" w:rsidR="00F24946" w:rsidRDefault="00613B06">
            <w:pPr>
              <w:pStyle w:val="P68B1DB1-Normal8"/>
              <w:spacing w:after="0" w:line="240" w:lineRule="auto"/>
              <w:jc w:val="center"/>
              <w:rPr>
                <w:rFonts w:eastAsia="Times New Roman" w:cs="Calibri"/>
                <w:noProof/>
              </w:rPr>
            </w:pPr>
            <w:r>
              <w:rPr>
                <w:noProof/>
              </w:rPr>
              <w:t>Q2</w:t>
            </w:r>
          </w:p>
        </w:tc>
        <w:tc>
          <w:tcPr>
            <w:tcW w:w="682" w:type="dxa"/>
            <w:shd w:val="clear" w:color="auto" w:fill="C4EFCE"/>
            <w:noWrap/>
            <w:vAlign w:val="center"/>
            <w:hideMark/>
          </w:tcPr>
          <w:p w14:paraId="75DB415B" w14:textId="77777777" w:rsidR="00F24946" w:rsidRDefault="00613B06">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639F5DC3" w14:textId="77777777" w:rsidR="00F24946" w:rsidRDefault="00613B06">
            <w:pPr>
              <w:pStyle w:val="P68B1DB1-Normal12"/>
              <w:spacing w:after="0" w:line="240" w:lineRule="auto"/>
              <w:jc w:val="both"/>
              <w:rPr>
                <w:rFonts w:ascii="Times New Roman" w:eastAsia="Times New Roman" w:hAnsi="Times New Roman" w:cs="Times New Roman"/>
                <w:noProof/>
              </w:rPr>
            </w:pPr>
            <w:r>
              <w:rPr>
                <w:rFonts w:ascii="Calibri" w:hAnsi="Calibri"/>
                <w:noProof/>
              </w:rPr>
              <w:t>Dokončanje digitalnega prehoda v javni upravi ARM, ki vključuje:</w:t>
            </w:r>
            <w:r>
              <w:rPr>
                <w:rFonts w:ascii="Times New Roman" w:hAnsi="Times New Roman"/>
                <w:noProof/>
              </w:rPr>
              <w:t xml:space="preserve"> </w:t>
            </w:r>
          </w:p>
          <w:p w14:paraId="67185D7F" w14:textId="4DEDF20E" w:rsidR="00F24946" w:rsidRDefault="00613B06">
            <w:pPr>
              <w:pStyle w:val="P68B1DB1-Normal8"/>
              <w:spacing w:after="0" w:line="240" w:lineRule="auto"/>
              <w:jc w:val="both"/>
              <w:rPr>
                <w:rFonts w:eastAsia="Times New Roman" w:cs="Calibri"/>
                <w:noProof/>
              </w:rPr>
            </w:pPr>
            <w:r>
              <w:rPr>
                <w:noProof/>
              </w:rPr>
              <w:t xml:space="preserve">Vzpostavitev zasebnega omrežja 5G </w:t>
            </w:r>
          </w:p>
          <w:p w14:paraId="55AFBD4F" w14:textId="77777777" w:rsidR="00F24946" w:rsidRDefault="00613B06">
            <w:pPr>
              <w:pStyle w:val="P68B1DB1-Normal8"/>
              <w:spacing w:after="0" w:line="240" w:lineRule="auto"/>
              <w:jc w:val="both"/>
              <w:rPr>
                <w:rFonts w:eastAsia="Times New Roman" w:cs="Calibri"/>
                <w:noProof/>
              </w:rPr>
            </w:pPr>
            <w:r>
              <w:rPr>
                <w:noProof/>
              </w:rPr>
              <w:t xml:space="preserve">Mobilni kontrolni nadzorni center za gozdne požare </w:t>
            </w:r>
          </w:p>
          <w:p w14:paraId="5710C4B7" w14:textId="77777777" w:rsidR="00F24946" w:rsidRDefault="00613B06">
            <w:pPr>
              <w:pStyle w:val="P68B1DB1-Normal8"/>
              <w:spacing w:after="0" w:line="240" w:lineRule="auto"/>
              <w:jc w:val="both"/>
              <w:rPr>
                <w:rFonts w:eastAsia="Times New Roman" w:cs="Calibri"/>
                <w:noProof/>
              </w:rPr>
            </w:pPr>
            <w:r>
              <w:rPr>
                <w:noProof/>
              </w:rPr>
              <w:t xml:space="preserve">Centralizacija in obnova obstoječih podatkovnih centrov regionalne javne uprave </w:t>
            </w:r>
          </w:p>
          <w:p w14:paraId="2D032E34" w14:textId="77777777" w:rsidR="00F24946" w:rsidRDefault="00613B06">
            <w:pPr>
              <w:pStyle w:val="P68B1DB1-Normal8"/>
              <w:spacing w:after="0" w:line="240" w:lineRule="auto"/>
              <w:jc w:val="both"/>
              <w:rPr>
                <w:rFonts w:eastAsia="Times New Roman" w:cs="Calibri"/>
                <w:noProof/>
              </w:rPr>
            </w:pPr>
            <w:r>
              <w:rPr>
                <w:noProof/>
              </w:rPr>
              <w:t xml:space="preserve">Izvajanje arhitekture kibernetske varnosti (glej predlog 34) </w:t>
            </w:r>
          </w:p>
          <w:p w14:paraId="67CCB2DC" w14:textId="7CD81F5F" w:rsidR="00F24946" w:rsidRDefault="00613B06">
            <w:pPr>
              <w:pStyle w:val="P68B1DB1-Normal8"/>
              <w:spacing w:after="0" w:line="240" w:lineRule="auto"/>
              <w:jc w:val="both"/>
              <w:rPr>
                <w:rFonts w:eastAsia="Times New Roman" w:cs="Calibri"/>
                <w:noProof/>
              </w:rPr>
            </w:pPr>
            <w:r>
              <w:rPr>
                <w:noProof/>
              </w:rPr>
              <w:t xml:space="preserve">Povezljivost v stavbah regionalne javne uprave Digitalna orodja za mobilnost za zaposlene v javnem sektorju </w:t>
            </w:r>
          </w:p>
          <w:p w14:paraId="30F48F65" w14:textId="77777777" w:rsidR="00F24946" w:rsidRDefault="00613B06">
            <w:pPr>
              <w:pStyle w:val="P68B1DB1-Normal8"/>
              <w:spacing w:after="0" w:line="240" w:lineRule="auto"/>
              <w:jc w:val="both"/>
              <w:rPr>
                <w:rFonts w:eastAsia="Times New Roman" w:cs="Calibri"/>
                <w:noProof/>
              </w:rPr>
            </w:pPr>
            <w:r>
              <w:rPr>
                <w:noProof/>
              </w:rPr>
              <w:t xml:space="preserve">Digitalno usposabljanje za zaposlene v javnem sektorju </w:t>
            </w:r>
          </w:p>
          <w:p w14:paraId="03CB00E5" w14:textId="77777777" w:rsidR="00F24946" w:rsidRDefault="00613B06">
            <w:pPr>
              <w:pStyle w:val="P68B1DB1-Normal8"/>
              <w:spacing w:after="0" w:line="240" w:lineRule="auto"/>
              <w:jc w:val="both"/>
              <w:rPr>
                <w:rFonts w:eastAsia="Times New Roman" w:cs="Calibri"/>
                <w:noProof/>
              </w:rPr>
            </w:pPr>
            <w:r>
              <w:rPr>
                <w:noProof/>
              </w:rPr>
              <w:t xml:space="preserve">Vzpostavitev informacijskega sistema za upravljanje javnih financ </w:t>
            </w:r>
          </w:p>
          <w:p w14:paraId="596B0D1F" w14:textId="77777777" w:rsidR="00F24946" w:rsidRDefault="00613B06">
            <w:pPr>
              <w:pStyle w:val="P68B1DB1-Normal8"/>
              <w:spacing w:after="0" w:line="240" w:lineRule="auto"/>
              <w:jc w:val="both"/>
              <w:rPr>
                <w:rFonts w:eastAsia="Times New Roman" w:cs="Calibri"/>
                <w:noProof/>
              </w:rPr>
            </w:pPr>
            <w:r>
              <w:rPr>
                <w:noProof/>
              </w:rPr>
              <w:t>Vzpostavitev sistema upravljanja javnega premoženja</w:t>
            </w:r>
          </w:p>
          <w:p w14:paraId="5268118F" w14:textId="77777777" w:rsidR="00F24946" w:rsidRDefault="00613B06">
            <w:pPr>
              <w:pStyle w:val="P68B1DB1-Normal8"/>
              <w:spacing w:after="0" w:line="240" w:lineRule="auto"/>
              <w:jc w:val="both"/>
              <w:rPr>
                <w:rFonts w:eastAsia="Times New Roman" w:cs="Calibri"/>
                <w:noProof/>
              </w:rPr>
            </w:pPr>
            <w:r>
              <w:rPr>
                <w:noProof/>
              </w:rPr>
              <w:t>Interoperabilnost pravosodnega sistema ARM z nacionalnimi informacijskimi sistemi</w:t>
            </w:r>
          </w:p>
          <w:p w14:paraId="77673804" w14:textId="63E13982" w:rsidR="00F24946" w:rsidRDefault="00613B06">
            <w:pPr>
              <w:pStyle w:val="P68B1DB1-Normal8"/>
              <w:spacing w:after="0" w:line="240" w:lineRule="auto"/>
              <w:jc w:val="both"/>
              <w:rPr>
                <w:rFonts w:eastAsia="Times New Roman" w:cs="Calibri"/>
                <w:noProof/>
              </w:rPr>
            </w:pPr>
            <w:r>
              <w:rPr>
                <w:noProof/>
              </w:rPr>
              <w:t>Projekt pametnega AP povezuje</w:t>
            </w:r>
          </w:p>
        </w:tc>
      </w:tr>
      <w:tr w:rsidR="00F24946" w14:paraId="2A157D90" w14:textId="77777777">
        <w:trPr>
          <w:trHeight w:val="290"/>
        </w:trPr>
        <w:tc>
          <w:tcPr>
            <w:tcW w:w="1082" w:type="dxa"/>
            <w:shd w:val="clear" w:color="auto" w:fill="C4EFCE"/>
            <w:vAlign w:val="center"/>
          </w:tcPr>
          <w:p w14:paraId="1C82B8D6" w14:textId="5B16A76A" w:rsidR="00F24946" w:rsidRDefault="00613B06">
            <w:pPr>
              <w:pStyle w:val="P68B1DB1-Normal7"/>
              <w:spacing w:after="0" w:line="240" w:lineRule="auto"/>
              <w:jc w:val="center"/>
              <w:rPr>
                <w:rFonts w:eastAsia="Times New Roman" w:cs="Calibri"/>
                <w:noProof/>
              </w:rPr>
            </w:pPr>
            <w:r>
              <w:rPr>
                <w:noProof/>
              </w:rPr>
              <w:t>19.29</w:t>
            </w:r>
          </w:p>
        </w:tc>
        <w:tc>
          <w:tcPr>
            <w:tcW w:w="1211" w:type="dxa"/>
            <w:shd w:val="clear" w:color="auto" w:fill="C4EFCE"/>
            <w:noWrap/>
            <w:vAlign w:val="center"/>
          </w:tcPr>
          <w:p w14:paraId="5DF9BA4A" w14:textId="0F2186BF" w:rsidR="00F24946" w:rsidRDefault="00613B06">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506C8CD6" w14:textId="143AFCD2"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6F63D36B" w14:textId="3601B6F1" w:rsidR="00F24946" w:rsidRDefault="00613B06">
            <w:pPr>
              <w:pStyle w:val="P68B1DB1-Normal8"/>
              <w:spacing w:before="120" w:after="0" w:line="240" w:lineRule="auto"/>
              <w:jc w:val="both"/>
              <w:rPr>
                <w:rFonts w:eastAsia="Calibri" w:cs="Calibri"/>
                <w:noProof/>
              </w:rPr>
            </w:pPr>
            <w:r>
              <w:rPr>
                <w:noProof/>
              </w:rPr>
              <w:t>Rešitev za centralizirano upravljanje podatkov</w:t>
            </w:r>
          </w:p>
        </w:tc>
        <w:tc>
          <w:tcPr>
            <w:tcW w:w="1343" w:type="dxa"/>
            <w:shd w:val="clear" w:color="auto" w:fill="C4EFCE"/>
            <w:noWrap/>
            <w:vAlign w:val="center"/>
          </w:tcPr>
          <w:p w14:paraId="63B29C5E" w14:textId="7AD40D4B" w:rsidR="00F24946" w:rsidRDefault="00613B06">
            <w:pPr>
              <w:pStyle w:val="P68B1DB1-Normal8"/>
              <w:spacing w:after="0" w:line="240" w:lineRule="auto"/>
              <w:jc w:val="center"/>
              <w:rPr>
                <w:rFonts w:eastAsia="Calibri" w:cs="Calibri"/>
                <w:noProof/>
              </w:rPr>
            </w:pPr>
            <w:r>
              <w:rPr>
                <w:noProof/>
              </w:rPr>
              <w:t>Rešitev centraliziranega upravljanja podatkov operativna</w:t>
            </w:r>
          </w:p>
        </w:tc>
        <w:tc>
          <w:tcPr>
            <w:tcW w:w="1134" w:type="dxa"/>
            <w:shd w:val="clear" w:color="auto" w:fill="C4EFCE"/>
            <w:noWrap/>
            <w:vAlign w:val="center"/>
          </w:tcPr>
          <w:p w14:paraId="56259C96" w14:textId="77777777" w:rsidR="00F24946" w:rsidRDefault="00F24946">
            <w:pPr>
              <w:spacing w:after="0" w:line="240" w:lineRule="auto"/>
              <w:rPr>
                <w:rFonts w:ascii="Calibri" w:eastAsia="Times New Roman" w:hAnsi="Calibri" w:cs="Calibri"/>
                <w:noProof/>
                <w:sz w:val="16"/>
              </w:rPr>
            </w:pPr>
          </w:p>
        </w:tc>
        <w:tc>
          <w:tcPr>
            <w:tcW w:w="947" w:type="dxa"/>
            <w:shd w:val="clear" w:color="auto" w:fill="C4EFCE"/>
            <w:noWrap/>
            <w:vAlign w:val="center"/>
          </w:tcPr>
          <w:p w14:paraId="7BF5098B" w14:textId="77777777"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27C1EA6" w14:textId="77777777" w:rsidR="00F24946" w:rsidRDefault="00F24946">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6EB0713C" w14:textId="340EFCF8"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tcPr>
          <w:p w14:paraId="01F50E14" w14:textId="3E0B8059" w:rsidR="00F24946" w:rsidRDefault="00613B06">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5A47B065" w14:textId="77777777" w:rsidR="00F24946" w:rsidRDefault="00613B06">
            <w:pPr>
              <w:pStyle w:val="P68B1DB1-Normal8"/>
              <w:spacing w:after="0" w:line="240" w:lineRule="auto"/>
              <w:jc w:val="both"/>
              <w:rPr>
                <w:rFonts w:eastAsia="Calibri" w:cs="Calibri"/>
                <w:noProof/>
              </w:rPr>
            </w:pPr>
            <w:r>
              <w:rPr>
                <w:noProof/>
              </w:rPr>
              <w:t>Uvedba centralizirane rešitve za upravljanje podatkov. Izvajalec:</w:t>
            </w:r>
          </w:p>
          <w:p w14:paraId="0B46F946" w14:textId="77777777" w:rsidR="00F24946" w:rsidRDefault="00613B06">
            <w:pPr>
              <w:pStyle w:val="P68B1DB1-Normal8"/>
              <w:tabs>
                <w:tab w:val="left" w:pos="710"/>
                <w:tab w:val="right" w:pos="1963"/>
              </w:tabs>
              <w:spacing w:after="0" w:line="240" w:lineRule="auto"/>
              <w:jc w:val="both"/>
              <w:rPr>
                <w:rFonts w:eastAsia="Times New Roman" w:cs="Calibri"/>
                <w:noProof/>
              </w:rPr>
            </w:pPr>
            <w:r>
              <w:rPr>
                <w:noProof/>
              </w:rPr>
              <w:t>Oblikovanje orodij za odkrivanje neučinkovitosti, goljufij in drugih področij tveganja z algoritmi umetne inteligence;</w:t>
            </w:r>
          </w:p>
          <w:p w14:paraId="3CD59918" w14:textId="548FE233" w:rsidR="00F24946" w:rsidRDefault="00613B06">
            <w:pPr>
              <w:pStyle w:val="P68B1DB1-Normal8"/>
              <w:spacing w:after="0" w:line="240" w:lineRule="auto"/>
              <w:jc w:val="both"/>
              <w:rPr>
                <w:rFonts w:eastAsia="Times New Roman" w:cs="Calibri"/>
                <w:noProof/>
              </w:rPr>
            </w:pPr>
            <w:r>
              <w:rPr>
                <w:noProof/>
              </w:rPr>
              <w:t xml:space="preserve">—Zagotavljanje dostopa do storitev umetne inteligence na različnih področjih javne uprave </w:t>
            </w:r>
          </w:p>
          <w:p w14:paraId="3129C273" w14:textId="27DC1D7B" w:rsidR="00F24946" w:rsidRDefault="00613B06">
            <w:pPr>
              <w:pStyle w:val="P68B1DB1-Normal8"/>
              <w:spacing w:after="0" w:line="240" w:lineRule="auto"/>
              <w:jc w:val="both"/>
              <w:rPr>
                <w:rFonts w:eastAsia="Times New Roman" w:cs="Calibri"/>
                <w:noProof/>
              </w:rPr>
            </w:pPr>
            <w:r>
              <w:rPr>
                <w:noProof/>
              </w:rPr>
              <w:t>Avtomatizirati sprejemanje odločitev na različnih področjih javne uprave.</w:t>
            </w:r>
          </w:p>
        </w:tc>
      </w:tr>
      <w:tr w:rsidR="00F24946" w14:paraId="466B5AF3" w14:textId="77777777">
        <w:trPr>
          <w:trHeight w:val="290"/>
        </w:trPr>
        <w:tc>
          <w:tcPr>
            <w:tcW w:w="1082" w:type="dxa"/>
            <w:shd w:val="clear" w:color="auto" w:fill="C4EFCE"/>
            <w:vAlign w:val="center"/>
          </w:tcPr>
          <w:p w14:paraId="7C2288AD" w14:textId="6CE5E3E0" w:rsidR="00F24946" w:rsidRDefault="00613B06">
            <w:pPr>
              <w:pStyle w:val="P68B1DB1-Normal7"/>
              <w:spacing w:after="0" w:line="240" w:lineRule="auto"/>
              <w:jc w:val="center"/>
              <w:rPr>
                <w:rFonts w:eastAsia="Times New Roman" w:cs="Calibri"/>
                <w:noProof/>
              </w:rPr>
            </w:pPr>
            <w:r>
              <w:rPr>
                <w:noProof/>
              </w:rPr>
              <w:t>19.18</w:t>
            </w:r>
          </w:p>
        </w:tc>
        <w:tc>
          <w:tcPr>
            <w:tcW w:w="1211" w:type="dxa"/>
            <w:shd w:val="clear" w:color="auto" w:fill="C4EFCE"/>
            <w:noWrap/>
            <w:vAlign w:val="center"/>
          </w:tcPr>
          <w:p w14:paraId="53E2405E" w14:textId="254C07E6" w:rsidR="00F24946" w:rsidRDefault="00613B06">
            <w:pPr>
              <w:pStyle w:val="P68B1DB1-Normal8"/>
              <w:spacing w:after="0" w:line="240" w:lineRule="auto"/>
              <w:jc w:val="center"/>
              <w:rPr>
                <w:rFonts w:eastAsia="Times New Roman" w:cs="Calibri"/>
                <w:noProof/>
              </w:rPr>
            </w:pPr>
            <w:r>
              <w:rPr>
                <w:noProof/>
              </w:rPr>
              <w:t>TD-C19-i06-RAA</w:t>
            </w:r>
          </w:p>
        </w:tc>
        <w:tc>
          <w:tcPr>
            <w:tcW w:w="1080" w:type="dxa"/>
            <w:shd w:val="clear" w:color="auto" w:fill="C4EFCE"/>
            <w:noWrap/>
            <w:vAlign w:val="center"/>
          </w:tcPr>
          <w:p w14:paraId="29CC492A" w14:textId="79FE0E99"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1D1FA322" w14:textId="428C6462" w:rsidR="00F24946" w:rsidRDefault="00613B06">
            <w:pPr>
              <w:pStyle w:val="P68B1DB1-Normal8"/>
              <w:spacing w:before="120" w:after="0" w:line="240" w:lineRule="auto"/>
              <w:jc w:val="both"/>
              <w:rPr>
                <w:rFonts w:eastAsia="Calibri" w:cs="Calibri"/>
                <w:noProof/>
                <w:highlight w:val="cyan"/>
              </w:rPr>
            </w:pPr>
            <w:r>
              <w:rPr>
                <w:noProof/>
              </w:rPr>
              <w:t>Digitalizacija regionalne javne uprave ARA</w:t>
            </w:r>
          </w:p>
        </w:tc>
        <w:tc>
          <w:tcPr>
            <w:tcW w:w="1343" w:type="dxa"/>
            <w:shd w:val="clear" w:color="auto" w:fill="C4EFCE"/>
            <w:noWrap/>
            <w:vAlign w:val="center"/>
          </w:tcPr>
          <w:p w14:paraId="61C1FEC8" w14:textId="112CCC73" w:rsidR="00F24946" w:rsidRDefault="00613B06">
            <w:pPr>
              <w:pStyle w:val="P68B1DB1-Normal8"/>
              <w:spacing w:after="0" w:line="240" w:lineRule="auto"/>
              <w:jc w:val="center"/>
              <w:rPr>
                <w:rFonts w:eastAsia="Times New Roman" w:cs="Calibri"/>
                <w:noProof/>
              </w:rPr>
            </w:pPr>
            <w:r>
              <w:rPr>
                <w:noProof/>
              </w:rPr>
              <w:t>Digitalizacija regionalne javne uprave ARA</w:t>
            </w:r>
          </w:p>
        </w:tc>
        <w:tc>
          <w:tcPr>
            <w:tcW w:w="1134" w:type="dxa"/>
            <w:shd w:val="clear" w:color="auto" w:fill="C4EFCE"/>
            <w:noWrap/>
            <w:vAlign w:val="center"/>
          </w:tcPr>
          <w:p w14:paraId="6A5817AB" w14:textId="77777777" w:rsidR="00F24946" w:rsidRDefault="00F24946">
            <w:pPr>
              <w:spacing w:after="0" w:line="240" w:lineRule="auto"/>
              <w:rPr>
                <w:rFonts w:ascii="Calibri" w:eastAsia="Times New Roman" w:hAnsi="Calibri" w:cs="Calibri"/>
                <w:noProof/>
                <w:sz w:val="16"/>
              </w:rPr>
            </w:pPr>
          </w:p>
        </w:tc>
        <w:tc>
          <w:tcPr>
            <w:tcW w:w="947" w:type="dxa"/>
            <w:shd w:val="clear" w:color="auto" w:fill="C4EFCE"/>
            <w:noWrap/>
            <w:vAlign w:val="center"/>
          </w:tcPr>
          <w:p w14:paraId="5090F33B" w14:textId="77777777"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3CFFECA" w14:textId="77777777" w:rsidR="00F24946" w:rsidRDefault="00F24946">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3D6E7BDA" w14:textId="5384AC54"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tcPr>
          <w:p w14:paraId="52922652" w14:textId="077714E2" w:rsidR="00F24946" w:rsidRDefault="00613B06">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3D491425" w14:textId="77777777" w:rsidR="00F24946" w:rsidRDefault="00613B06">
            <w:pPr>
              <w:pStyle w:val="P68B1DB1-Normal8"/>
              <w:tabs>
                <w:tab w:val="left" w:pos="710"/>
                <w:tab w:val="right" w:pos="1963"/>
              </w:tabs>
              <w:spacing w:after="0" w:line="288" w:lineRule="auto"/>
              <w:jc w:val="both"/>
              <w:rPr>
                <w:rFonts w:eastAsia="Times New Roman" w:cs="Calibri"/>
                <w:noProof/>
              </w:rPr>
            </w:pPr>
            <w:r>
              <w:rPr>
                <w:noProof/>
              </w:rPr>
              <w:t xml:space="preserve">Zaključek petih projektov: </w:t>
            </w:r>
          </w:p>
          <w:p w14:paraId="5A78D913" w14:textId="77777777" w:rsidR="00F24946" w:rsidRDefault="00613B06">
            <w:pPr>
              <w:pStyle w:val="P68B1DB1-Normal8"/>
              <w:tabs>
                <w:tab w:val="left" w:pos="710"/>
                <w:tab w:val="right" w:pos="1963"/>
              </w:tabs>
              <w:spacing w:after="0" w:line="288" w:lineRule="auto"/>
              <w:jc w:val="both"/>
              <w:rPr>
                <w:rFonts w:eastAsia="Times New Roman" w:cs="Calibri"/>
                <w:noProof/>
              </w:rPr>
            </w:pPr>
            <w:r>
              <w:rPr>
                <w:noProof/>
              </w:rPr>
              <w:t xml:space="preserve">APR+ dostopna, vključujoča in odprta javna uprava </w:t>
            </w:r>
          </w:p>
          <w:p w14:paraId="3074EF7C" w14:textId="77777777" w:rsidR="00F24946" w:rsidRDefault="00613B06">
            <w:pPr>
              <w:pStyle w:val="P68B1DB1-Normal8"/>
              <w:tabs>
                <w:tab w:val="left" w:pos="710"/>
                <w:tab w:val="right" w:pos="1963"/>
              </w:tabs>
              <w:spacing w:after="0" w:line="288" w:lineRule="auto"/>
              <w:jc w:val="both"/>
              <w:rPr>
                <w:rFonts w:eastAsia="Times New Roman" w:cs="Calibri"/>
                <w:noProof/>
              </w:rPr>
            </w:pPr>
            <w:r>
              <w:rPr>
                <w:noProof/>
              </w:rPr>
              <w:t>APR + prožnejše javne storitve ter sistem nadzora in upravljanja javnih financ.</w:t>
            </w:r>
          </w:p>
          <w:p w14:paraId="18AA1A5C" w14:textId="351449F8" w:rsidR="00F24946" w:rsidRDefault="00613B06">
            <w:pPr>
              <w:pStyle w:val="P68B1DB1-Normal8"/>
              <w:tabs>
                <w:tab w:val="left" w:pos="710"/>
                <w:tab w:val="right" w:pos="1963"/>
              </w:tabs>
              <w:spacing w:after="0" w:line="288" w:lineRule="auto"/>
              <w:jc w:val="both"/>
              <w:rPr>
                <w:rFonts w:eastAsia="Times New Roman" w:cs="Calibri"/>
                <w:noProof/>
              </w:rPr>
            </w:pPr>
            <w:r>
              <w:rPr>
                <w:noProof/>
              </w:rPr>
              <w:t xml:space="preserve">APR+ Proactiva </w:t>
            </w:r>
          </w:p>
          <w:p w14:paraId="4BD5069C" w14:textId="6355AD50" w:rsidR="00F24946" w:rsidRDefault="00613B06">
            <w:pPr>
              <w:pStyle w:val="P68B1DB1-Normal8"/>
              <w:tabs>
                <w:tab w:val="left" w:pos="710"/>
                <w:tab w:val="right" w:pos="1963"/>
              </w:tabs>
              <w:spacing w:after="0" w:line="288" w:lineRule="auto"/>
              <w:jc w:val="both"/>
              <w:rPr>
                <w:rFonts w:ascii="Arial" w:eastAsia="Arial" w:hAnsi="Arial" w:cs="Arial"/>
                <w:noProof/>
                <w:sz w:val="15"/>
              </w:rPr>
            </w:pPr>
            <w:r>
              <w:rPr>
                <w:noProof/>
              </w:rPr>
              <w:t>Mobilni portal za regionalno javno upravo – APR+, pripravljen na prihodnost</w:t>
            </w:r>
          </w:p>
        </w:tc>
      </w:tr>
      <w:tr w:rsidR="00F24946" w14:paraId="700CCFFC" w14:textId="77777777">
        <w:trPr>
          <w:trHeight w:val="430"/>
        </w:trPr>
        <w:tc>
          <w:tcPr>
            <w:tcW w:w="1082" w:type="dxa"/>
            <w:shd w:val="clear" w:color="auto" w:fill="C4EFCE"/>
            <w:vAlign w:val="center"/>
            <w:hideMark/>
          </w:tcPr>
          <w:p w14:paraId="6F89E376" w14:textId="77777777" w:rsidR="00F24946" w:rsidRDefault="00613B06">
            <w:pPr>
              <w:pStyle w:val="P68B1DB1-Normal7"/>
              <w:spacing w:after="0" w:line="240" w:lineRule="auto"/>
              <w:jc w:val="center"/>
              <w:rPr>
                <w:rFonts w:eastAsia="Times New Roman" w:cs="Calibri"/>
                <w:noProof/>
              </w:rPr>
            </w:pPr>
            <w:r>
              <w:rPr>
                <w:noProof/>
              </w:rPr>
              <w:t>19.19</w:t>
            </w:r>
          </w:p>
        </w:tc>
        <w:tc>
          <w:tcPr>
            <w:tcW w:w="1211" w:type="dxa"/>
            <w:shd w:val="clear" w:color="auto" w:fill="C4EFCE"/>
            <w:noWrap/>
            <w:vAlign w:val="center"/>
            <w:hideMark/>
          </w:tcPr>
          <w:p w14:paraId="17E815D0" w14:textId="77777777" w:rsidR="00F24946" w:rsidRDefault="00613B06">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D998E6D"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6F9B879" w14:textId="77777777" w:rsidR="00F24946" w:rsidRDefault="00613B06">
            <w:pPr>
              <w:pStyle w:val="P68B1DB1-Normal8"/>
              <w:spacing w:after="0" w:line="240" w:lineRule="auto"/>
              <w:jc w:val="center"/>
              <w:rPr>
                <w:rFonts w:eastAsia="Times New Roman" w:cs="Calibri"/>
                <w:noProof/>
              </w:rPr>
            </w:pPr>
            <w:r>
              <w:rPr>
                <w:noProof/>
              </w:rPr>
              <w:t>Program pripravništva za diplomante</w:t>
            </w:r>
          </w:p>
        </w:tc>
        <w:tc>
          <w:tcPr>
            <w:tcW w:w="1343" w:type="dxa"/>
            <w:shd w:val="clear" w:color="auto" w:fill="C4EFCE"/>
            <w:noWrap/>
            <w:vAlign w:val="center"/>
            <w:hideMark/>
          </w:tcPr>
          <w:p w14:paraId="7526E1BB"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EB2B9"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1C0B63B6"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7BFD045F" w14:textId="77777777" w:rsidR="00F24946" w:rsidRDefault="00613B06">
            <w:pPr>
              <w:pStyle w:val="P68B1DB1-Normal8"/>
              <w:spacing w:after="0" w:line="240" w:lineRule="auto"/>
              <w:jc w:val="center"/>
              <w:rPr>
                <w:rFonts w:eastAsia="Times New Roman" w:cs="Calibri"/>
                <w:noProof/>
              </w:rPr>
            </w:pPr>
            <w:r>
              <w:rPr>
                <w:noProof/>
              </w:rPr>
              <w:t>1 500</w:t>
            </w:r>
          </w:p>
        </w:tc>
        <w:tc>
          <w:tcPr>
            <w:tcW w:w="550" w:type="dxa"/>
            <w:shd w:val="clear" w:color="auto" w:fill="C4EFCE"/>
            <w:noWrap/>
            <w:vAlign w:val="center"/>
            <w:hideMark/>
          </w:tcPr>
          <w:p w14:paraId="349DA6C0" w14:textId="77777777"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hideMark/>
          </w:tcPr>
          <w:p w14:paraId="1F12DF81" w14:textId="77777777" w:rsidR="00F24946" w:rsidRDefault="00613B06">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321523D7" w14:textId="77777777" w:rsidR="00F24946" w:rsidRDefault="00613B06">
            <w:pPr>
              <w:pStyle w:val="P68B1DB1-Normal8"/>
              <w:spacing w:after="0" w:line="240" w:lineRule="auto"/>
              <w:jc w:val="both"/>
              <w:rPr>
                <w:rFonts w:eastAsia="Times New Roman" w:cs="Calibri"/>
                <w:noProof/>
              </w:rPr>
            </w:pPr>
            <w:r>
              <w:rPr>
                <w:noProof/>
              </w:rPr>
              <w:t xml:space="preserve">Število diplomantov, ki so se udeležili programa pripravništva v javni upravi, vzpostavljenega v okviru </w:t>
            </w:r>
            <w:r>
              <w:rPr>
                <w:i/>
                <w:noProof/>
              </w:rPr>
              <w:t>Resolução do Conselho de Ministros št. 11/2021</w:t>
            </w:r>
            <w:r>
              <w:rPr>
                <w:noProof/>
              </w:rPr>
              <w:t xml:space="preserve">  </w:t>
            </w:r>
          </w:p>
        </w:tc>
      </w:tr>
      <w:tr w:rsidR="00F24946" w14:paraId="7C101E4F" w14:textId="77777777">
        <w:trPr>
          <w:trHeight w:val="845"/>
        </w:trPr>
        <w:tc>
          <w:tcPr>
            <w:tcW w:w="1082" w:type="dxa"/>
            <w:shd w:val="clear" w:color="auto" w:fill="C4EFCE"/>
            <w:vAlign w:val="center"/>
            <w:hideMark/>
          </w:tcPr>
          <w:p w14:paraId="3693F16E" w14:textId="77777777" w:rsidR="00F24946" w:rsidRDefault="00613B06">
            <w:pPr>
              <w:pStyle w:val="P68B1DB1-Normal7"/>
              <w:spacing w:after="0" w:line="240" w:lineRule="auto"/>
              <w:jc w:val="center"/>
              <w:rPr>
                <w:rFonts w:eastAsia="Times New Roman" w:cs="Calibri"/>
                <w:noProof/>
              </w:rPr>
            </w:pPr>
            <w:r>
              <w:rPr>
                <w:noProof/>
              </w:rPr>
              <w:t>19.20</w:t>
            </w:r>
          </w:p>
        </w:tc>
        <w:tc>
          <w:tcPr>
            <w:tcW w:w="1211" w:type="dxa"/>
            <w:shd w:val="clear" w:color="auto" w:fill="C4EFCE"/>
            <w:noWrap/>
            <w:vAlign w:val="center"/>
            <w:hideMark/>
          </w:tcPr>
          <w:p w14:paraId="64A1DE9A" w14:textId="77777777" w:rsidR="00F24946" w:rsidRDefault="00613B06">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0E5AB63"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5ECCEF3" w14:textId="77777777" w:rsidR="00F24946" w:rsidRDefault="00613B06">
            <w:pPr>
              <w:pStyle w:val="P68B1DB1-Normal8"/>
              <w:spacing w:after="0" w:line="240" w:lineRule="auto"/>
              <w:jc w:val="center"/>
              <w:rPr>
                <w:rFonts w:eastAsia="Times New Roman" w:cs="Calibri"/>
                <w:noProof/>
              </w:rPr>
            </w:pPr>
            <w:r>
              <w:rPr>
                <w:noProof/>
              </w:rPr>
              <w:t xml:space="preserve">Zaposleni v javnih službah na daljavo </w:t>
            </w:r>
          </w:p>
        </w:tc>
        <w:tc>
          <w:tcPr>
            <w:tcW w:w="1343" w:type="dxa"/>
            <w:shd w:val="clear" w:color="auto" w:fill="C4EFCE"/>
            <w:noWrap/>
            <w:vAlign w:val="center"/>
            <w:hideMark/>
          </w:tcPr>
          <w:p w14:paraId="18CC4640"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FD665" w14:textId="77777777" w:rsidR="00F24946" w:rsidRDefault="00613B06">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47C0D607"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BDFB5C4" w14:textId="77777777" w:rsidR="00F24946" w:rsidRDefault="00613B06">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604CF745" w14:textId="77777777"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hideMark/>
          </w:tcPr>
          <w:p w14:paraId="03B6EE75" w14:textId="77777777" w:rsidR="00F24946" w:rsidRDefault="00613B06">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1BE6B08F" w14:textId="77777777" w:rsidR="00F24946" w:rsidRDefault="00613B06">
            <w:pPr>
              <w:pStyle w:val="P68B1DB1-Normal8"/>
              <w:spacing w:after="0" w:line="240" w:lineRule="auto"/>
              <w:jc w:val="both"/>
              <w:rPr>
                <w:rFonts w:eastAsia="Times New Roman" w:cs="Calibri"/>
                <w:noProof/>
              </w:rPr>
            </w:pPr>
            <w:r>
              <w:rPr>
                <w:noProof/>
              </w:rPr>
              <w:t>Delež delavcev s funkcijami, združljivimi z delom na daljavo, ki učinkovito delajo na daljavo</w:t>
            </w:r>
          </w:p>
        </w:tc>
      </w:tr>
      <w:tr w:rsidR="00F24946" w14:paraId="257C5019" w14:textId="77777777">
        <w:trPr>
          <w:trHeight w:val="290"/>
        </w:trPr>
        <w:tc>
          <w:tcPr>
            <w:tcW w:w="1082" w:type="dxa"/>
            <w:shd w:val="clear" w:color="auto" w:fill="C4EFCE"/>
            <w:vAlign w:val="center"/>
            <w:hideMark/>
          </w:tcPr>
          <w:p w14:paraId="1167BE07" w14:textId="77777777" w:rsidR="00F24946" w:rsidRDefault="00613B06">
            <w:pPr>
              <w:pStyle w:val="P68B1DB1-Normal7"/>
              <w:spacing w:after="0" w:line="240" w:lineRule="auto"/>
              <w:jc w:val="center"/>
              <w:rPr>
                <w:rFonts w:eastAsia="Times New Roman" w:cs="Calibri"/>
                <w:noProof/>
              </w:rPr>
            </w:pPr>
            <w:r>
              <w:rPr>
                <w:noProof/>
              </w:rPr>
              <w:t>19.21</w:t>
            </w:r>
          </w:p>
        </w:tc>
        <w:tc>
          <w:tcPr>
            <w:tcW w:w="1211" w:type="dxa"/>
            <w:shd w:val="clear" w:color="auto" w:fill="C4EFCE"/>
            <w:noWrap/>
            <w:vAlign w:val="center"/>
            <w:hideMark/>
          </w:tcPr>
          <w:p w14:paraId="53F1D9CD" w14:textId="77777777" w:rsidR="00F24946" w:rsidRDefault="00613B06">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003D5D5A" w14:textId="77777777" w:rsidR="00F24946" w:rsidRDefault="00613B06">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D32EAEF" w14:textId="77777777" w:rsidR="00F24946" w:rsidRDefault="00613B06">
            <w:pPr>
              <w:pStyle w:val="P68B1DB1-Normal8"/>
              <w:spacing w:after="0" w:line="240" w:lineRule="auto"/>
              <w:jc w:val="center"/>
              <w:rPr>
                <w:rFonts w:eastAsia="Times New Roman" w:cs="Calibri"/>
                <w:noProof/>
              </w:rPr>
            </w:pPr>
            <w:r>
              <w:rPr>
                <w:noProof/>
              </w:rPr>
              <w:t>Usposabljanje zaposlenih v javni upravi</w:t>
            </w:r>
          </w:p>
        </w:tc>
        <w:tc>
          <w:tcPr>
            <w:tcW w:w="1343" w:type="dxa"/>
            <w:shd w:val="clear" w:color="auto" w:fill="C4EFCE"/>
            <w:noWrap/>
            <w:vAlign w:val="center"/>
            <w:hideMark/>
          </w:tcPr>
          <w:p w14:paraId="356BB73B" w14:textId="77777777" w:rsidR="00F24946" w:rsidRDefault="00613B06">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00612396" w14:textId="77777777" w:rsidR="00F24946" w:rsidRDefault="00613B06">
            <w:pPr>
              <w:pStyle w:val="P68B1DB1-Normal8"/>
              <w:spacing w:after="0" w:line="240" w:lineRule="auto"/>
              <w:jc w:val="center"/>
              <w:rPr>
                <w:rFonts w:eastAsia="Times New Roman" w:cs="Calibri"/>
                <w:noProof/>
              </w:rPr>
            </w:pPr>
            <w:r>
              <w:rPr>
                <w:noProof/>
              </w:rPr>
              <w:t>Število</w:t>
            </w:r>
          </w:p>
        </w:tc>
        <w:tc>
          <w:tcPr>
            <w:tcW w:w="947" w:type="dxa"/>
            <w:shd w:val="clear" w:color="auto" w:fill="C4EFCE"/>
            <w:noWrap/>
            <w:vAlign w:val="center"/>
            <w:hideMark/>
          </w:tcPr>
          <w:p w14:paraId="299EDA1B" w14:textId="77777777" w:rsidR="00F24946" w:rsidRDefault="00613B06">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E220285" w14:textId="3C6BE53E" w:rsidR="00F24946" w:rsidRDefault="00613B06">
            <w:pPr>
              <w:pStyle w:val="P68B1DB1-Normal8"/>
              <w:spacing w:after="0" w:line="240" w:lineRule="auto"/>
              <w:jc w:val="center"/>
              <w:rPr>
                <w:rFonts w:eastAsia="Times New Roman" w:cs="Calibri"/>
                <w:noProof/>
              </w:rPr>
            </w:pPr>
            <w:r>
              <w:rPr>
                <w:noProof/>
              </w:rPr>
              <w:t>96 400</w:t>
            </w:r>
          </w:p>
        </w:tc>
        <w:tc>
          <w:tcPr>
            <w:tcW w:w="550" w:type="dxa"/>
            <w:shd w:val="clear" w:color="auto" w:fill="C4EFCE"/>
            <w:noWrap/>
            <w:vAlign w:val="center"/>
            <w:hideMark/>
          </w:tcPr>
          <w:p w14:paraId="09C77FD6" w14:textId="77777777" w:rsidR="00F24946" w:rsidRDefault="00613B06">
            <w:pPr>
              <w:pStyle w:val="P68B1DB1-Normal8"/>
              <w:spacing w:after="0" w:line="240" w:lineRule="auto"/>
              <w:jc w:val="center"/>
              <w:rPr>
                <w:rFonts w:eastAsia="Times New Roman" w:cs="Calibri"/>
                <w:noProof/>
              </w:rPr>
            </w:pPr>
            <w:r>
              <w:rPr>
                <w:noProof/>
              </w:rPr>
              <w:t>ČETRTLETJE 1</w:t>
            </w:r>
          </w:p>
        </w:tc>
        <w:tc>
          <w:tcPr>
            <w:tcW w:w="682" w:type="dxa"/>
            <w:shd w:val="clear" w:color="auto" w:fill="C4EFCE"/>
            <w:noWrap/>
            <w:vAlign w:val="center"/>
            <w:hideMark/>
          </w:tcPr>
          <w:p w14:paraId="457FEE36" w14:textId="77777777" w:rsidR="00F24946" w:rsidRDefault="00613B06">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E2A4ED8" w14:textId="77777777" w:rsidR="00F24946" w:rsidRDefault="00613B06">
            <w:pPr>
              <w:pStyle w:val="P68B1DB1-Normal8"/>
              <w:spacing w:after="0" w:line="240" w:lineRule="auto"/>
              <w:jc w:val="both"/>
              <w:rPr>
                <w:rFonts w:eastAsia="Times New Roman" w:cs="Calibri"/>
                <w:noProof/>
              </w:rPr>
            </w:pPr>
            <w:r>
              <w:rPr>
                <w:noProof/>
              </w:rPr>
              <w:t>Število udeležencev usposabljanja v naslednjih programih za krepitev zmogljivosti:</w:t>
            </w:r>
          </w:p>
          <w:p w14:paraId="3545F647" w14:textId="77777777" w:rsidR="00F24946" w:rsidRDefault="00613B06">
            <w:pPr>
              <w:pStyle w:val="P68B1DB1-Normal8"/>
              <w:spacing w:after="0" w:line="240" w:lineRule="auto"/>
              <w:jc w:val="both"/>
              <w:rPr>
                <w:rFonts w:eastAsia="Times New Roman" w:cs="Calibri"/>
                <w:noProof/>
              </w:rPr>
            </w:pPr>
            <w:r>
              <w:rPr>
                <w:i/>
                <w:noProof/>
              </w:rPr>
              <w:t>Digitalni Program de capacitação</w:t>
            </w:r>
            <w:r>
              <w:rPr>
                <w:noProof/>
              </w:rPr>
              <w:t xml:space="preserve"> </w:t>
            </w:r>
          </w:p>
          <w:p w14:paraId="4161D919" w14:textId="77777777" w:rsidR="00F24946" w:rsidRDefault="00613B06">
            <w:pPr>
              <w:pStyle w:val="P68B1DB1-Normal8"/>
              <w:spacing w:after="0" w:line="240" w:lineRule="auto"/>
              <w:jc w:val="both"/>
              <w:rPr>
                <w:rFonts w:eastAsia="Times New Roman" w:cs="Calibri"/>
                <w:noProof/>
              </w:rPr>
            </w:pPr>
            <w:r>
              <w:rPr>
                <w:noProof/>
              </w:rPr>
              <w:t xml:space="preserve">Višje in visokošolsko izobraževanje na področju upravljanja </w:t>
            </w:r>
          </w:p>
          <w:p w14:paraId="6D3A99C1" w14:textId="77777777" w:rsidR="00F24946" w:rsidRDefault="00613B06">
            <w:pPr>
              <w:pStyle w:val="P68B1DB1-Normal8"/>
              <w:spacing w:after="0" w:line="240" w:lineRule="auto"/>
              <w:jc w:val="both"/>
              <w:rPr>
                <w:rFonts w:eastAsia="Times New Roman" w:cs="Calibri"/>
                <w:i/>
                <w:noProof/>
              </w:rPr>
            </w:pPr>
            <w:r>
              <w:rPr>
                <w:noProof/>
              </w:rPr>
              <w:t xml:space="preserve">Usposabljanje za </w:t>
            </w:r>
            <w:r>
              <w:rPr>
                <w:i/>
                <w:noProof/>
              </w:rPr>
              <w:t xml:space="preserve">Lojas do Cidadão/Espaços Cidadão </w:t>
            </w:r>
          </w:p>
          <w:p w14:paraId="0F98079D" w14:textId="77777777" w:rsidR="00F24946" w:rsidRDefault="00613B06">
            <w:pPr>
              <w:pStyle w:val="P68B1DB1-Normal8"/>
              <w:spacing w:after="0" w:line="240" w:lineRule="auto"/>
              <w:jc w:val="both"/>
              <w:rPr>
                <w:rFonts w:eastAsia="Times New Roman" w:cs="Calibri"/>
                <w:noProof/>
              </w:rPr>
            </w:pPr>
            <w:r>
              <w:rPr>
                <w:noProof/>
              </w:rPr>
              <w:t>Program</w:t>
            </w:r>
            <w:r>
              <w:rPr>
                <w:i/>
                <w:noProof/>
              </w:rPr>
              <w:t>AP Qualifica</w:t>
            </w:r>
            <w:r>
              <w:rPr>
                <w:noProof/>
              </w:rPr>
              <w:t xml:space="preserve"> </w:t>
            </w:r>
          </w:p>
          <w:p w14:paraId="6471EAAE" w14:textId="77777777" w:rsidR="00F24946" w:rsidRDefault="00613B06">
            <w:pPr>
              <w:pStyle w:val="P68B1DB1-Normal8"/>
              <w:spacing w:after="0" w:line="240" w:lineRule="auto"/>
              <w:jc w:val="both"/>
              <w:rPr>
                <w:rFonts w:eastAsia="Times New Roman" w:cs="Calibri"/>
                <w:noProof/>
              </w:rPr>
            </w:pPr>
            <w:r>
              <w:rPr>
                <w:noProof/>
              </w:rPr>
              <w:t>PlanAPP – projekt znanj in spretnosti načrtovanja in predvidevanja</w:t>
            </w:r>
          </w:p>
          <w:p w14:paraId="57E273AB" w14:textId="2AC231AE" w:rsidR="00F24946" w:rsidRDefault="00613B06">
            <w:pPr>
              <w:pStyle w:val="P68B1DB1-Normal8"/>
              <w:spacing w:after="0" w:line="240" w:lineRule="auto"/>
              <w:jc w:val="both"/>
              <w:rPr>
                <w:rFonts w:eastAsia="Times New Roman" w:cs="Calibri"/>
                <w:noProof/>
              </w:rPr>
            </w:pPr>
            <w:r>
              <w:rPr>
                <w:noProof/>
              </w:rPr>
              <w:t>SIADAP</w:t>
            </w:r>
          </w:p>
        </w:tc>
      </w:tr>
      <w:tr w:rsidR="00F24946" w14:paraId="7FBC13AB" w14:textId="77777777">
        <w:trPr>
          <w:trHeight w:val="290"/>
        </w:trPr>
        <w:tc>
          <w:tcPr>
            <w:tcW w:w="1082" w:type="dxa"/>
            <w:shd w:val="clear" w:color="auto" w:fill="C4EFCE"/>
            <w:vAlign w:val="center"/>
          </w:tcPr>
          <w:p w14:paraId="58D022BD" w14:textId="64345F0E" w:rsidR="00F24946" w:rsidRDefault="00613B06">
            <w:pPr>
              <w:pStyle w:val="P68B1DB1-Normal7"/>
              <w:spacing w:after="0" w:line="240" w:lineRule="auto"/>
              <w:jc w:val="center"/>
              <w:rPr>
                <w:rFonts w:eastAsia="Times New Roman" w:cs="Calibri"/>
                <w:noProof/>
              </w:rPr>
            </w:pPr>
            <w:r>
              <w:rPr>
                <w:noProof/>
              </w:rPr>
              <w:t>19.22</w:t>
            </w:r>
          </w:p>
        </w:tc>
        <w:tc>
          <w:tcPr>
            <w:tcW w:w="1211" w:type="dxa"/>
            <w:shd w:val="clear" w:color="auto" w:fill="C4EFCE"/>
            <w:noWrap/>
            <w:vAlign w:val="center"/>
          </w:tcPr>
          <w:p w14:paraId="43D1A15C" w14:textId="13068CEA" w:rsidR="00F24946" w:rsidRDefault="00613B06">
            <w:pPr>
              <w:pStyle w:val="P68B1DB1-Normal8"/>
              <w:spacing w:after="0" w:line="240" w:lineRule="auto"/>
              <w:jc w:val="center"/>
              <w:rPr>
                <w:rFonts w:eastAsia="Times New Roman" w:cs="Calibri"/>
                <w:noProof/>
              </w:rPr>
            </w:pPr>
            <w:r>
              <w:rPr>
                <w:noProof/>
              </w:rPr>
              <w:t>TD-C19-r34</w:t>
            </w:r>
          </w:p>
        </w:tc>
        <w:tc>
          <w:tcPr>
            <w:tcW w:w="1080" w:type="dxa"/>
            <w:shd w:val="clear" w:color="auto" w:fill="C4EFCE"/>
            <w:noWrap/>
            <w:vAlign w:val="center"/>
          </w:tcPr>
          <w:p w14:paraId="5C282FC5" w14:textId="21349B74"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CBD813F" w14:textId="660102B3" w:rsidR="00F24946" w:rsidRDefault="00613B06">
            <w:pPr>
              <w:pStyle w:val="P68B1DB1-Normal8"/>
              <w:spacing w:after="0" w:line="240" w:lineRule="auto"/>
              <w:jc w:val="center"/>
              <w:rPr>
                <w:rFonts w:eastAsia="Times New Roman" w:cs="Calibri"/>
                <w:noProof/>
              </w:rPr>
            </w:pPr>
            <w:r>
              <w:rPr>
                <w:noProof/>
              </w:rPr>
              <w:t>Začetek veljavnosti pravnega okvira za digitalno preobrazbo javne uprave</w:t>
            </w:r>
          </w:p>
        </w:tc>
        <w:tc>
          <w:tcPr>
            <w:tcW w:w="1343" w:type="dxa"/>
            <w:shd w:val="clear" w:color="auto" w:fill="C4EFCE"/>
            <w:noWrap/>
            <w:vAlign w:val="center"/>
          </w:tcPr>
          <w:p w14:paraId="5D13F7D8" w14:textId="7CE7177C" w:rsidR="00F24946" w:rsidRDefault="00613B06">
            <w:pPr>
              <w:pStyle w:val="P68B1DB1-Normal8"/>
              <w:spacing w:after="0" w:line="240" w:lineRule="auto"/>
              <w:jc w:val="center"/>
              <w:rPr>
                <w:rFonts w:eastAsia="Times New Roman" w:cs="Calibri"/>
                <w:noProof/>
              </w:rPr>
            </w:pPr>
            <w:r>
              <w:rPr>
                <w:noProof/>
              </w:rPr>
              <w:t>Začetek veljavnosti pravnega okvira za digitalno preobrazbo javne uprave</w:t>
            </w:r>
          </w:p>
        </w:tc>
        <w:tc>
          <w:tcPr>
            <w:tcW w:w="1134" w:type="dxa"/>
            <w:shd w:val="clear" w:color="auto" w:fill="C4EFCE"/>
            <w:noWrap/>
            <w:vAlign w:val="center"/>
          </w:tcPr>
          <w:p w14:paraId="62180EE1" w14:textId="77777777" w:rsidR="00F24946" w:rsidRDefault="00F24946">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FFFBFC7" w14:textId="77777777" w:rsidR="00F24946" w:rsidRDefault="00F24946">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216D20AB" w14:textId="77777777" w:rsidR="00F24946" w:rsidRDefault="00F24946">
            <w:pPr>
              <w:spacing w:after="0" w:line="240" w:lineRule="auto"/>
              <w:jc w:val="center"/>
              <w:rPr>
                <w:rFonts w:ascii="Calibri" w:eastAsia="Times New Roman" w:hAnsi="Calibri" w:cs="Calibri"/>
                <w:noProof/>
                <w:sz w:val="16"/>
                <w:highlight w:val="yellow"/>
              </w:rPr>
            </w:pPr>
          </w:p>
        </w:tc>
        <w:tc>
          <w:tcPr>
            <w:tcW w:w="550" w:type="dxa"/>
            <w:shd w:val="clear" w:color="auto" w:fill="C4EFCE"/>
            <w:noWrap/>
            <w:vAlign w:val="center"/>
          </w:tcPr>
          <w:p w14:paraId="728AFEC2" w14:textId="63AE4ED8" w:rsidR="00F24946" w:rsidRDefault="00613B06">
            <w:pPr>
              <w:pStyle w:val="P68B1DB1-Normal8"/>
              <w:spacing w:after="0" w:line="240" w:lineRule="auto"/>
              <w:jc w:val="center"/>
              <w:rPr>
                <w:rFonts w:eastAsia="Times New Roman" w:cs="Calibri"/>
                <w:noProof/>
              </w:rPr>
            </w:pPr>
            <w:r>
              <w:rPr>
                <w:noProof/>
              </w:rPr>
              <w:t>Q3</w:t>
            </w:r>
          </w:p>
        </w:tc>
        <w:tc>
          <w:tcPr>
            <w:tcW w:w="682" w:type="dxa"/>
            <w:shd w:val="clear" w:color="auto" w:fill="C4EFCE"/>
            <w:noWrap/>
            <w:vAlign w:val="center"/>
          </w:tcPr>
          <w:p w14:paraId="595C52FC" w14:textId="2C811559" w:rsidR="00F24946" w:rsidRDefault="00613B06">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tcPr>
          <w:p w14:paraId="1CD11544" w14:textId="77777777" w:rsidR="00F24946" w:rsidRDefault="00613B06">
            <w:pPr>
              <w:pStyle w:val="P68B1DB1-Normal8"/>
              <w:spacing w:after="0" w:line="240" w:lineRule="auto"/>
              <w:jc w:val="both"/>
              <w:rPr>
                <w:rFonts w:eastAsia="Times New Roman" w:cs="Calibri"/>
                <w:noProof/>
              </w:rPr>
            </w:pPr>
            <w:r>
              <w:rPr>
                <w:noProof/>
              </w:rPr>
              <w:t xml:space="preserve">Začetek veljavnosti pravnega okvira za digitalno preobrazbo javne uprave: </w:t>
            </w:r>
          </w:p>
          <w:p w14:paraId="42F64203" w14:textId="77777777" w:rsidR="00F24946" w:rsidRDefault="00613B06">
            <w:pPr>
              <w:pStyle w:val="P68B1DB1-Normal8"/>
              <w:spacing w:after="0" w:line="240" w:lineRule="auto"/>
              <w:jc w:val="both"/>
              <w:rPr>
                <w:rFonts w:eastAsia="Times New Roman" w:cs="Calibri"/>
                <w:noProof/>
              </w:rPr>
            </w:pPr>
            <w:r>
              <w:rPr>
                <w:noProof/>
              </w:rPr>
              <w:t xml:space="preserve">I) Strategija in prečni akcijski načrt za digitalno preobrazbo javne uprave ter </w:t>
            </w:r>
          </w:p>
          <w:p w14:paraId="45E866C9" w14:textId="2B06E7C5" w:rsidR="00F24946" w:rsidRDefault="00613B06">
            <w:pPr>
              <w:pStyle w:val="P68B1DB1-Normal8"/>
              <w:spacing w:after="0" w:line="240" w:lineRule="auto"/>
              <w:jc w:val="both"/>
              <w:rPr>
                <w:rFonts w:eastAsia="Times New Roman" w:cs="Calibri"/>
                <w:noProof/>
              </w:rPr>
            </w:pPr>
            <w:r>
              <w:rPr>
                <w:noProof/>
              </w:rPr>
              <w:t xml:space="preserve">II) Zakonodajni sveženj (vključno z uredbo o nacionalnem okviru za kibernetsko varnost), ki temelji na zakonu št. 46/2018.  </w:t>
            </w:r>
          </w:p>
        </w:tc>
      </w:tr>
      <w:tr w:rsidR="00F24946" w14:paraId="6ACE826A" w14:textId="77777777">
        <w:trPr>
          <w:trHeight w:val="640"/>
        </w:trPr>
        <w:tc>
          <w:tcPr>
            <w:tcW w:w="1082" w:type="dxa"/>
            <w:shd w:val="clear" w:color="auto" w:fill="C4EFCE"/>
            <w:vAlign w:val="center"/>
            <w:hideMark/>
          </w:tcPr>
          <w:p w14:paraId="5C1ED785" w14:textId="77777777" w:rsidR="00F24946" w:rsidRDefault="00613B06">
            <w:pPr>
              <w:pStyle w:val="P68B1DB1-Normal7"/>
              <w:spacing w:after="0" w:line="240" w:lineRule="auto"/>
              <w:jc w:val="center"/>
              <w:rPr>
                <w:rFonts w:eastAsia="Times New Roman" w:cs="Calibri"/>
                <w:noProof/>
              </w:rPr>
            </w:pPr>
            <w:r>
              <w:rPr>
                <w:noProof/>
              </w:rPr>
              <w:t>19.23</w:t>
            </w:r>
          </w:p>
        </w:tc>
        <w:tc>
          <w:tcPr>
            <w:tcW w:w="1211" w:type="dxa"/>
            <w:shd w:val="clear" w:color="auto" w:fill="C4EFCE"/>
            <w:noWrap/>
            <w:vAlign w:val="center"/>
            <w:hideMark/>
          </w:tcPr>
          <w:p w14:paraId="263EFDAF" w14:textId="77777777" w:rsidR="00F24946" w:rsidRDefault="00613B06">
            <w:pPr>
              <w:pStyle w:val="P68B1DB1-Normal8"/>
              <w:spacing w:after="0" w:line="240" w:lineRule="auto"/>
              <w:jc w:val="center"/>
              <w:rPr>
                <w:rFonts w:eastAsia="Times New Roman" w:cs="Calibri"/>
                <w:noProof/>
              </w:rPr>
            </w:pPr>
            <w:r>
              <w:rPr>
                <w:noProof/>
              </w:rPr>
              <w:t>TD-C19-r35</w:t>
            </w:r>
          </w:p>
        </w:tc>
        <w:tc>
          <w:tcPr>
            <w:tcW w:w="1080" w:type="dxa"/>
            <w:shd w:val="clear" w:color="auto" w:fill="C4EFCE"/>
            <w:noWrap/>
            <w:vAlign w:val="center"/>
            <w:hideMark/>
          </w:tcPr>
          <w:p w14:paraId="5996D96C"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0B1FDC94" w14:textId="77777777" w:rsidR="00F24946" w:rsidRDefault="00613B06">
            <w:pPr>
              <w:pStyle w:val="P68B1DB1-Normal8"/>
              <w:spacing w:after="0" w:line="240" w:lineRule="auto"/>
              <w:jc w:val="center"/>
              <w:rPr>
                <w:rFonts w:eastAsia="Times New Roman" w:cs="Calibri"/>
                <w:noProof/>
              </w:rPr>
            </w:pPr>
            <w:r>
              <w:rPr>
                <w:noProof/>
              </w:rPr>
              <w:t>Začetek veljavnosti zakonodajnega svežnja za reorganizacijo javne uprave</w:t>
            </w:r>
          </w:p>
        </w:tc>
        <w:tc>
          <w:tcPr>
            <w:tcW w:w="1343" w:type="dxa"/>
            <w:shd w:val="clear" w:color="auto" w:fill="C4EFCE"/>
            <w:noWrap/>
            <w:vAlign w:val="center"/>
            <w:hideMark/>
          </w:tcPr>
          <w:p w14:paraId="605DD329" w14:textId="77777777" w:rsidR="00F24946" w:rsidRDefault="00613B06">
            <w:pPr>
              <w:pStyle w:val="P68B1DB1-Normal8"/>
              <w:spacing w:after="0" w:line="240" w:lineRule="auto"/>
              <w:jc w:val="center"/>
              <w:rPr>
                <w:rFonts w:eastAsia="Times New Roman" w:cs="Calibri"/>
                <w:noProof/>
              </w:rPr>
            </w:pPr>
            <w:r>
              <w:rPr>
                <w:noProof/>
              </w:rPr>
              <w:t>Začetek veljavnosti zakonodajnega svežnja za reorganizacijo javne uprave</w:t>
            </w:r>
          </w:p>
        </w:tc>
        <w:tc>
          <w:tcPr>
            <w:tcW w:w="1134" w:type="dxa"/>
            <w:shd w:val="clear" w:color="auto" w:fill="C4EFCE"/>
            <w:noWrap/>
            <w:vAlign w:val="center"/>
            <w:hideMark/>
          </w:tcPr>
          <w:p w14:paraId="0A7AAAFB" w14:textId="77777777" w:rsidR="00F24946" w:rsidRDefault="00613B06">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1EFE25EB"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17016DD5"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DF4678" w14:textId="77777777" w:rsidR="00F24946" w:rsidRDefault="00613B06">
            <w:pPr>
              <w:pStyle w:val="P68B1DB1-Normal8"/>
              <w:spacing w:after="0" w:line="240" w:lineRule="auto"/>
              <w:jc w:val="center"/>
              <w:rPr>
                <w:rFonts w:eastAsia="Times New Roman" w:cs="Calibri"/>
                <w:noProof/>
              </w:rPr>
            </w:pPr>
            <w:r>
              <w:rPr>
                <w:noProof/>
              </w:rPr>
              <w:t>Q4</w:t>
            </w:r>
          </w:p>
        </w:tc>
        <w:tc>
          <w:tcPr>
            <w:tcW w:w="682" w:type="dxa"/>
            <w:shd w:val="clear" w:color="auto" w:fill="C4EFCE"/>
            <w:noWrap/>
            <w:vAlign w:val="center"/>
            <w:hideMark/>
          </w:tcPr>
          <w:p w14:paraId="0C9F2504" w14:textId="77777777" w:rsidR="00F24946" w:rsidRDefault="00613B06">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505BBF80" w14:textId="77777777" w:rsidR="00F24946" w:rsidRDefault="00613B06">
            <w:pPr>
              <w:pStyle w:val="P68B1DB1-Normal8"/>
              <w:spacing w:after="0" w:line="240" w:lineRule="auto"/>
              <w:jc w:val="both"/>
              <w:rPr>
                <w:rFonts w:eastAsia="Times New Roman" w:cs="Calibri"/>
                <w:noProof/>
              </w:rPr>
            </w:pPr>
            <w:r>
              <w:rPr>
                <w:noProof/>
              </w:rPr>
              <w:t xml:space="preserve">Začetek veljavnosti zakonodaje, potrebne za izvajanje funkcionalnih in organizacijskih sprememb osrednje javne uprave na podlagi poročila, ki ga je pripravila </w:t>
            </w:r>
            <w:r>
              <w:rPr>
                <w:i/>
                <w:noProof/>
              </w:rPr>
              <w:t>Estrutura de missão</w:t>
            </w:r>
            <w:r>
              <w:rPr>
                <w:noProof/>
              </w:rPr>
              <w:t xml:space="preserve">, ustanovljena z resolucijo Sveta ministrov </w:t>
            </w:r>
          </w:p>
        </w:tc>
      </w:tr>
      <w:tr w:rsidR="00F24946" w14:paraId="3BEC967D" w14:textId="77777777">
        <w:trPr>
          <w:trHeight w:val="430"/>
        </w:trPr>
        <w:tc>
          <w:tcPr>
            <w:tcW w:w="1082" w:type="dxa"/>
            <w:shd w:val="clear" w:color="auto" w:fill="C4EFCE"/>
            <w:vAlign w:val="center"/>
            <w:hideMark/>
          </w:tcPr>
          <w:p w14:paraId="0F6E1273" w14:textId="77777777" w:rsidR="00F24946" w:rsidRDefault="00613B06">
            <w:pPr>
              <w:pStyle w:val="P68B1DB1-Normal7"/>
              <w:spacing w:after="0" w:line="240" w:lineRule="auto"/>
              <w:jc w:val="center"/>
              <w:rPr>
                <w:rFonts w:eastAsia="Times New Roman" w:cs="Calibri"/>
                <w:noProof/>
              </w:rPr>
            </w:pPr>
            <w:r>
              <w:rPr>
                <w:noProof/>
              </w:rPr>
              <w:t>19.24</w:t>
            </w:r>
          </w:p>
        </w:tc>
        <w:tc>
          <w:tcPr>
            <w:tcW w:w="1211" w:type="dxa"/>
            <w:shd w:val="clear" w:color="auto" w:fill="C4EFCE"/>
            <w:noWrap/>
            <w:vAlign w:val="center"/>
            <w:hideMark/>
          </w:tcPr>
          <w:p w14:paraId="0CC675A9" w14:textId="77777777" w:rsidR="00F24946" w:rsidRDefault="00613B06">
            <w:pPr>
              <w:pStyle w:val="P68B1DB1-Normal8"/>
              <w:spacing w:after="0" w:line="240" w:lineRule="auto"/>
              <w:jc w:val="center"/>
              <w:rPr>
                <w:rFonts w:eastAsia="Times New Roman" w:cs="Calibri"/>
                <w:noProof/>
              </w:rPr>
            </w:pPr>
            <w:r>
              <w:rPr>
                <w:noProof/>
              </w:rPr>
              <w:t>TD-C19-r36</w:t>
            </w:r>
          </w:p>
        </w:tc>
        <w:tc>
          <w:tcPr>
            <w:tcW w:w="1080" w:type="dxa"/>
            <w:shd w:val="clear" w:color="auto" w:fill="C4EFCE"/>
            <w:noWrap/>
            <w:vAlign w:val="center"/>
            <w:hideMark/>
          </w:tcPr>
          <w:p w14:paraId="349C8A7E" w14:textId="77777777" w:rsidR="00F24946" w:rsidRDefault="00613B06">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7479E327" w14:textId="77777777" w:rsidR="00F24946" w:rsidRDefault="00613B06">
            <w:pPr>
              <w:pStyle w:val="P68B1DB1-Normal8"/>
              <w:spacing w:after="0" w:line="240" w:lineRule="auto"/>
              <w:jc w:val="center"/>
              <w:rPr>
                <w:rFonts w:eastAsia="Times New Roman" w:cs="Calibri"/>
                <w:noProof/>
              </w:rPr>
            </w:pPr>
            <w:r>
              <w:rPr>
                <w:noProof/>
              </w:rPr>
              <w:t xml:space="preserve"> Ustanovitev nacionalnega upravnega inštituta, I.P.</w:t>
            </w:r>
          </w:p>
        </w:tc>
        <w:tc>
          <w:tcPr>
            <w:tcW w:w="1343" w:type="dxa"/>
            <w:shd w:val="clear" w:color="auto" w:fill="C4EFCE"/>
            <w:noWrap/>
            <w:vAlign w:val="center"/>
            <w:hideMark/>
          </w:tcPr>
          <w:p w14:paraId="030C5824" w14:textId="77777777" w:rsidR="00F24946" w:rsidRDefault="00613B06">
            <w:pPr>
              <w:pStyle w:val="P68B1DB1-Normal8"/>
              <w:spacing w:after="0" w:line="240" w:lineRule="auto"/>
              <w:jc w:val="center"/>
              <w:rPr>
                <w:rFonts w:eastAsia="Times New Roman" w:cs="Calibri"/>
                <w:noProof/>
              </w:rPr>
            </w:pPr>
            <w:r>
              <w:rPr>
                <w:noProof/>
              </w:rPr>
              <w:t>Ustanovitev nacionalnega upravnega inštituta, I. P. s pravnim aktom</w:t>
            </w:r>
          </w:p>
        </w:tc>
        <w:tc>
          <w:tcPr>
            <w:tcW w:w="1134" w:type="dxa"/>
            <w:shd w:val="clear" w:color="auto" w:fill="C4EFCE"/>
            <w:noWrap/>
            <w:vAlign w:val="center"/>
            <w:hideMark/>
          </w:tcPr>
          <w:p w14:paraId="0B9E120E" w14:textId="77777777" w:rsidR="00F24946" w:rsidRDefault="00613B06">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4A2766AC" w14:textId="77777777" w:rsidR="00F24946" w:rsidRDefault="00613B06">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649ABF2C" w14:textId="77777777" w:rsidR="00F24946" w:rsidRDefault="00613B06">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1FA4DEB7" w14:textId="77777777" w:rsidR="00F24946" w:rsidRDefault="00613B06">
            <w:pPr>
              <w:pStyle w:val="P68B1DB1-Normal8"/>
              <w:spacing w:after="0" w:line="240" w:lineRule="auto"/>
              <w:jc w:val="center"/>
              <w:rPr>
                <w:rFonts w:eastAsia="Times New Roman" w:cs="Calibri"/>
                <w:noProof/>
              </w:rPr>
            </w:pPr>
            <w:r>
              <w:rPr>
                <w:noProof/>
              </w:rPr>
              <w:t>Q2</w:t>
            </w:r>
          </w:p>
        </w:tc>
        <w:tc>
          <w:tcPr>
            <w:tcW w:w="682" w:type="dxa"/>
            <w:shd w:val="clear" w:color="auto" w:fill="C4EFCE"/>
            <w:noWrap/>
            <w:vAlign w:val="center"/>
            <w:hideMark/>
          </w:tcPr>
          <w:p w14:paraId="1300E342" w14:textId="77777777" w:rsidR="00F24946" w:rsidRDefault="00613B06">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hideMark/>
          </w:tcPr>
          <w:p w14:paraId="241B071D" w14:textId="77777777" w:rsidR="00F24946" w:rsidRDefault="00613B06">
            <w:pPr>
              <w:pStyle w:val="P68B1DB1-Normal8"/>
              <w:spacing w:after="0" w:line="240" w:lineRule="auto"/>
              <w:jc w:val="both"/>
              <w:rPr>
                <w:rFonts w:eastAsia="Times New Roman" w:cs="Calibri"/>
                <w:noProof/>
              </w:rPr>
            </w:pPr>
            <w:r>
              <w:rPr>
                <w:noProof/>
              </w:rPr>
              <w:t xml:space="preserve">Ustanovitev s pravnim aktom </w:t>
            </w:r>
            <w:r>
              <w:rPr>
                <w:i/>
                <w:noProof/>
              </w:rPr>
              <w:t>Instituto Nacional de Administração, IP</w:t>
            </w:r>
            <w:r>
              <w:rPr>
                <w:noProof/>
              </w:rPr>
              <w:t>, ki omogoča dejavnosti usposabljanja za javno upravo</w:t>
            </w:r>
          </w:p>
        </w:tc>
      </w:tr>
      <w:tr w:rsidR="00F24946" w14:paraId="7E83CB0B" w14:textId="77777777">
        <w:trPr>
          <w:trHeight w:val="430"/>
        </w:trPr>
        <w:tc>
          <w:tcPr>
            <w:tcW w:w="1082" w:type="dxa"/>
            <w:shd w:val="clear" w:color="auto" w:fill="C4EFCE"/>
            <w:vAlign w:val="center"/>
          </w:tcPr>
          <w:p w14:paraId="18E9975D" w14:textId="11D15DFC" w:rsidR="00F24946" w:rsidRDefault="00613B06">
            <w:pPr>
              <w:pStyle w:val="P68B1DB1-Normal11"/>
              <w:spacing w:after="0" w:line="240" w:lineRule="auto"/>
              <w:jc w:val="center"/>
              <w:rPr>
                <w:rFonts w:eastAsia="Times New Roman" w:cstheme="minorHAnsi"/>
                <w:noProof/>
              </w:rPr>
            </w:pPr>
            <w:r>
              <w:rPr>
                <w:noProof/>
              </w:rPr>
              <w:t>19.30</w:t>
            </w:r>
          </w:p>
        </w:tc>
        <w:tc>
          <w:tcPr>
            <w:tcW w:w="1211" w:type="dxa"/>
            <w:shd w:val="clear" w:color="auto" w:fill="C4EFCE"/>
            <w:noWrap/>
            <w:vAlign w:val="center"/>
          </w:tcPr>
          <w:p w14:paraId="5460871A" w14:textId="02F65AC9" w:rsidR="00F24946" w:rsidRDefault="00613B06">
            <w:pPr>
              <w:pStyle w:val="P68B1DB1-Normal12"/>
              <w:spacing w:after="0" w:line="240" w:lineRule="auto"/>
              <w:jc w:val="center"/>
              <w:rPr>
                <w:rFonts w:eastAsia="Times New Roman" w:cstheme="minorHAnsi"/>
                <w:noProof/>
              </w:rPr>
            </w:pPr>
            <w:r>
              <w:rPr>
                <w:noProof/>
              </w:rPr>
              <w:t>TD-C19-r41</w:t>
            </w:r>
          </w:p>
        </w:tc>
        <w:tc>
          <w:tcPr>
            <w:tcW w:w="1080" w:type="dxa"/>
            <w:shd w:val="clear" w:color="auto" w:fill="C4EFCE"/>
            <w:noWrap/>
            <w:vAlign w:val="center"/>
          </w:tcPr>
          <w:p w14:paraId="162BD2C1" w14:textId="67F68A48" w:rsidR="00F24946" w:rsidRDefault="00613B06">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2A40F594" w14:textId="7823E16A" w:rsidR="00F24946" w:rsidRDefault="00613B06">
            <w:pPr>
              <w:pStyle w:val="P68B1DB1-Normal12"/>
              <w:spacing w:after="0" w:line="240" w:lineRule="auto"/>
              <w:jc w:val="center"/>
              <w:rPr>
                <w:rFonts w:eastAsia="Times New Roman" w:cstheme="minorHAnsi"/>
                <w:noProof/>
              </w:rPr>
            </w:pPr>
            <w:r>
              <w:rPr>
                <w:noProof/>
              </w:rPr>
              <w:t>Začetek veljavnosti zakonodajnega akta o dostopu do javnih storitev</w:t>
            </w:r>
          </w:p>
        </w:tc>
        <w:tc>
          <w:tcPr>
            <w:tcW w:w="1343" w:type="dxa"/>
            <w:shd w:val="clear" w:color="auto" w:fill="C4EFCE"/>
            <w:noWrap/>
            <w:vAlign w:val="center"/>
          </w:tcPr>
          <w:p w14:paraId="191A02D6" w14:textId="280F4306" w:rsidR="00F24946" w:rsidRDefault="00613B06">
            <w:pPr>
              <w:pStyle w:val="P68B1DB1-Normal12"/>
              <w:spacing w:after="0" w:line="240" w:lineRule="auto"/>
              <w:jc w:val="center"/>
              <w:rPr>
                <w:rFonts w:eastAsia="Times New Roman" w:cstheme="minorHAnsi"/>
                <w:noProof/>
              </w:rPr>
            </w:pPr>
            <w:r>
              <w:rPr>
                <w:noProof/>
              </w:rPr>
              <w:t xml:space="preserve">Določba v zakonodaji, ki označuje začetek veljavnosti zakonodaje </w:t>
            </w:r>
          </w:p>
        </w:tc>
        <w:tc>
          <w:tcPr>
            <w:tcW w:w="1134" w:type="dxa"/>
            <w:shd w:val="clear" w:color="auto" w:fill="C4EFCE"/>
            <w:noWrap/>
            <w:vAlign w:val="center"/>
          </w:tcPr>
          <w:p w14:paraId="15EB9DF1" w14:textId="77777777" w:rsidR="00F24946" w:rsidRDefault="00F24946">
            <w:pPr>
              <w:spacing w:after="0" w:line="240" w:lineRule="auto"/>
              <w:jc w:val="center"/>
              <w:rPr>
                <w:rFonts w:eastAsia="Times New Roman" w:cstheme="minorHAnsi"/>
                <w:noProof/>
                <w:sz w:val="16"/>
              </w:rPr>
            </w:pPr>
          </w:p>
        </w:tc>
        <w:tc>
          <w:tcPr>
            <w:tcW w:w="947" w:type="dxa"/>
            <w:shd w:val="clear" w:color="auto" w:fill="C4EFCE"/>
            <w:noWrap/>
            <w:vAlign w:val="center"/>
          </w:tcPr>
          <w:p w14:paraId="0B16E3FF" w14:textId="77777777" w:rsidR="00F24946" w:rsidRDefault="00F24946">
            <w:pPr>
              <w:spacing w:after="0" w:line="240" w:lineRule="auto"/>
              <w:jc w:val="center"/>
              <w:rPr>
                <w:rFonts w:eastAsia="Times New Roman" w:cstheme="minorHAnsi"/>
                <w:noProof/>
                <w:sz w:val="16"/>
              </w:rPr>
            </w:pPr>
          </w:p>
        </w:tc>
        <w:tc>
          <w:tcPr>
            <w:tcW w:w="682" w:type="dxa"/>
            <w:shd w:val="clear" w:color="auto" w:fill="C4EFCE"/>
            <w:noWrap/>
            <w:vAlign w:val="center"/>
          </w:tcPr>
          <w:p w14:paraId="08355F05" w14:textId="77777777" w:rsidR="00F24946" w:rsidRDefault="00F24946">
            <w:pPr>
              <w:spacing w:after="0" w:line="240" w:lineRule="auto"/>
              <w:jc w:val="center"/>
              <w:rPr>
                <w:rFonts w:eastAsia="Times New Roman" w:cstheme="minorHAnsi"/>
                <w:noProof/>
                <w:sz w:val="16"/>
              </w:rPr>
            </w:pPr>
          </w:p>
        </w:tc>
        <w:tc>
          <w:tcPr>
            <w:tcW w:w="550" w:type="dxa"/>
            <w:shd w:val="clear" w:color="auto" w:fill="C4EFCE"/>
            <w:noWrap/>
            <w:vAlign w:val="center"/>
          </w:tcPr>
          <w:p w14:paraId="028AEAD5" w14:textId="7004A912" w:rsidR="00F24946" w:rsidRDefault="00613B06">
            <w:pPr>
              <w:pStyle w:val="P68B1DB1-Normal12"/>
              <w:spacing w:after="0" w:line="240" w:lineRule="auto"/>
              <w:jc w:val="center"/>
              <w:rPr>
                <w:rFonts w:eastAsia="Times New Roman" w:cstheme="minorHAnsi"/>
                <w:noProof/>
              </w:rPr>
            </w:pPr>
            <w:r>
              <w:rPr>
                <w:noProof/>
              </w:rPr>
              <w:t>Q3</w:t>
            </w:r>
          </w:p>
        </w:tc>
        <w:tc>
          <w:tcPr>
            <w:tcW w:w="682" w:type="dxa"/>
            <w:shd w:val="clear" w:color="auto" w:fill="C4EFCE"/>
            <w:noWrap/>
            <w:vAlign w:val="center"/>
          </w:tcPr>
          <w:p w14:paraId="265FA0B5" w14:textId="7DD6FBCA" w:rsidR="00F24946" w:rsidRDefault="00613B06">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3DA5037E" w14:textId="298CCB37" w:rsidR="00F24946" w:rsidRDefault="00613B06">
            <w:pPr>
              <w:pStyle w:val="P68B1DB1-Normal12"/>
              <w:spacing w:after="0" w:line="240" w:lineRule="auto"/>
              <w:jc w:val="both"/>
              <w:rPr>
                <w:rFonts w:eastAsia="Times New Roman" w:cstheme="minorHAnsi"/>
                <w:noProof/>
              </w:rPr>
            </w:pPr>
            <w:r>
              <w:rPr>
                <w:noProof/>
              </w:rPr>
              <w:t xml:space="preserve">Začetek veljavnosti zakonodajnega akta, ki bo harmoniziral in utrdil osebni in spletni dostop do javnih storitev ter povečal število storitev, ki so na voljo na enotnem portalu javnih storitev.   </w:t>
            </w:r>
          </w:p>
        </w:tc>
      </w:tr>
      <w:tr w:rsidR="00F24946" w14:paraId="70FA8B5F" w14:textId="77777777">
        <w:trPr>
          <w:trHeight w:val="430"/>
        </w:trPr>
        <w:tc>
          <w:tcPr>
            <w:tcW w:w="1082" w:type="dxa"/>
            <w:shd w:val="clear" w:color="auto" w:fill="C4EFCE"/>
            <w:vAlign w:val="center"/>
          </w:tcPr>
          <w:p w14:paraId="5D5EB9E9" w14:textId="2177C7F7" w:rsidR="00F24946" w:rsidRDefault="00613B06">
            <w:pPr>
              <w:pStyle w:val="P68B1DB1-Normal11"/>
              <w:spacing w:after="0" w:line="240" w:lineRule="auto"/>
              <w:jc w:val="center"/>
              <w:rPr>
                <w:rFonts w:eastAsia="Times New Roman" w:cstheme="minorHAnsi"/>
                <w:noProof/>
              </w:rPr>
            </w:pPr>
            <w:r>
              <w:rPr>
                <w:noProof/>
              </w:rPr>
              <w:t>19.31</w:t>
            </w:r>
          </w:p>
        </w:tc>
        <w:tc>
          <w:tcPr>
            <w:tcW w:w="1211" w:type="dxa"/>
            <w:shd w:val="clear" w:color="auto" w:fill="C4EFCE"/>
            <w:noWrap/>
            <w:vAlign w:val="center"/>
          </w:tcPr>
          <w:p w14:paraId="160F0E2B" w14:textId="668FB811" w:rsidR="00F24946" w:rsidRDefault="00613B06">
            <w:pPr>
              <w:pStyle w:val="P68B1DB1-Bodytext1013"/>
              <w:spacing w:after="0"/>
              <w:jc w:val="center"/>
              <w:rPr>
                <w:rFonts w:cstheme="minorHAnsi"/>
                <w:noProof/>
              </w:rPr>
            </w:pPr>
            <w:r>
              <w:rPr>
                <w:noProof/>
              </w:rPr>
              <w:t>TD-C19-r42</w:t>
            </w:r>
          </w:p>
        </w:tc>
        <w:tc>
          <w:tcPr>
            <w:tcW w:w="1080" w:type="dxa"/>
            <w:shd w:val="clear" w:color="auto" w:fill="C4EFCE"/>
            <w:noWrap/>
            <w:vAlign w:val="center"/>
          </w:tcPr>
          <w:p w14:paraId="5A9F3806" w14:textId="793E38CA" w:rsidR="00F24946" w:rsidRDefault="00613B06">
            <w:pPr>
              <w:pStyle w:val="P68B1DB1-Normal12"/>
              <w:spacing w:after="0" w:line="240" w:lineRule="auto"/>
              <w:jc w:val="center"/>
              <w:rPr>
                <w:rFonts w:eastAsia="Times New Roman" w:cstheme="minorHAnsi"/>
                <w:noProof/>
              </w:rPr>
            </w:pPr>
            <w:r>
              <w:rPr>
                <w:noProof/>
              </w:rPr>
              <w:t xml:space="preserve"> M</w:t>
            </w:r>
          </w:p>
        </w:tc>
        <w:tc>
          <w:tcPr>
            <w:tcW w:w="1609" w:type="dxa"/>
            <w:shd w:val="clear" w:color="auto" w:fill="C4EFCE"/>
            <w:noWrap/>
            <w:vAlign w:val="center"/>
          </w:tcPr>
          <w:p w14:paraId="2935250F" w14:textId="2D44B127" w:rsidR="00F24946" w:rsidRDefault="00613B06">
            <w:pPr>
              <w:pStyle w:val="P68B1DB1-Bodytext1013"/>
              <w:jc w:val="center"/>
              <w:rPr>
                <w:rFonts w:cstheme="minorHAnsi"/>
                <w:noProof/>
              </w:rPr>
            </w:pPr>
            <w:r>
              <w:rPr>
                <w:noProof/>
              </w:rPr>
              <w:t>Začetek veljavnosti zakonodajnega akta, s katerim se revidira SIADAP</w:t>
            </w:r>
          </w:p>
        </w:tc>
        <w:tc>
          <w:tcPr>
            <w:tcW w:w="1343" w:type="dxa"/>
            <w:shd w:val="clear" w:color="auto" w:fill="C4EFCE"/>
            <w:noWrap/>
            <w:vAlign w:val="center"/>
          </w:tcPr>
          <w:p w14:paraId="76DB72FC" w14:textId="202A9E7E" w:rsidR="00F24946" w:rsidRDefault="00613B06">
            <w:pPr>
              <w:pStyle w:val="P68B1DB1-Normal12"/>
              <w:spacing w:after="0" w:line="240" w:lineRule="auto"/>
              <w:jc w:val="center"/>
              <w:rPr>
                <w:rFonts w:eastAsia="Times New Roman" w:cstheme="minorHAnsi"/>
                <w:noProof/>
              </w:rPr>
            </w:pPr>
            <w:r>
              <w:rPr>
                <w:noProof/>
              </w:rPr>
              <w:t xml:space="preserve">Določba v zakonodajnem aktu o začetku veljavnosti zakonodajnega akta </w:t>
            </w:r>
          </w:p>
        </w:tc>
        <w:tc>
          <w:tcPr>
            <w:tcW w:w="1134" w:type="dxa"/>
            <w:shd w:val="clear" w:color="auto" w:fill="C4EFCE"/>
            <w:noWrap/>
            <w:vAlign w:val="center"/>
          </w:tcPr>
          <w:p w14:paraId="5BD712C6" w14:textId="68D529B9" w:rsidR="00F24946" w:rsidRDefault="00613B06">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64F81F0D" w14:textId="54AE8BAD" w:rsidR="00F24946" w:rsidRDefault="00613B06">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1DCC2FDC" w14:textId="47315426" w:rsidR="00F24946" w:rsidRDefault="00613B06">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3D54C13F" w14:textId="4A7609A6" w:rsidR="00F24946" w:rsidRDefault="00613B06">
            <w:pPr>
              <w:pStyle w:val="P68B1DB1-Normal12"/>
              <w:spacing w:after="0" w:line="240" w:lineRule="auto"/>
              <w:jc w:val="center"/>
              <w:rPr>
                <w:rFonts w:eastAsia="Times New Roman" w:cstheme="minorHAnsi"/>
                <w:noProof/>
              </w:rPr>
            </w:pPr>
            <w:r>
              <w:rPr>
                <w:noProof/>
              </w:rPr>
              <w:t xml:space="preserve">ČETRTLETJE 1 </w:t>
            </w:r>
          </w:p>
        </w:tc>
        <w:tc>
          <w:tcPr>
            <w:tcW w:w="682" w:type="dxa"/>
            <w:shd w:val="clear" w:color="auto" w:fill="C4EFCE"/>
            <w:noWrap/>
            <w:vAlign w:val="center"/>
          </w:tcPr>
          <w:p w14:paraId="77865BCF" w14:textId="2D5D08F6" w:rsidR="00F24946" w:rsidRDefault="00613B06">
            <w:pPr>
              <w:pStyle w:val="P68B1DB1-Normal12"/>
              <w:spacing w:after="0" w:line="240" w:lineRule="auto"/>
              <w:jc w:val="center"/>
              <w:rPr>
                <w:rFonts w:eastAsia="Times New Roman" w:cstheme="minorHAnsi"/>
                <w:noProof/>
              </w:rPr>
            </w:pPr>
            <w:r>
              <w:rPr>
                <w:noProof/>
              </w:rPr>
              <w:t xml:space="preserve"> 2024</w:t>
            </w:r>
          </w:p>
        </w:tc>
        <w:tc>
          <w:tcPr>
            <w:tcW w:w="4458" w:type="dxa"/>
            <w:shd w:val="clear" w:color="auto" w:fill="C4EFCE"/>
            <w:vAlign w:val="center"/>
          </w:tcPr>
          <w:p w14:paraId="787D10CD" w14:textId="30D960C1" w:rsidR="00F24946" w:rsidRDefault="00613B06">
            <w:pPr>
              <w:pStyle w:val="P68B1DB1-Normal12"/>
              <w:spacing w:after="0" w:line="240" w:lineRule="auto"/>
              <w:jc w:val="both"/>
              <w:rPr>
                <w:rFonts w:eastAsia="Times New Roman" w:cstheme="minorHAnsi"/>
                <w:noProof/>
              </w:rPr>
            </w:pPr>
            <w:r>
              <w:rPr>
                <w:noProof/>
              </w:rPr>
              <w:t xml:space="preserve">Začetek veljavnosti zakonodajnega akta, s katerim se revidira integrirani sistem upravljanja in ocenjevanja uspešnosti v javni upravi (SIADAP) v skladu z značilnostmi, opisanimi v opisu ukrepa. </w:t>
            </w:r>
          </w:p>
        </w:tc>
      </w:tr>
      <w:tr w:rsidR="00F24946" w14:paraId="595052CD" w14:textId="77777777">
        <w:trPr>
          <w:trHeight w:val="430"/>
        </w:trPr>
        <w:tc>
          <w:tcPr>
            <w:tcW w:w="1082" w:type="dxa"/>
            <w:shd w:val="clear" w:color="auto" w:fill="C4EFCE"/>
            <w:vAlign w:val="center"/>
          </w:tcPr>
          <w:p w14:paraId="6673DA96" w14:textId="12B6BD26" w:rsidR="00F24946" w:rsidRDefault="00613B06">
            <w:pPr>
              <w:pStyle w:val="P68B1DB1-Normal11"/>
              <w:spacing w:after="0" w:line="240" w:lineRule="auto"/>
              <w:jc w:val="center"/>
              <w:rPr>
                <w:rFonts w:eastAsia="Times New Roman" w:cstheme="minorHAnsi"/>
                <w:noProof/>
              </w:rPr>
            </w:pPr>
            <w:r>
              <w:rPr>
                <w:noProof/>
              </w:rPr>
              <w:t>19.32</w:t>
            </w:r>
          </w:p>
        </w:tc>
        <w:tc>
          <w:tcPr>
            <w:tcW w:w="1211" w:type="dxa"/>
            <w:shd w:val="clear" w:color="auto" w:fill="C4EFCE"/>
            <w:noWrap/>
            <w:vAlign w:val="center"/>
          </w:tcPr>
          <w:p w14:paraId="0595A2A8" w14:textId="3B184232" w:rsidR="00F24946" w:rsidRDefault="00613B06">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88DCBAA" w14:textId="2DD3035E" w:rsidR="00F24946" w:rsidRDefault="00613B06">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52CB2148" w14:textId="13350A36" w:rsidR="00F24946" w:rsidRDefault="00613B06">
            <w:pPr>
              <w:pStyle w:val="P68B1DB1-Normal12"/>
              <w:spacing w:after="0" w:line="240" w:lineRule="auto"/>
              <w:jc w:val="center"/>
              <w:rPr>
                <w:rFonts w:eastAsia="Times New Roman" w:cstheme="minorHAnsi"/>
                <w:noProof/>
              </w:rPr>
            </w:pPr>
            <w:r>
              <w:rPr>
                <w:noProof/>
              </w:rPr>
              <w:t>Začetek veljavnosti zakonodajnega akta, ki spreminja profil kompetenc javne uprave</w:t>
            </w:r>
          </w:p>
        </w:tc>
        <w:tc>
          <w:tcPr>
            <w:tcW w:w="1343" w:type="dxa"/>
            <w:shd w:val="clear" w:color="auto" w:fill="C4EFCE"/>
            <w:noWrap/>
            <w:vAlign w:val="center"/>
          </w:tcPr>
          <w:p w14:paraId="55C8AFE8" w14:textId="078306F1" w:rsidR="00F24946" w:rsidRDefault="00613B06">
            <w:pPr>
              <w:pStyle w:val="P68B1DB1-Normal12"/>
              <w:spacing w:after="0" w:line="240" w:lineRule="auto"/>
              <w:jc w:val="center"/>
              <w:rPr>
                <w:rFonts w:eastAsia="Times New Roman" w:cstheme="minorHAnsi"/>
                <w:noProof/>
              </w:rPr>
            </w:pPr>
            <w:r>
              <w:rPr>
                <w:noProof/>
              </w:rPr>
              <w:t xml:space="preserve">Določba v zakonodajnem aktu o začetku veljavnosti zakonodajnega akta </w:t>
            </w:r>
          </w:p>
        </w:tc>
        <w:tc>
          <w:tcPr>
            <w:tcW w:w="1134" w:type="dxa"/>
            <w:shd w:val="clear" w:color="auto" w:fill="C4EFCE"/>
            <w:noWrap/>
            <w:vAlign w:val="center"/>
          </w:tcPr>
          <w:p w14:paraId="0F112E93" w14:textId="3E369BD1" w:rsidR="00F24946" w:rsidRDefault="00613B06">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21348855" w14:textId="50047F43" w:rsidR="00F24946" w:rsidRDefault="00613B06">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775EF0EE" w14:textId="5792FB1D" w:rsidR="00F24946" w:rsidRDefault="00613B06">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04DC251" w14:textId="3CB87634" w:rsidR="00F24946" w:rsidRDefault="00613B06">
            <w:pPr>
              <w:pStyle w:val="P68B1DB1-Normal12"/>
              <w:spacing w:after="0" w:line="240" w:lineRule="auto"/>
              <w:jc w:val="center"/>
              <w:rPr>
                <w:rFonts w:eastAsia="Times New Roman" w:cstheme="minorHAnsi"/>
                <w:noProof/>
              </w:rPr>
            </w:pPr>
            <w:r>
              <w:rPr>
                <w:noProof/>
              </w:rPr>
              <w:t>ČETRTLETJE 1</w:t>
            </w:r>
          </w:p>
        </w:tc>
        <w:tc>
          <w:tcPr>
            <w:tcW w:w="682" w:type="dxa"/>
            <w:shd w:val="clear" w:color="auto" w:fill="C4EFCE"/>
            <w:noWrap/>
            <w:vAlign w:val="center"/>
          </w:tcPr>
          <w:p w14:paraId="1224479D" w14:textId="0B9B8D99" w:rsidR="00F24946" w:rsidRDefault="00613B06">
            <w:pPr>
              <w:pStyle w:val="P68B1DB1-Normal12"/>
              <w:spacing w:after="0" w:line="240" w:lineRule="auto"/>
              <w:jc w:val="center"/>
              <w:rPr>
                <w:rFonts w:eastAsia="Times New Roman" w:cstheme="minorHAnsi"/>
                <w:noProof/>
              </w:rPr>
            </w:pPr>
            <w:r>
              <w:rPr>
                <w:noProof/>
              </w:rPr>
              <w:t>2024</w:t>
            </w:r>
          </w:p>
        </w:tc>
        <w:tc>
          <w:tcPr>
            <w:tcW w:w="4458" w:type="dxa"/>
            <w:shd w:val="clear" w:color="auto" w:fill="C4EFCE"/>
            <w:vAlign w:val="center"/>
          </w:tcPr>
          <w:p w14:paraId="14DC0FA1" w14:textId="48ADFE80" w:rsidR="00F24946" w:rsidRDefault="00613B06">
            <w:pPr>
              <w:pStyle w:val="P68B1DB1-Normal12"/>
              <w:spacing w:after="0" w:line="240" w:lineRule="auto"/>
              <w:jc w:val="both"/>
              <w:rPr>
                <w:rFonts w:eastAsia="Times New Roman" w:cstheme="minorHAnsi"/>
                <w:noProof/>
              </w:rPr>
            </w:pPr>
            <w:r>
              <w:rPr>
                <w:noProof/>
              </w:rPr>
              <w:t xml:space="preserve">Veljati začne spremenjeni profil kompetenc za javno upravo. </w:t>
            </w:r>
          </w:p>
        </w:tc>
      </w:tr>
      <w:tr w:rsidR="00F24946" w14:paraId="68DA236C" w14:textId="77777777">
        <w:trPr>
          <w:trHeight w:val="430"/>
        </w:trPr>
        <w:tc>
          <w:tcPr>
            <w:tcW w:w="1082" w:type="dxa"/>
            <w:shd w:val="clear" w:color="auto" w:fill="C4EFCE"/>
            <w:vAlign w:val="center"/>
          </w:tcPr>
          <w:p w14:paraId="21E8FF8C" w14:textId="4DFC5787" w:rsidR="00F24946" w:rsidRDefault="00613B06">
            <w:pPr>
              <w:pStyle w:val="P68B1DB1-Normal11"/>
              <w:spacing w:after="0" w:line="240" w:lineRule="auto"/>
              <w:jc w:val="center"/>
              <w:rPr>
                <w:rFonts w:eastAsia="Times New Roman" w:cstheme="minorHAnsi"/>
                <w:noProof/>
              </w:rPr>
            </w:pPr>
            <w:r>
              <w:rPr>
                <w:noProof/>
              </w:rPr>
              <w:t>19.33</w:t>
            </w:r>
          </w:p>
        </w:tc>
        <w:tc>
          <w:tcPr>
            <w:tcW w:w="1211" w:type="dxa"/>
            <w:shd w:val="clear" w:color="auto" w:fill="C4EFCE"/>
            <w:noWrap/>
            <w:vAlign w:val="center"/>
          </w:tcPr>
          <w:p w14:paraId="02A0505D" w14:textId="6C5C6A0A" w:rsidR="00F24946" w:rsidRDefault="00613B06">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B37C398" w14:textId="29DD42DF" w:rsidR="00F24946" w:rsidRDefault="00613B06">
            <w:pPr>
              <w:pStyle w:val="P68B1DB1-Normal12"/>
              <w:spacing w:after="0" w:line="240" w:lineRule="auto"/>
              <w:jc w:val="center"/>
              <w:rPr>
                <w:rFonts w:eastAsia="Times New Roman" w:cstheme="minorHAnsi"/>
                <w:noProof/>
              </w:rPr>
            </w:pPr>
            <w:r>
              <w:rPr>
                <w:noProof/>
              </w:rPr>
              <w:t>T</w:t>
            </w:r>
          </w:p>
        </w:tc>
        <w:tc>
          <w:tcPr>
            <w:tcW w:w="1609" w:type="dxa"/>
            <w:shd w:val="clear" w:color="auto" w:fill="C4EFCE"/>
            <w:noWrap/>
            <w:vAlign w:val="center"/>
          </w:tcPr>
          <w:p w14:paraId="055786D3" w14:textId="285B3590" w:rsidR="00F24946" w:rsidRDefault="00613B06">
            <w:pPr>
              <w:pStyle w:val="P68B1DB1-Normal12"/>
              <w:spacing w:after="0" w:line="240" w:lineRule="auto"/>
              <w:jc w:val="center"/>
              <w:rPr>
                <w:rFonts w:eastAsia="Times New Roman" w:cstheme="minorHAnsi"/>
                <w:noProof/>
              </w:rPr>
            </w:pPr>
            <w:r>
              <w:rPr>
                <w:noProof/>
              </w:rPr>
              <w:t>Začetek delovanja novega sistema SIADAP</w:t>
            </w:r>
          </w:p>
        </w:tc>
        <w:tc>
          <w:tcPr>
            <w:tcW w:w="1343" w:type="dxa"/>
            <w:shd w:val="clear" w:color="auto" w:fill="C4EFCE"/>
            <w:noWrap/>
            <w:vAlign w:val="center"/>
          </w:tcPr>
          <w:p w14:paraId="09DC06A7" w14:textId="64B6C469" w:rsidR="00F24946" w:rsidRDefault="00613B06">
            <w:pPr>
              <w:pStyle w:val="P68B1DB1-Normal12"/>
              <w:spacing w:after="0" w:line="240" w:lineRule="auto"/>
              <w:jc w:val="center"/>
              <w:rPr>
                <w:rFonts w:eastAsia="Times New Roman" w:cstheme="minorHAnsi"/>
                <w:noProof/>
              </w:rPr>
            </w:pPr>
            <w:r>
              <w:rPr>
                <w:noProof/>
              </w:rPr>
              <w:t xml:space="preserve">Začetek delovanja novega sistema SIADAP </w:t>
            </w:r>
          </w:p>
        </w:tc>
        <w:tc>
          <w:tcPr>
            <w:tcW w:w="1134" w:type="dxa"/>
            <w:shd w:val="clear" w:color="auto" w:fill="C4EFCE"/>
            <w:noWrap/>
            <w:vAlign w:val="center"/>
          </w:tcPr>
          <w:p w14:paraId="58F7D868" w14:textId="1F6A8D99" w:rsidR="00F24946" w:rsidRDefault="00613B06">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37360046" w14:textId="55C6ECB7" w:rsidR="00F24946" w:rsidRDefault="00613B06">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2DB545E3" w14:textId="4B7402EB" w:rsidR="00F24946" w:rsidRDefault="00613B06">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E46E1BF" w14:textId="3CA0D46D" w:rsidR="00F24946" w:rsidRDefault="00613B06">
            <w:pPr>
              <w:pStyle w:val="P68B1DB1-Normal12"/>
              <w:spacing w:after="0" w:line="240" w:lineRule="auto"/>
              <w:jc w:val="center"/>
              <w:rPr>
                <w:rFonts w:eastAsia="Times New Roman" w:cstheme="minorHAnsi"/>
                <w:noProof/>
              </w:rPr>
            </w:pPr>
            <w:r>
              <w:rPr>
                <w:noProof/>
              </w:rPr>
              <w:t>ČETRTLETJE 1</w:t>
            </w:r>
          </w:p>
        </w:tc>
        <w:tc>
          <w:tcPr>
            <w:tcW w:w="682" w:type="dxa"/>
            <w:shd w:val="clear" w:color="auto" w:fill="C4EFCE"/>
            <w:noWrap/>
            <w:vAlign w:val="center"/>
          </w:tcPr>
          <w:p w14:paraId="204F0C6B" w14:textId="01023863" w:rsidR="00F24946" w:rsidRDefault="00613B06">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139C28E9" w14:textId="7E6818C1" w:rsidR="00F24946" w:rsidRDefault="00613B06">
            <w:pPr>
              <w:pStyle w:val="P68B1DB1-Bodytext1013"/>
              <w:spacing w:line="240" w:lineRule="auto"/>
              <w:jc w:val="both"/>
              <w:rPr>
                <w:rFonts w:eastAsia="MS Mincho" w:cstheme="minorHAnsi"/>
                <w:noProof/>
              </w:rPr>
            </w:pPr>
            <w:r>
              <w:rPr>
                <w:noProof/>
              </w:rPr>
              <w:t>Začetek delovanja novega sistema SIADAP, vključno z ustrezno informacijsko platformo. Uporabnikom sistema SIADAP je na voljo posebno usposabljanje za učenje o uporabi platforme IT.</w:t>
            </w:r>
          </w:p>
        </w:tc>
      </w:tr>
      <w:tr w:rsidR="00F24946" w14:paraId="3BD666CA" w14:textId="77777777">
        <w:trPr>
          <w:trHeight w:val="430"/>
        </w:trPr>
        <w:tc>
          <w:tcPr>
            <w:tcW w:w="1082" w:type="dxa"/>
            <w:shd w:val="clear" w:color="auto" w:fill="C4EFCE"/>
            <w:vAlign w:val="center"/>
          </w:tcPr>
          <w:p w14:paraId="1A621731" w14:textId="4130020B" w:rsidR="00F24946" w:rsidRDefault="00613B06">
            <w:pPr>
              <w:pStyle w:val="P68B1DB1-Normal11"/>
              <w:spacing w:after="0" w:line="240" w:lineRule="auto"/>
              <w:jc w:val="center"/>
              <w:rPr>
                <w:rFonts w:cstheme="minorHAnsi"/>
                <w:noProof/>
              </w:rPr>
            </w:pPr>
            <w:r>
              <w:rPr>
                <w:noProof/>
              </w:rPr>
              <w:t>19.34</w:t>
            </w:r>
          </w:p>
        </w:tc>
        <w:tc>
          <w:tcPr>
            <w:tcW w:w="1211" w:type="dxa"/>
            <w:shd w:val="clear" w:color="auto" w:fill="C4EFCE"/>
            <w:noWrap/>
            <w:vAlign w:val="center"/>
          </w:tcPr>
          <w:p w14:paraId="40206F7E" w14:textId="2D382AD0" w:rsidR="00F24946" w:rsidRDefault="00613B06">
            <w:pPr>
              <w:pStyle w:val="P68B1DB1-Normal12"/>
              <w:spacing w:after="0" w:line="240" w:lineRule="auto"/>
              <w:jc w:val="center"/>
              <w:rPr>
                <w:rFonts w:cstheme="minorHAnsi"/>
                <w:noProof/>
              </w:rPr>
            </w:pPr>
            <w:r>
              <w:rPr>
                <w:noProof/>
              </w:rPr>
              <w:t>TD-C19-i08</w:t>
            </w:r>
          </w:p>
        </w:tc>
        <w:tc>
          <w:tcPr>
            <w:tcW w:w="1080" w:type="dxa"/>
            <w:shd w:val="clear" w:color="auto" w:fill="C4EFCE"/>
            <w:noWrap/>
            <w:vAlign w:val="center"/>
          </w:tcPr>
          <w:p w14:paraId="3762138F" w14:textId="70675931" w:rsidR="00F24946" w:rsidRDefault="00613B06">
            <w:pPr>
              <w:pStyle w:val="P68B1DB1-Normal12"/>
              <w:spacing w:after="0" w:line="240" w:lineRule="auto"/>
              <w:jc w:val="center"/>
              <w:rPr>
                <w:rFonts w:cstheme="minorHAnsi"/>
                <w:noProof/>
              </w:rPr>
            </w:pPr>
            <w:r>
              <w:rPr>
                <w:noProof/>
              </w:rPr>
              <w:t xml:space="preserve"> M</w:t>
            </w:r>
          </w:p>
        </w:tc>
        <w:tc>
          <w:tcPr>
            <w:tcW w:w="1609" w:type="dxa"/>
            <w:shd w:val="clear" w:color="auto" w:fill="C4EFCE"/>
            <w:noWrap/>
            <w:vAlign w:val="center"/>
          </w:tcPr>
          <w:p w14:paraId="4895262C" w14:textId="47D5ADE7" w:rsidR="00F24946" w:rsidRDefault="00613B06">
            <w:pPr>
              <w:pStyle w:val="P68B1DB1-Normal12"/>
              <w:spacing w:after="0" w:line="240" w:lineRule="auto"/>
              <w:jc w:val="center"/>
              <w:rPr>
                <w:rFonts w:cstheme="minorHAnsi"/>
                <w:noProof/>
              </w:rPr>
            </w:pPr>
            <w:r>
              <w:rPr>
                <w:noProof/>
              </w:rPr>
              <w:t>Vzpostavitev portala za pametna ozemlja</w:t>
            </w:r>
          </w:p>
        </w:tc>
        <w:tc>
          <w:tcPr>
            <w:tcW w:w="1343" w:type="dxa"/>
            <w:shd w:val="clear" w:color="auto" w:fill="C4EFCE"/>
            <w:noWrap/>
            <w:vAlign w:val="center"/>
          </w:tcPr>
          <w:p w14:paraId="1CE63BEE" w14:textId="6B7D4F8E" w:rsidR="00F24946" w:rsidRDefault="00613B06">
            <w:pPr>
              <w:pStyle w:val="P68B1DB1-Normal12"/>
              <w:spacing w:after="0" w:line="240" w:lineRule="auto"/>
              <w:jc w:val="center"/>
              <w:rPr>
                <w:rFonts w:cstheme="minorHAnsi"/>
                <w:noProof/>
              </w:rPr>
            </w:pPr>
            <w:r>
              <w:rPr>
                <w:noProof/>
              </w:rPr>
              <w:t xml:space="preserve">Vzpostavitev portala za pametna ozemlja  </w:t>
            </w:r>
          </w:p>
        </w:tc>
        <w:tc>
          <w:tcPr>
            <w:tcW w:w="1134" w:type="dxa"/>
            <w:shd w:val="clear" w:color="auto" w:fill="C4EFCE"/>
            <w:noWrap/>
            <w:vAlign w:val="center"/>
          </w:tcPr>
          <w:p w14:paraId="4795DA0D" w14:textId="4161F638" w:rsidR="00F24946" w:rsidRDefault="00613B06">
            <w:pPr>
              <w:pStyle w:val="P68B1DB1-Normal12"/>
              <w:spacing w:after="0" w:line="240" w:lineRule="auto"/>
              <w:jc w:val="center"/>
              <w:rPr>
                <w:rFonts w:cstheme="minorHAnsi"/>
                <w:noProof/>
              </w:rPr>
            </w:pPr>
            <w:r>
              <w:rPr>
                <w:noProof/>
              </w:rPr>
              <w:t xml:space="preserve"> </w:t>
            </w:r>
          </w:p>
        </w:tc>
        <w:tc>
          <w:tcPr>
            <w:tcW w:w="947" w:type="dxa"/>
            <w:shd w:val="clear" w:color="auto" w:fill="C4EFCE"/>
            <w:noWrap/>
            <w:vAlign w:val="center"/>
          </w:tcPr>
          <w:p w14:paraId="5ADAEE3A" w14:textId="662F9117" w:rsidR="00F24946" w:rsidRDefault="00613B06">
            <w:pPr>
              <w:pStyle w:val="P68B1DB1-Normal12"/>
              <w:spacing w:after="0" w:line="240" w:lineRule="auto"/>
              <w:jc w:val="center"/>
              <w:rPr>
                <w:rFonts w:cstheme="minorHAnsi"/>
                <w:noProof/>
              </w:rPr>
            </w:pPr>
            <w:r>
              <w:rPr>
                <w:noProof/>
              </w:rPr>
              <w:t xml:space="preserve"> </w:t>
            </w:r>
          </w:p>
        </w:tc>
        <w:tc>
          <w:tcPr>
            <w:tcW w:w="682" w:type="dxa"/>
            <w:shd w:val="clear" w:color="auto" w:fill="C4EFCE"/>
            <w:noWrap/>
            <w:vAlign w:val="center"/>
          </w:tcPr>
          <w:p w14:paraId="1BF2082E" w14:textId="49DE1BE3" w:rsidR="00F24946" w:rsidRDefault="00613B06">
            <w:pPr>
              <w:pStyle w:val="P68B1DB1-Normal12"/>
              <w:spacing w:after="0" w:line="240" w:lineRule="auto"/>
              <w:jc w:val="center"/>
              <w:rPr>
                <w:rFonts w:cstheme="minorHAnsi"/>
                <w:noProof/>
              </w:rPr>
            </w:pPr>
            <w:r>
              <w:rPr>
                <w:noProof/>
              </w:rPr>
              <w:t xml:space="preserve"> </w:t>
            </w:r>
          </w:p>
        </w:tc>
        <w:tc>
          <w:tcPr>
            <w:tcW w:w="550" w:type="dxa"/>
            <w:shd w:val="clear" w:color="auto" w:fill="C4EFCE"/>
            <w:noWrap/>
            <w:vAlign w:val="center"/>
          </w:tcPr>
          <w:p w14:paraId="2F308FC6" w14:textId="68E0A8F5" w:rsidR="00F24946" w:rsidRDefault="00613B06">
            <w:pPr>
              <w:pStyle w:val="P68B1DB1-Normal12"/>
              <w:spacing w:after="0" w:line="240" w:lineRule="auto"/>
              <w:jc w:val="center"/>
              <w:rPr>
                <w:rFonts w:cstheme="minorHAnsi"/>
                <w:noProof/>
              </w:rPr>
            </w:pPr>
            <w:r>
              <w:rPr>
                <w:noProof/>
              </w:rPr>
              <w:t>ČETRTLETJE 1</w:t>
            </w:r>
          </w:p>
        </w:tc>
        <w:tc>
          <w:tcPr>
            <w:tcW w:w="682" w:type="dxa"/>
            <w:shd w:val="clear" w:color="auto" w:fill="C4EFCE"/>
            <w:noWrap/>
            <w:vAlign w:val="center"/>
          </w:tcPr>
          <w:p w14:paraId="75086835" w14:textId="0DBEA283" w:rsidR="00F24946" w:rsidRDefault="00613B06">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5E92ABD1" w14:textId="47D500D2" w:rsidR="00F24946" w:rsidRDefault="00613B06">
            <w:pPr>
              <w:pStyle w:val="P68B1DB1-Bodytext1013"/>
              <w:spacing w:after="0" w:line="240" w:lineRule="auto"/>
              <w:jc w:val="both"/>
              <w:rPr>
                <w:rFonts w:cstheme="minorHAnsi"/>
                <w:noProof/>
              </w:rPr>
            </w:pPr>
            <w:r>
              <w:rPr>
                <w:noProof/>
              </w:rPr>
              <w:t xml:space="preserve">Vzpostavitev spletnega spletišča (tj. portala), ki zagotavlja spletno odložišče informacij na lokalni, regionalni in nacionalni ravni.  </w:t>
            </w:r>
          </w:p>
        </w:tc>
      </w:tr>
      <w:tr w:rsidR="00F24946" w14:paraId="561E4208" w14:textId="77777777">
        <w:trPr>
          <w:trHeight w:val="430"/>
        </w:trPr>
        <w:tc>
          <w:tcPr>
            <w:tcW w:w="1082" w:type="dxa"/>
            <w:shd w:val="clear" w:color="auto" w:fill="C4EFCE"/>
            <w:vAlign w:val="center"/>
          </w:tcPr>
          <w:p w14:paraId="1C29C0D2" w14:textId="68CA64B4" w:rsidR="00F24946" w:rsidRDefault="00613B06">
            <w:pPr>
              <w:pStyle w:val="P68B1DB1-Normal11"/>
              <w:spacing w:after="0" w:line="240" w:lineRule="auto"/>
              <w:jc w:val="center"/>
              <w:rPr>
                <w:rFonts w:cstheme="minorHAnsi"/>
                <w:noProof/>
              </w:rPr>
            </w:pPr>
            <w:r>
              <w:rPr>
                <w:noProof/>
              </w:rPr>
              <w:t>19.35</w:t>
            </w:r>
          </w:p>
        </w:tc>
        <w:tc>
          <w:tcPr>
            <w:tcW w:w="1211" w:type="dxa"/>
            <w:shd w:val="clear" w:color="auto" w:fill="C4EFCE"/>
            <w:noWrap/>
            <w:vAlign w:val="center"/>
          </w:tcPr>
          <w:p w14:paraId="08D6F6EF" w14:textId="5FBF4181" w:rsidR="00F24946" w:rsidRDefault="00613B06">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39CBDC9B" w14:textId="028DD878" w:rsidR="00F24946" w:rsidRDefault="00613B06">
            <w:pPr>
              <w:pStyle w:val="P68B1DB1-Normal12"/>
              <w:spacing w:after="0" w:line="240" w:lineRule="auto"/>
              <w:jc w:val="center"/>
              <w:rPr>
                <w:noProof/>
              </w:rPr>
            </w:pPr>
            <w:r>
              <w:rPr>
                <w:noProof/>
              </w:rPr>
              <w:t>M</w:t>
            </w:r>
          </w:p>
        </w:tc>
        <w:tc>
          <w:tcPr>
            <w:tcW w:w="1609" w:type="dxa"/>
            <w:shd w:val="clear" w:color="auto" w:fill="C4EFCE"/>
            <w:noWrap/>
            <w:vAlign w:val="center"/>
          </w:tcPr>
          <w:p w14:paraId="5CDAFF79" w14:textId="16B612FE" w:rsidR="00F24946" w:rsidRDefault="00613B06">
            <w:pPr>
              <w:pStyle w:val="P68B1DB1-Normal12"/>
              <w:spacing w:after="0" w:line="240" w:lineRule="auto"/>
              <w:jc w:val="center"/>
              <w:rPr>
                <w:noProof/>
              </w:rPr>
            </w:pPr>
            <w:r>
              <w:rPr>
                <w:noProof/>
              </w:rPr>
              <w:t>Inteligentna ozemlja: Platforme za upravljanje mest, digitalni dvojčki in pregledna plošča javne politike</w:t>
            </w:r>
          </w:p>
        </w:tc>
        <w:tc>
          <w:tcPr>
            <w:tcW w:w="1343" w:type="dxa"/>
            <w:shd w:val="clear" w:color="auto" w:fill="C4EFCE"/>
            <w:noWrap/>
            <w:vAlign w:val="center"/>
          </w:tcPr>
          <w:p w14:paraId="5887A4A4" w14:textId="04AD0981" w:rsidR="00F24946" w:rsidRDefault="00613B06">
            <w:pPr>
              <w:pStyle w:val="P68B1DB1-Normal8"/>
              <w:spacing w:after="0" w:line="240" w:lineRule="auto"/>
              <w:jc w:val="center"/>
              <w:rPr>
                <w:rFonts w:eastAsia="Calibri" w:cs="Calibri"/>
                <w:noProof/>
              </w:rPr>
            </w:pPr>
            <w:r>
              <w:rPr>
                <w:noProof/>
              </w:rPr>
              <w:t>Občine s platformami za upravljanje mest, vzpostavitev digitalnih dvojčkov in vzpostavitev nadzorne plošče javne politike</w:t>
            </w:r>
          </w:p>
        </w:tc>
        <w:tc>
          <w:tcPr>
            <w:tcW w:w="1134" w:type="dxa"/>
            <w:shd w:val="clear" w:color="auto" w:fill="C4EFCE"/>
            <w:noWrap/>
            <w:vAlign w:val="center"/>
          </w:tcPr>
          <w:p w14:paraId="66C3FFB1" w14:textId="620351DF" w:rsidR="00F24946" w:rsidRDefault="00F24946">
            <w:pPr>
              <w:spacing w:after="0" w:line="240" w:lineRule="auto"/>
              <w:jc w:val="center"/>
              <w:rPr>
                <w:rFonts w:cstheme="minorHAnsi"/>
                <w:noProof/>
                <w:sz w:val="16"/>
              </w:rPr>
            </w:pPr>
          </w:p>
        </w:tc>
        <w:tc>
          <w:tcPr>
            <w:tcW w:w="947" w:type="dxa"/>
            <w:shd w:val="clear" w:color="auto" w:fill="C4EFCE"/>
            <w:noWrap/>
            <w:vAlign w:val="center"/>
          </w:tcPr>
          <w:p w14:paraId="08351A85" w14:textId="3468C050" w:rsidR="00F24946" w:rsidRDefault="00F24946">
            <w:pPr>
              <w:spacing w:after="0" w:line="240" w:lineRule="auto"/>
              <w:jc w:val="center"/>
              <w:rPr>
                <w:noProof/>
                <w:sz w:val="16"/>
              </w:rPr>
            </w:pPr>
          </w:p>
        </w:tc>
        <w:tc>
          <w:tcPr>
            <w:tcW w:w="682" w:type="dxa"/>
            <w:shd w:val="clear" w:color="auto" w:fill="C4EFCE"/>
            <w:noWrap/>
            <w:vAlign w:val="center"/>
          </w:tcPr>
          <w:p w14:paraId="78472566" w14:textId="31A690E9" w:rsidR="00F24946" w:rsidRDefault="00F24946">
            <w:pPr>
              <w:spacing w:after="0" w:line="240" w:lineRule="auto"/>
              <w:jc w:val="center"/>
              <w:rPr>
                <w:noProof/>
                <w:sz w:val="16"/>
              </w:rPr>
            </w:pPr>
          </w:p>
        </w:tc>
        <w:tc>
          <w:tcPr>
            <w:tcW w:w="550" w:type="dxa"/>
            <w:shd w:val="clear" w:color="auto" w:fill="C4EFCE"/>
            <w:noWrap/>
            <w:vAlign w:val="center"/>
          </w:tcPr>
          <w:p w14:paraId="5C72A606" w14:textId="5E11F7EF" w:rsidR="00F24946" w:rsidRDefault="00613B06">
            <w:pPr>
              <w:pStyle w:val="P68B1DB1-Normal12"/>
              <w:spacing w:after="0" w:line="240" w:lineRule="auto"/>
              <w:jc w:val="center"/>
              <w:rPr>
                <w:noProof/>
              </w:rPr>
            </w:pPr>
            <w:r>
              <w:rPr>
                <w:noProof/>
              </w:rPr>
              <w:t>ČETRTLETJE 1</w:t>
            </w:r>
          </w:p>
        </w:tc>
        <w:tc>
          <w:tcPr>
            <w:tcW w:w="682" w:type="dxa"/>
            <w:shd w:val="clear" w:color="auto" w:fill="C4EFCE"/>
            <w:noWrap/>
            <w:vAlign w:val="center"/>
          </w:tcPr>
          <w:p w14:paraId="35582AA4" w14:textId="7E5EFB41" w:rsidR="00F24946" w:rsidRDefault="00613B06">
            <w:pPr>
              <w:pStyle w:val="P68B1DB1-Normal12"/>
              <w:spacing w:after="0" w:line="240" w:lineRule="auto"/>
              <w:jc w:val="center"/>
              <w:rPr>
                <w:rFonts w:cstheme="minorHAnsi"/>
                <w:noProof/>
              </w:rPr>
            </w:pPr>
            <w:r>
              <w:rPr>
                <w:noProof/>
              </w:rPr>
              <w:t>2026</w:t>
            </w:r>
          </w:p>
        </w:tc>
        <w:tc>
          <w:tcPr>
            <w:tcW w:w="4458" w:type="dxa"/>
            <w:shd w:val="clear" w:color="auto" w:fill="C4EFCE"/>
            <w:vAlign w:val="center"/>
          </w:tcPr>
          <w:p w14:paraId="1A3A289D" w14:textId="7D525C8C" w:rsidR="00F24946" w:rsidRDefault="00613B06">
            <w:pPr>
              <w:pStyle w:val="P68B1DB1-Bodytext1013"/>
              <w:spacing w:after="0" w:line="240" w:lineRule="auto"/>
              <w:jc w:val="both"/>
              <w:rPr>
                <w:rFonts w:cstheme="minorBidi"/>
                <w:noProof/>
              </w:rPr>
            </w:pPr>
            <w:r>
              <w:rPr>
                <w:noProof/>
              </w:rPr>
              <w:t>Platforma za upravljanje mest se namesti ali nadgradi v 75 občinah in Comunidades Intermunicipais/Areas Metropolitanas.</w:t>
            </w:r>
          </w:p>
          <w:p w14:paraId="5DF67326" w14:textId="15FAAA70" w:rsidR="00F24946" w:rsidRDefault="00F24946">
            <w:pPr>
              <w:pStyle w:val="Bodytext10"/>
              <w:spacing w:after="0" w:line="240" w:lineRule="auto"/>
              <w:jc w:val="both"/>
              <w:rPr>
                <w:rFonts w:asciiTheme="minorHAnsi" w:hAnsiTheme="minorHAnsi" w:cstheme="minorBidi"/>
                <w:noProof/>
                <w:sz w:val="16"/>
              </w:rPr>
            </w:pPr>
          </w:p>
          <w:p w14:paraId="0EC040A8" w14:textId="2E07BB19" w:rsidR="00F24946" w:rsidRDefault="00613B06">
            <w:pPr>
              <w:pStyle w:val="P68B1DB1-Bodytext1013"/>
              <w:spacing w:after="0" w:line="240" w:lineRule="auto"/>
              <w:jc w:val="both"/>
              <w:rPr>
                <w:rFonts w:cstheme="minorBidi"/>
                <w:noProof/>
              </w:rPr>
            </w:pPr>
            <w:r>
              <w:rPr>
                <w:noProof/>
              </w:rPr>
              <w:t>Pet digitalnih dvojčkov se ustvari na nacionalnih prednostnih področjih, kot so voda in kmetijstvo, odpornost proti podnebnim spremembam, mobilnost in razogljičenje, zdravje, energija, turizem in civilna zaščita.</w:t>
            </w:r>
          </w:p>
          <w:p w14:paraId="59ADF51D" w14:textId="15FAAA70" w:rsidR="00F24946" w:rsidRDefault="00F24946">
            <w:pPr>
              <w:pStyle w:val="Bodytext10"/>
              <w:spacing w:after="0" w:line="240" w:lineRule="auto"/>
              <w:jc w:val="both"/>
              <w:rPr>
                <w:rFonts w:asciiTheme="minorHAnsi" w:hAnsiTheme="minorHAnsi" w:cstheme="minorBidi"/>
                <w:noProof/>
                <w:sz w:val="16"/>
              </w:rPr>
            </w:pPr>
          </w:p>
          <w:p w14:paraId="1268B617" w14:textId="574B7910" w:rsidR="00F24946" w:rsidRDefault="00613B06">
            <w:pPr>
              <w:pStyle w:val="P68B1DB1-Bodytext1013"/>
              <w:spacing w:after="0" w:line="240" w:lineRule="auto"/>
              <w:jc w:val="both"/>
              <w:rPr>
                <w:rFonts w:cstheme="minorBidi"/>
                <w:noProof/>
              </w:rPr>
            </w:pPr>
            <w:r>
              <w:rPr>
                <w:noProof/>
              </w:rPr>
              <w:t>Vzpostavljena nadzorna plošča je na voljo osrednjim in regionalnim akterjem.</w:t>
            </w:r>
          </w:p>
        </w:tc>
      </w:tr>
      <w:tr w:rsidR="00F24946" w14:paraId="1F719612" w14:textId="77777777">
        <w:trPr>
          <w:trHeight w:val="430"/>
        </w:trPr>
        <w:tc>
          <w:tcPr>
            <w:tcW w:w="1082" w:type="dxa"/>
            <w:shd w:val="clear" w:color="auto" w:fill="C4EFCE"/>
            <w:vAlign w:val="center"/>
          </w:tcPr>
          <w:p w14:paraId="628865B2" w14:textId="55E9CCCC" w:rsidR="00F24946" w:rsidRDefault="00613B06">
            <w:pPr>
              <w:pStyle w:val="P68B1DB1-Normal11"/>
              <w:spacing w:after="0" w:line="240" w:lineRule="auto"/>
              <w:jc w:val="center"/>
              <w:rPr>
                <w:rFonts w:cstheme="minorHAnsi"/>
                <w:noProof/>
              </w:rPr>
            </w:pPr>
            <w:r>
              <w:rPr>
                <w:noProof/>
              </w:rPr>
              <w:t>19.36</w:t>
            </w:r>
          </w:p>
        </w:tc>
        <w:tc>
          <w:tcPr>
            <w:tcW w:w="1211" w:type="dxa"/>
            <w:shd w:val="clear" w:color="auto" w:fill="C4EFCE"/>
            <w:noWrap/>
            <w:vAlign w:val="center"/>
          </w:tcPr>
          <w:p w14:paraId="25B23B67" w14:textId="600B4833" w:rsidR="00F24946" w:rsidRDefault="00613B06">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419D9ACF" w14:textId="2C9A2317" w:rsidR="00F24946" w:rsidRDefault="00613B06">
            <w:pPr>
              <w:pStyle w:val="P68B1DB1-Normal12"/>
              <w:spacing w:after="0" w:line="240" w:lineRule="auto"/>
              <w:jc w:val="center"/>
              <w:rPr>
                <w:rFonts w:cstheme="minorHAnsi"/>
                <w:noProof/>
              </w:rPr>
            </w:pPr>
            <w:r>
              <w:rPr>
                <w:noProof/>
              </w:rPr>
              <w:t>M</w:t>
            </w:r>
          </w:p>
        </w:tc>
        <w:tc>
          <w:tcPr>
            <w:tcW w:w="1609" w:type="dxa"/>
            <w:shd w:val="clear" w:color="auto" w:fill="C4EFCE"/>
            <w:noWrap/>
            <w:vAlign w:val="center"/>
          </w:tcPr>
          <w:p w14:paraId="5648E079" w14:textId="3040F5A3" w:rsidR="00F24946" w:rsidRDefault="00613B06">
            <w:pPr>
              <w:pStyle w:val="P68B1DB1-Normal12"/>
              <w:spacing w:after="0" w:line="240" w:lineRule="auto"/>
              <w:jc w:val="center"/>
              <w:rPr>
                <w:rFonts w:cstheme="minorHAnsi"/>
                <w:noProof/>
              </w:rPr>
            </w:pPr>
            <w:r>
              <w:rPr>
                <w:noProof/>
              </w:rPr>
              <w:t>Usposabljanje o pametnih ozemljih</w:t>
            </w:r>
          </w:p>
        </w:tc>
        <w:tc>
          <w:tcPr>
            <w:tcW w:w="1343" w:type="dxa"/>
            <w:shd w:val="clear" w:color="auto" w:fill="C4EFCE"/>
            <w:noWrap/>
            <w:vAlign w:val="center"/>
          </w:tcPr>
          <w:p w14:paraId="44D863AA" w14:textId="77777777" w:rsidR="00F24946" w:rsidRDefault="00F24946">
            <w:pPr>
              <w:spacing w:after="0" w:line="240" w:lineRule="auto"/>
              <w:jc w:val="center"/>
              <w:rPr>
                <w:rFonts w:cstheme="minorHAnsi"/>
                <w:noProof/>
                <w:sz w:val="16"/>
              </w:rPr>
            </w:pPr>
          </w:p>
        </w:tc>
        <w:tc>
          <w:tcPr>
            <w:tcW w:w="1134" w:type="dxa"/>
            <w:shd w:val="clear" w:color="auto" w:fill="C4EFCE"/>
            <w:noWrap/>
            <w:vAlign w:val="center"/>
          </w:tcPr>
          <w:p w14:paraId="3C744534" w14:textId="471C353F" w:rsidR="00F24946" w:rsidRDefault="00613B06">
            <w:pPr>
              <w:pStyle w:val="P68B1DB1-Normal12"/>
              <w:spacing w:after="0" w:line="240" w:lineRule="auto"/>
              <w:jc w:val="center"/>
              <w:rPr>
                <w:rFonts w:cstheme="minorHAnsi"/>
                <w:noProof/>
              </w:rPr>
            </w:pPr>
            <w:r>
              <w:rPr>
                <w:noProof/>
              </w:rPr>
              <w:t>Število</w:t>
            </w:r>
          </w:p>
        </w:tc>
        <w:tc>
          <w:tcPr>
            <w:tcW w:w="947" w:type="dxa"/>
            <w:shd w:val="clear" w:color="auto" w:fill="C4EFCE"/>
            <w:noWrap/>
            <w:vAlign w:val="center"/>
          </w:tcPr>
          <w:p w14:paraId="538FAA91" w14:textId="20339339" w:rsidR="00F24946" w:rsidRDefault="00613B06">
            <w:pPr>
              <w:pStyle w:val="P68B1DB1-Normal12"/>
              <w:spacing w:after="0" w:line="240" w:lineRule="auto"/>
              <w:jc w:val="center"/>
              <w:rPr>
                <w:rFonts w:cstheme="minorHAnsi"/>
                <w:noProof/>
              </w:rPr>
            </w:pPr>
            <w:r>
              <w:rPr>
                <w:noProof/>
              </w:rPr>
              <w:t>0</w:t>
            </w:r>
          </w:p>
        </w:tc>
        <w:tc>
          <w:tcPr>
            <w:tcW w:w="682" w:type="dxa"/>
            <w:shd w:val="clear" w:color="auto" w:fill="C4EFCE"/>
            <w:noWrap/>
            <w:vAlign w:val="center"/>
          </w:tcPr>
          <w:p w14:paraId="498F4BE0" w14:textId="75A3A34E" w:rsidR="00F24946" w:rsidRDefault="00613B06">
            <w:pPr>
              <w:pStyle w:val="P68B1DB1-Normal12"/>
              <w:spacing w:after="0" w:line="240" w:lineRule="auto"/>
              <w:jc w:val="center"/>
              <w:rPr>
                <w:rFonts w:cstheme="minorHAnsi"/>
                <w:noProof/>
              </w:rPr>
            </w:pPr>
            <w:r>
              <w:rPr>
                <w:noProof/>
              </w:rPr>
              <w:t>650</w:t>
            </w:r>
          </w:p>
        </w:tc>
        <w:tc>
          <w:tcPr>
            <w:tcW w:w="550" w:type="dxa"/>
            <w:shd w:val="clear" w:color="auto" w:fill="C4EFCE"/>
            <w:noWrap/>
            <w:vAlign w:val="center"/>
          </w:tcPr>
          <w:p w14:paraId="195EA9FE" w14:textId="21BCF0FB" w:rsidR="00F24946" w:rsidRDefault="00613B06">
            <w:pPr>
              <w:pStyle w:val="P68B1DB1-Normal12"/>
              <w:spacing w:after="0" w:line="240" w:lineRule="auto"/>
              <w:jc w:val="center"/>
              <w:rPr>
                <w:rFonts w:cstheme="minorHAnsi"/>
                <w:noProof/>
              </w:rPr>
            </w:pPr>
            <w:r>
              <w:rPr>
                <w:noProof/>
              </w:rPr>
              <w:t>Q4</w:t>
            </w:r>
          </w:p>
        </w:tc>
        <w:tc>
          <w:tcPr>
            <w:tcW w:w="682" w:type="dxa"/>
            <w:shd w:val="clear" w:color="auto" w:fill="C4EFCE"/>
            <w:noWrap/>
            <w:vAlign w:val="center"/>
          </w:tcPr>
          <w:p w14:paraId="5FAC320A" w14:textId="68759A95" w:rsidR="00F24946" w:rsidRDefault="00613B06">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6C088F62" w14:textId="48E68E5E" w:rsidR="00F24946" w:rsidRDefault="00613B06">
            <w:pPr>
              <w:pStyle w:val="P68B1DB1-Bodytext1013"/>
              <w:spacing w:after="0" w:line="240" w:lineRule="auto"/>
              <w:jc w:val="both"/>
              <w:rPr>
                <w:rFonts w:cstheme="minorHAnsi"/>
                <w:noProof/>
              </w:rPr>
            </w:pPr>
            <w:r>
              <w:rPr>
                <w:noProof/>
              </w:rPr>
              <w:t>Število javnih uslužbencev, ki so zaključili usposabljanje o zbiranju in upravljanju podatkov ter drugih vsebinah, povezanih s pametnimi mesti in stavbami ter trajnostnostjo.</w:t>
            </w:r>
          </w:p>
        </w:tc>
      </w:tr>
    </w:tbl>
    <w:p w14:paraId="7E5600AA" w14:textId="77777777" w:rsidR="00F24946" w:rsidRDefault="00F24946">
      <w:pPr>
        <w:keepNext/>
        <w:spacing w:before="40" w:after="0" w:line="259" w:lineRule="auto"/>
        <w:jc w:val="both"/>
        <w:rPr>
          <w:rFonts w:ascii="Times New Roman" w:eastAsiaTheme="minorEastAsia" w:hAnsi="Times New Roman" w:cs="Times New Roman"/>
          <w:noProof/>
          <w:sz w:val="24"/>
          <w:u w:val="single"/>
        </w:rPr>
      </w:pPr>
    </w:p>
    <w:p w14:paraId="24A85F36"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E00EDD">
          <w:headerReference w:type="even" r:id="rId350"/>
          <w:headerReference w:type="default" r:id="rId351"/>
          <w:footerReference w:type="even" r:id="rId352"/>
          <w:footerReference w:type="default" r:id="rId353"/>
          <w:headerReference w:type="first" r:id="rId354"/>
          <w:footerReference w:type="first" r:id="rId355"/>
          <w:pgSz w:w="16839" w:h="11907" w:orient="landscape"/>
          <w:pgMar w:top="1134" w:right="1134" w:bottom="1134" w:left="1134" w:header="567" w:footer="567" w:gutter="0"/>
          <w:cols w:space="720"/>
          <w:docGrid w:linePitch="360"/>
        </w:sectPr>
      </w:pPr>
    </w:p>
    <w:p w14:paraId="6A596265"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T. KOMPONENTA 20: Digitalna šola</w:t>
      </w:r>
    </w:p>
    <w:p w14:paraId="0220BD59"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Portugalska je imela leta 2019 vrednosti pod evropskim povprečjem v smislu dnevne uporabe interneta (65 %), uporabe spletnih javnih storitev (41 %) in strokovnjakov za IKT na trgu dela (2,4 %) (podatki Eurostata/observatorij za digitalna znanja in spretnosti), za te kazalnike pa je določila ambiciozne cilje do leta 2025 (80 %, 75 % oziroma 5 %). Med strokovnjaki za IKT na trgu dela so ženske predstavljale 18,3 %, moški pa 81,7 % (podatki Eurostata). </w:t>
      </w:r>
    </w:p>
    <w:p w14:paraId="3D0CAE16" w14:textId="77777777" w:rsidR="00F24946" w:rsidRDefault="00613B06">
      <w:pPr>
        <w:pStyle w:val="P68B1DB1-Normal4"/>
        <w:keepNext/>
        <w:spacing w:before="40" w:after="0" w:line="259" w:lineRule="auto"/>
        <w:jc w:val="both"/>
        <w:rPr>
          <w:rFonts w:eastAsiaTheme="minorEastAsia" w:cs="Times New Roman"/>
          <w:noProof/>
        </w:rPr>
      </w:pPr>
      <w:r>
        <w:rPr>
          <w:noProof/>
        </w:rPr>
        <w:t>Cilji komponente so ustvariti pogoje za izobraževalne, pedagoške in vodstvene inovacije portugalskega sistema osnovnošolskega in srednješolskega izobraževanja. To se doseže z razvojem digitalnih spretnosti učiteljev, učencev in šolskega osebja, vključevanjem digitalnih tehnologij v različna področja učnih načrtov in zagotavljanjem ustrezne opreme. Pričakuje se, da bo to prispevalo k digitalnemu prehodu ter vključujoči in trajnostni rasti gospodarstva.</w:t>
      </w:r>
    </w:p>
    <w:p w14:paraId="2A7F6906" w14:textId="77777777" w:rsidR="00F24946" w:rsidRDefault="00613B06">
      <w:pPr>
        <w:pStyle w:val="P68B1DB1-Normal4"/>
        <w:keepNext/>
        <w:spacing w:before="40" w:after="0" w:line="259" w:lineRule="auto"/>
        <w:jc w:val="both"/>
        <w:rPr>
          <w:rFonts w:eastAsiaTheme="minorEastAsia" w:cs="Times New Roman"/>
          <w:noProof/>
        </w:rPr>
      </w:pPr>
      <w:r>
        <w:rPr>
          <w:noProof/>
        </w:rPr>
        <w:t>Komponenta prispeva k obravnavi priporočila za posamezno državo, da bi se izboljšala raven znanj in spretnosti prebivalstva, zlasti digitalna pismenost (priporočilo za posamezno državo št. 2 iz leta 2019), ter podprla uporaba digitalnih tehnologij za zagotovitev enakega dostopa do kakovostnega izobraževanja in usposabljanja (priporočilo za posamezno državo št. 2 2020).</w:t>
      </w:r>
    </w:p>
    <w:p w14:paraId="74ECCC4A" w14:textId="77777777" w:rsidR="00F24946" w:rsidRDefault="00613B06">
      <w:pPr>
        <w:pStyle w:val="P68B1DB1-Normal4"/>
        <w:keepNext/>
        <w:spacing w:before="40" w:after="0" w:line="259" w:lineRule="auto"/>
        <w:jc w:val="both"/>
        <w:outlineLvl w:val="1"/>
        <w:rPr>
          <w:rFonts w:eastAsiaTheme="minorEastAsia" w:cs="Times New Roman"/>
          <w:noProof/>
        </w:rPr>
      </w:pPr>
      <w:r>
        <w:rPr>
          <w:noProof/>
        </w:rPr>
        <w:t xml:space="preserve">Pričakuje se, da noben ukrep v tej komponenti ne bo bistveno škodoval okoljskim ciljem v smislu člena 17 Uredbe (EU) 2020/852, ob upoštevanju opisa ukrepov in blažilnih ukrepov iz načrta v skladu s tehničnimi smernicami za načelo, da se ne škoduje bistveno (2021/C58/01). </w:t>
      </w:r>
    </w:p>
    <w:p w14:paraId="3B662D2B"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noProof/>
          <w:sz w:val="24"/>
        </w:rPr>
      </w:pPr>
    </w:p>
    <w:p w14:paraId="59DF8EE1"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T.1. Opis reform in naložb za nepovratno finančno podporo</w:t>
      </w:r>
    </w:p>
    <w:p w14:paraId="707939C8"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TD-r37: Reforma digitalnega izobraževanja</w:t>
      </w:r>
    </w:p>
    <w:p w14:paraId="75AAAB0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 ukrepa je razviti nov digitalni pristop k izobraževanju s spodbujanjem obstoječih javnih izobraževalnih politik, zlasti sistema avtonomije in prožnosti v učnih načrtih. Cilj te reforme je uvesti kvalitativni preskok pri pedagoški uporabi digitalnih tehnologij in njihovem vključevanju v proces pridobivanja znanja. Cilj reforme je tudi zmanjšati tveganje izključenosti in prikrajšanosti v učnih procesih z zmanjšanjem socialnih in izobraževalnih neenakosti pri dostopu do digitalnih tehnologij. Reforma digitalnega izobraževanja je namenjena izobraževalni skupnosti (učenci, pedagoški in neučiteljski delavci). </w:t>
      </w:r>
    </w:p>
    <w:p w14:paraId="2F6F6796"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Reforma vključuje ukrepe, s katerimi se zagotovi, da se 95 % učiteljev v mreži javnega izobraževanja udeleži usposabljanja na področju osnovnih ali naprednejših digitalnih znanj in spretnosti, vključno z vključevanjem digitalnih tehnologij v učni načrt. </w:t>
      </w:r>
    </w:p>
    <w:p w14:paraId="5FE5A2B5" w14:textId="77777777" w:rsidR="00F24946" w:rsidRDefault="00613B06">
      <w:pPr>
        <w:pStyle w:val="P68B1DB1-Normal4"/>
        <w:keepNext/>
        <w:spacing w:before="40" w:after="0" w:line="259" w:lineRule="auto"/>
        <w:jc w:val="both"/>
        <w:rPr>
          <w:rFonts w:eastAsiaTheme="minorEastAsia" w:cs="Times New Roman"/>
          <w:noProof/>
        </w:rPr>
      </w:pPr>
      <w:r>
        <w:rPr>
          <w:noProof/>
        </w:rPr>
        <w:t>Reforma se izvede do 31. decembra 2025.</w:t>
      </w:r>
    </w:p>
    <w:p w14:paraId="079FE2F5"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TD-C20-i01: Digitalni prehod v izobraževanju</w:t>
      </w:r>
    </w:p>
    <w:p w14:paraId="1BD28562" w14:textId="77777777" w:rsidR="00F24946" w:rsidRDefault="00613B06">
      <w:pPr>
        <w:pStyle w:val="P68B1DB1-Normal4"/>
        <w:keepNext/>
        <w:spacing w:before="40" w:after="0" w:line="259" w:lineRule="auto"/>
        <w:jc w:val="both"/>
        <w:rPr>
          <w:rFonts w:eastAsiaTheme="minorEastAsia" w:cs="Times New Roman"/>
          <w:noProof/>
        </w:rPr>
      </w:pPr>
      <w:r>
        <w:rPr>
          <w:noProof/>
        </w:rPr>
        <w:t>Cilji naložbe so: I) odpraviti ovire za dostop do kakovostnega interneta v šolskem okolju; (II) odpraviti omejitve za integrirano uporabo tehnološke in digitalne opreme ter odpraviti pomanjkanje specializirane opreme za razvoj digitalnih znanj in spretnosti ter spodbujanje nadaljevanja poklicnih poti na področju naravoslovja, tehnologije, inženirstva in matematike ter enakopravno udeležbo deklet in fantov; III) premostiti nezadostno uporabo digitalnih izobraževalnih virov v učnem procesu in postopku ocenjevanja; ter iv) odpraviti razpršenost in neučinkovitost upravljavskih in informacijskih sistemov izobraževalnega sistema s pregledovanjem in posodabljanjem metodologij in postopkov vodenja in upravljanja šol.</w:t>
      </w:r>
    </w:p>
    <w:p w14:paraId="7653B2CD" w14:textId="77777777" w:rsidR="00F24946" w:rsidRDefault="00613B06">
      <w:pPr>
        <w:pStyle w:val="P68B1DB1-Normal4"/>
        <w:keepNext/>
        <w:spacing w:before="40" w:after="0" w:line="259" w:lineRule="auto"/>
        <w:jc w:val="both"/>
        <w:rPr>
          <w:rFonts w:eastAsiaTheme="minorEastAsia" w:cs="Times New Roman"/>
          <w:noProof/>
        </w:rPr>
      </w:pPr>
      <w:r>
        <w:rPr>
          <w:noProof/>
        </w:rPr>
        <w:t>Ta naložba je sestavljena iz naslednjega:</w:t>
      </w:r>
    </w:p>
    <w:p w14:paraId="03FF5724" w14:textId="6EAC7F20"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Povečati povezljivost šol z razširitvijo internetne povezljivosti razširjene mreže izobraževanja s 40 na 300 Gb/s, povezati osnovne in srednje šole z razširjeno mrežo izobraževanja in jim zagotoviti povezljivost vsaj 1 Gb/s ter razširiti lokalno omrežje s povprečno 40 novimi točkami dostopa za vsako šolo.</w:t>
      </w:r>
    </w:p>
    <w:p w14:paraId="75BEAC82" w14:textId="10913F76"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Zagotoviti 600000 računalnikov učencem in učiteljem, nadgraditi opremo za projekcije v učilnicah (40000 projektorjev) in šolam zagotoviti laboratorije za digitalno izobraževanje, opremljene z izobraževalnimi naprednimi digitalnimi tehnologijami, kot so 3D-tiskalniki in izobraževalni roboti (1300).</w:t>
      </w:r>
    </w:p>
    <w:p w14:paraId="2EECEC6A" w14:textId="77777777"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Razvoj in sprejetje novih digitalnih izobraževalnih virov (95 % predmetov v osnovnošolskih in srednješolskih učnih načrtih, vključno s telesno vzgojo in športom), vključno z digitalizacijo ocenjevalnih testov.</w:t>
      </w:r>
    </w:p>
    <w:p w14:paraId="52367BA5" w14:textId="77777777"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Šolam zagotoviti „enotni sistem identitete“ za upravljanje šolske skupnosti, zbliževanje in povezovanje informacijskih sistemov za upravljanje izobraževanja ter upravljanje z ustreznimi informacijskimi rešitvami, 15000 različno opremo (med računalniki, skenerji in tiskalniki), da bi dosegli učinkovitejše in preglednejše delovanje izobraževalnega sistema, vključno z racionalizacijo izdatkov šol.</w:t>
      </w:r>
    </w:p>
    <w:p w14:paraId="0F323A51"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14F3F2F2" w14:textId="7777777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TD-C20-i02-RAA: Digitalno izobraževanje (Azori)</w:t>
      </w:r>
    </w:p>
    <w:p w14:paraId="6DBBE642"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Cilji ukrepa so zagotoviti dostop do uporabe digitalnih tehnologij, spodbujati enake možnosti in znatno izboljšati načine učenja v skladu z akcijskim načrtom Evropske unije za digitalno izobraževanje. </w:t>
      </w:r>
    </w:p>
    <w:p w14:paraId="5C7D6298" w14:textId="325E0E33" w:rsidR="00F24946" w:rsidRDefault="00613B06">
      <w:pPr>
        <w:pStyle w:val="P68B1DB1-Normal4"/>
        <w:keepNext/>
        <w:spacing w:before="40" w:after="0" w:line="259" w:lineRule="auto"/>
        <w:jc w:val="both"/>
        <w:rPr>
          <w:rFonts w:eastAsiaTheme="minorEastAsia" w:cs="Times New Roman"/>
          <w:noProof/>
        </w:rPr>
      </w:pPr>
      <w:r>
        <w:rPr>
          <w:noProof/>
        </w:rPr>
        <w:t>Te naložbe zajemajo spodbujanje razvoja digitalnih znanj in spretnosti izobraževalne skupnosti, namenjene tako učencem, njihovim staršem in učiteljem, ter vključujejo ciljno usmerjene ukrepe na naslednjih področjih:</w:t>
      </w:r>
    </w:p>
    <w:p w14:paraId="513C3B5B" w14:textId="36FC7C89"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Oprema 5G: 31900 nove mobilne opreme IT za predšolsko, osnovnošolsko in srednješolsko izobraževanje, vključno z nadgradnjo in programsko opremo ter zagotavljanjem opreme na šolski ravni z vsaj 1080 novimi interaktivnimi zasloni, 100 novo specializirano laboratorijsko opremo, 100 novimi 3D-tiskalniki in 150 novimi izobraževalnimi roboti;</w:t>
      </w:r>
    </w:p>
    <w:p w14:paraId="0EBDFF9B" w14:textId="77777777"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Digitalni učni viri: digitalizacija izobraževalnih virov, da bi z digitalnimi priročniki dosegli 100 % učencev v avtonomni regiji Azori;</w:t>
      </w:r>
    </w:p>
    <w:p w14:paraId="2A03A637" w14:textId="0F426A51"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Digitalne kompetence: 24 modulov usposabljanja, namenjenih učiteljem in staršem učencev; </w:t>
      </w:r>
    </w:p>
    <w:p w14:paraId="690C5BB4" w14:textId="7315D772" w:rsidR="00F24946" w:rsidRDefault="00613B06">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Povezanost: ukrepi za izboljšanje povezljivosti šol v avtonomni regiji Azori na vsaj 1 Gb/s. Nakup in namestitev 1500 stikal in LPS. </w:t>
      </w:r>
    </w:p>
    <w:p w14:paraId="1A26EC6C" w14:textId="77777777" w:rsidR="00F24946" w:rsidRDefault="00613B06">
      <w:pPr>
        <w:pStyle w:val="P68B1DB1-Normal4"/>
        <w:keepNext/>
        <w:spacing w:before="40" w:after="0" w:line="259" w:lineRule="auto"/>
        <w:jc w:val="both"/>
        <w:rPr>
          <w:rFonts w:eastAsiaTheme="minorEastAsia" w:cs="Times New Roman"/>
          <w:noProof/>
        </w:rPr>
      </w:pPr>
      <w:r>
        <w:rPr>
          <w:noProof/>
        </w:rPr>
        <w:t>Naložba se izvede do 31. decembra 2025.</w:t>
      </w:r>
    </w:p>
    <w:p w14:paraId="6248B184" w14:textId="4041F786"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TD-C20-i03-RAM: Pospeševanje digitalizacije izobraževanja ARM</w:t>
      </w:r>
    </w:p>
    <w:p w14:paraId="19CEFD55" w14:textId="7C0999F4" w:rsidR="00F24946" w:rsidRDefault="00613B06">
      <w:pPr>
        <w:pStyle w:val="P68B1DB1-Normal4"/>
        <w:keepNext/>
        <w:spacing w:before="40" w:after="0" w:line="259" w:lineRule="auto"/>
        <w:jc w:val="both"/>
        <w:rPr>
          <w:rFonts w:eastAsiaTheme="minorEastAsia" w:cs="Times New Roman"/>
          <w:noProof/>
        </w:rPr>
      </w:pPr>
      <w:r>
        <w:rPr>
          <w:noProof/>
        </w:rPr>
        <w:t>Cilj ukrepa je ustvariti bolj proaktiven, inovativen, vključujoč, avtonomen, pravičen in odprt izobraževalni sistem v avtonomni regiji Madeira v javnih in zasebnih šolah.</w:t>
      </w:r>
    </w:p>
    <w:p w14:paraId="34D95A54" w14:textId="77777777" w:rsidR="00F24946" w:rsidRDefault="00613B06">
      <w:pPr>
        <w:pStyle w:val="P68B1DB1-Normal4"/>
        <w:keepNext/>
        <w:spacing w:before="40" w:after="0" w:line="259" w:lineRule="auto"/>
        <w:jc w:val="both"/>
        <w:rPr>
          <w:rFonts w:eastAsiaTheme="minorEastAsia" w:cs="Times New Roman"/>
          <w:noProof/>
        </w:rPr>
      </w:pPr>
      <w:r>
        <w:rPr>
          <w:noProof/>
        </w:rPr>
        <w:t>Naložba vključuje zagotavljanje kakovostnega učenja, usposabljanja in kvalifikacij, pripravo otrok in učencev na izzive enaindvajsetega stoletja, vključno z digitalnim prehodom, s posebnimi ukrepi na naslednjih področjih:</w:t>
      </w:r>
    </w:p>
    <w:p w14:paraId="6E749B90" w14:textId="3B32952B" w:rsidR="00F24946" w:rsidRDefault="00613B06">
      <w:pPr>
        <w:pStyle w:val="P68B1DB1-Normal4"/>
        <w:keepNext/>
        <w:numPr>
          <w:ilvl w:val="0"/>
          <w:numId w:val="39"/>
        </w:numPr>
        <w:spacing w:before="40" w:after="160" w:line="259" w:lineRule="auto"/>
        <w:contextualSpacing/>
        <w:jc w:val="both"/>
        <w:rPr>
          <w:rFonts w:eastAsiaTheme="minorEastAsia" w:cs="Times New Roman"/>
          <w:noProof/>
        </w:rPr>
      </w:pPr>
      <w:r>
        <w:rPr>
          <w:noProof/>
        </w:rPr>
        <w:t>Digitalni učni viri in oprema: V okviru projekta „Digitalnih priročnikov“ je njegov cilj zagotoviti več digitalnih izobraževalnih virov v različnih oblikah in različnih tipologijah (animacije, simulacije, tridimenzionalni videoposnetki ali drugo), zagotoviti opremo (tablične ali prenosne računalnike, odvisno od šolskega leta) in dostop do digitalnih učbenikov, da bi izobraževalna skupnost (učeči, učitelji, višji izobraževalni tehniki, tehniki za tehnično pomoč, ponudniki izobraževanja) imela dostop do vsebin, ki so na voljo z digitalizacijo izobraževanja. Za vse učence (15910 učencev) vključuje: 1 tablični ali prenosni računalnik, odvisno od šolskega leta, 1 virtualno dovoljenje za dostop do šole, veljavno za vsako šolsko leto; 1 Osebno in neprenosljivo dovoljenje za digitalno različico vsakega šolskega priročnika, sprejetega za šolanje.</w:t>
      </w:r>
    </w:p>
    <w:p w14:paraId="56EC44E7" w14:textId="4D84A1D3" w:rsidR="00F24946" w:rsidRDefault="00613B06">
      <w:pPr>
        <w:pStyle w:val="P68B1DB1-Normal4"/>
        <w:keepNext/>
        <w:numPr>
          <w:ilvl w:val="0"/>
          <w:numId w:val="39"/>
        </w:numPr>
        <w:spacing w:before="40" w:after="160" w:line="259" w:lineRule="auto"/>
        <w:contextualSpacing/>
        <w:jc w:val="both"/>
        <w:rPr>
          <w:rFonts w:eastAsiaTheme="minorEastAsia" w:cs="Times New Roman"/>
          <w:noProof/>
        </w:rPr>
      </w:pPr>
      <w:r>
        <w:rPr>
          <w:noProof/>
        </w:rPr>
        <w:t>Povezljivost in oprema za šole: da bi šole opremili z inovativnimi učnimi okolji (34 „Inovativna okoljska vajeništva“; 22„makerspace“; 15 prostorov za učenje otroškega varstva; 20 „Inovativni prostori“ – na podlagi koncepta sobe</w:t>
      </w:r>
      <w:r>
        <w:rPr>
          <w:noProof/>
        </w:rPr>
        <w:footnoteReference w:id="77"/>
      </w:r>
      <w:r>
        <w:rPr>
          <w:noProof/>
        </w:rPr>
        <w:t xml:space="preserve">Snoezelen – spodbujanje vključevanja in digitalne pismenosti z izobraževalnimi inovacijskimi centri za programiranje in streljanje, po en za vsako šolo, </w:t>
      </w:r>
    </w:p>
    <w:p w14:paraId="6FC4CEC9" w14:textId="62347127" w:rsidR="00F24946" w:rsidRDefault="00613B06">
      <w:pPr>
        <w:pStyle w:val="P68B1DB1-Normal4"/>
        <w:keepNext/>
        <w:numPr>
          <w:ilvl w:val="0"/>
          <w:numId w:val="39"/>
        </w:numPr>
        <w:spacing w:before="40" w:after="160" w:line="259" w:lineRule="auto"/>
        <w:contextualSpacing/>
        <w:jc w:val="both"/>
        <w:rPr>
          <w:rFonts w:eastAsiaTheme="minorEastAsia" w:cs="Times New Roman"/>
          <w:noProof/>
        </w:rPr>
      </w:pPr>
      <w:r>
        <w:rPr>
          <w:noProof/>
        </w:rPr>
        <w:t xml:space="preserve">Digitalne kompetence: z dejavnostmi usposabljanja, ki so na voljo učiteljem in neučiteljskemu osebju (visokošolskim tehnikom, tehničnim asistentom). </w:t>
      </w:r>
    </w:p>
    <w:p w14:paraId="116BAADB" w14:textId="77777777" w:rsidR="00F24946" w:rsidRDefault="00613B06">
      <w:pPr>
        <w:pStyle w:val="P68B1DB1-Normal4"/>
        <w:keepNext/>
        <w:spacing w:before="40" w:after="0" w:line="259" w:lineRule="auto"/>
        <w:jc w:val="both"/>
        <w:rPr>
          <w:rFonts w:eastAsiaTheme="minorEastAsia" w:cs="Times New Roman"/>
          <w:noProof/>
        </w:rPr>
        <w:sectPr w:rsidR="00F24946" w:rsidSect="00E00EDD">
          <w:headerReference w:type="even" r:id="rId356"/>
          <w:headerReference w:type="default" r:id="rId357"/>
          <w:footerReference w:type="even" r:id="rId358"/>
          <w:footerReference w:type="default" r:id="rId359"/>
          <w:headerReference w:type="first" r:id="rId360"/>
          <w:footerReference w:type="first" r:id="rId361"/>
          <w:pgSz w:w="11907" w:h="16839"/>
          <w:pgMar w:top="1134" w:right="1134" w:bottom="1134" w:left="1134" w:header="567" w:footer="567" w:gutter="0"/>
          <w:cols w:space="720"/>
          <w:docGrid w:linePitch="360"/>
        </w:sectPr>
      </w:pPr>
      <w:r>
        <w:rPr>
          <w:noProof/>
        </w:rPr>
        <w:t>Naložba se izvede do 31. decembra 2025.</w:t>
      </w:r>
    </w:p>
    <w:p w14:paraId="6A865438" w14:textId="77777777"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T.2. Mejniki, cilji, kazalniki in časovni razpored za spremljanje in izvajanje nepovratne finančne podpore Naslednje;</w:t>
      </w:r>
    </w:p>
    <w:p w14:paraId="3E59DF2E"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F24946" w14:paraId="161579D1" w14:textId="77777777">
        <w:trPr>
          <w:trHeight w:val="910"/>
          <w:tblHeader/>
        </w:trPr>
        <w:tc>
          <w:tcPr>
            <w:tcW w:w="1135" w:type="dxa"/>
            <w:vMerge w:val="restart"/>
            <w:shd w:val="clear" w:color="auto" w:fill="BDD6EE"/>
            <w:vAlign w:val="center"/>
            <w:hideMark/>
          </w:tcPr>
          <w:p w14:paraId="18D3C4B3"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0F2DCA77"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6ABCFCFD" w14:textId="4ED9A5A5"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6F4253DE"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5E98634F"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977" w:type="dxa"/>
            <w:gridSpan w:val="3"/>
            <w:shd w:val="clear" w:color="auto" w:fill="BDD6EE"/>
            <w:vAlign w:val="center"/>
            <w:hideMark/>
          </w:tcPr>
          <w:p w14:paraId="1726AAB0"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416EE560"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566259A2"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624748BC" w14:textId="77777777">
        <w:trPr>
          <w:trHeight w:val="470"/>
          <w:tblHeader/>
        </w:trPr>
        <w:tc>
          <w:tcPr>
            <w:tcW w:w="1135" w:type="dxa"/>
            <w:vMerge/>
            <w:vAlign w:val="center"/>
            <w:hideMark/>
          </w:tcPr>
          <w:p w14:paraId="50EEF1DC"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79C161D4"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0AD30B37" w14:textId="1F95A1E3"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D61E092" w14:textId="77777777" w:rsidR="00F24946" w:rsidRDefault="00F24946">
            <w:pPr>
              <w:spacing w:after="0" w:line="240" w:lineRule="auto"/>
              <w:rPr>
                <w:rFonts w:ascii="Times New Roman" w:eastAsia="Times New Roman" w:hAnsi="Times New Roman" w:cs="Times New Roman"/>
                <w:b/>
                <w:noProof/>
                <w:sz w:val="18"/>
              </w:rPr>
            </w:pPr>
          </w:p>
        </w:tc>
        <w:tc>
          <w:tcPr>
            <w:tcW w:w="1275" w:type="dxa"/>
            <w:vMerge/>
            <w:vAlign w:val="center"/>
            <w:hideMark/>
          </w:tcPr>
          <w:p w14:paraId="0EF12599"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543C08EA"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1E2EEAE7"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992" w:type="dxa"/>
            <w:shd w:val="clear" w:color="auto" w:fill="BDD6EE"/>
            <w:vAlign w:val="center"/>
            <w:hideMark/>
          </w:tcPr>
          <w:p w14:paraId="08F656FE"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6D741527"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95C72EE"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0AB1CE62" w14:textId="77777777" w:rsidR="00F24946" w:rsidRDefault="00F24946">
            <w:pPr>
              <w:spacing w:after="0" w:line="240" w:lineRule="auto"/>
              <w:rPr>
                <w:rFonts w:ascii="Times New Roman" w:eastAsia="Times New Roman" w:hAnsi="Times New Roman" w:cs="Times New Roman"/>
                <w:b/>
                <w:noProof/>
                <w:sz w:val="18"/>
              </w:rPr>
            </w:pPr>
          </w:p>
        </w:tc>
      </w:tr>
      <w:tr w:rsidR="00F24946" w14:paraId="72498156" w14:textId="77777777">
        <w:trPr>
          <w:trHeight w:val="430"/>
        </w:trPr>
        <w:tc>
          <w:tcPr>
            <w:tcW w:w="1135" w:type="dxa"/>
            <w:shd w:val="clear" w:color="auto" w:fill="C4EFCE"/>
            <w:vAlign w:val="center"/>
            <w:hideMark/>
          </w:tcPr>
          <w:p w14:paraId="63BE4AE8" w14:textId="77777777" w:rsidR="00F24946" w:rsidRDefault="00613B06">
            <w:pPr>
              <w:pStyle w:val="P68B1DB1-Normal7"/>
              <w:spacing w:after="0" w:line="240" w:lineRule="auto"/>
              <w:jc w:val="center"/>
              <w:rPr>
                <w:rFonts w:eastAsia="Times New Roman" w:cs="Calibri"/>
                <w:noProof/>
              </w:rPr>
            </w:pPr>
            <w:r>
              <w:rPr>
                <w:noProof/>
              </w:rPr>
              <w:t>20.1</w:t>
            </w:r>
          </w:p>
        </w:tc>
        <w:tc>
          <w:tcPr>
            <w:tcW w:w="1276" w:type="dxa"/>
            <w:shd w:val="clear" w:color="auto" w:fill="C4EFCE"/>
            <w:noWrap/>
            <w:vAlign w:val="center"/>
            <w:hideMark/>
          </w:tcPr>
          <w:p w14:paraId="164C94BA" w14:textId="77777777" w:rsidR="00F24946" w:rsidRDefault="00613B06">
            <w:pPr>
              <w:pStyle w:val="P68B1DB1-Normal8"/>
              <w:spacing w:after="0" w:line="240" w:lineRule="auto"/>
              <w:jc w:val="center"/>
              <w:rPr>
                <w:rFonts w:eastAsia="Times New Roman" w:cs="Calibri"/>
                <w:noProof/>
              </w:rPr>
            </w:pPr>
            <w:r>
              <w:rPr>
                <w:noProof/>
              </w:rPr>
              <w:t>TD-C20-r37</w:t>
            </w:r>
          </w:p>
        </w:tc>
        <w:tc>
          <w:tcPr>
            <w:tcW w:w="1134" w:type="dxa"/>
            <w:shd w:val="clear" w:color="auto" w:fill="C4EFCE"/>
            <w:noWrap/>
            <w:vAlign w:val="center"/>
            <w:hideMark/>
          </w:tcPr>
          <w:p w14:paraId="12F2735F"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0C825" w14:textId="77777777" w:rsidR="00F24946" w:rsidRDefault="00613B06">
            <w:pPr>
              <w:pStyle w:val="P68B1DB1-Normal8"/>
              <w:spacing w:after="0" w:line="240" w:lineRule="auto"/>
              <w:jc w:val="center"/>
              <w:rPr>
                <w:rFonts w:eastAsia="Times New Roman" w:cs="Calibri"/>
                <w:noProof/>
              </w:rPr>
            </w:pPr>
            <w:r>
              <w:rPr>
                <w:noProof/>
              </w:rPr>
              <w:t>Usposabljanje na področju digitalnih znanj in spretnosti za učitelje in neučiteljsko osebje v mreži javnega izobraževanja</w:t>
            </w:r>
          </w:p>
        </w:tc>
        <w:tc>
          <w:tcPr>
            <w:tcW w:w="1275" w:type="dxa"/>
            <w:shd w:val="clear" w:color="auto" w:fill="C4EFCE"/>
            <w:noWrap/>
            <w:vAlign w:val="center"/>
            <w:hideMark/>
          </w:tcPr>
          <w:p w14:paraId="224B1BF8"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67CBB8E"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6A3414D8"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B108FA3" w14:textId="77777777"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7563530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E7431B0"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AA33588" w14:textId="77777777" w:rsidR="00F24946" w:rsidRDefault="00613B06">
            <w:pPr>
              <w:pStyle w:val="P68B1DB1-Normal8"/>
              <w:spacing w:after="0" w:line="240" w:lineRule="auto"/>
              <w:jc w:val="both"/>
              <w:rPr>
                <w:rFonts w:eastAsia="Times New Roman" w:cs="Calibri"/>
                <w:noProof/>
              </w:rPr>
            </w:pPr>
            <w:r>
              <w:rPr>
                <w:noProof/>
              </w:rPr>
              <w:t xml:space="preserve">Delež učiteljev v mreži javnega izobraževanja, ki so se usposabljali o osnovnih ali naprednejših digitalnih znanjih in spretnostih, vključno z (za učitelje) o vključevanju digitalnih tehnologij v učni načrt </w:t>
            </w:r>
          </w:p>
        </w:tc>
      </w:tr>
      <w:tr w:rsidR="00F24946" w14:paraId="7114F95D" w14:textId="77777777">
        <w:trPr>
          <w:trHeight w:val="300"/>
        </w:trPr>
        <w:tc>
          <w:tcPr>
            <w:tcW w:w="1135" w:type="dxa"/>
            <w:shd w:val="clear" w:color="auto" w:fill="C4EFCE"/>
            <w:vAlign w:val="center"/>
          </w:tcPr>
          <w:p w14:paraId="08F3C5C5" w14:textId="77777777" w:rsidR="00F24946" w:rsidRDefault="00613B06">
            <w:pPr>
              <w:pStyle w:val="P68B1DB1-Normal7"/>
              <w:spacing w:after="0" w:line="240" w:lineRule="auto"/>
              <w:jc w:val="center"/>
              <w:rPr>
                <w:rFonts w:eastAsia="Times New Roman" w:cs="Calibri"/>
                <w:noProof/>
              </w:rPr>
            </w:pPr>
            <w:r>
              <w:rPr>
                <w:noProof/>
              </w:rPr>
              <w:t>20.2</w:t>
            </w:r>
          </w:p>
        </w:tc>
        <w:tc>
          <w:tcPr>
            <w:tcW w:w="1276" w:type="dxa"/>
            <w:shd w:val="clear" w:color="auto" w:fill="C4EFCE"/>
            <w:noWrap/>
            <w:vAlign w:val="center"/>
          </w:tcPr>
          <w:p w14:paraId="0AF6BE0F"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tcPr>
          <w:p w14:paraId="36E5EE5C"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2DF62002" w14:textId="77777777" w:rsidR="00F24946" w:rsidRDefault="00613B06">
            <w:pPr>
              <w:pStyle w:val="P68B1DB1-Normal8"/>
              <w:spacing w:after="0" w:line="240" w:lineRule="auto"/>
              <w:jc w:val="center"/>
              <w:rPr>
                <w:rFonts w:eastAsia="Times New Roman" w:cs="Calibri"/>
                <w:noProof/>
              </w:rPr>
            </w:pPr>
            <w:r>
              <w:rPr>
                <w:noProof/>
              </w:rPr>
              <w:t>Podpis pogodb za nakup posameznih računalnikov za učence in učitelje</w:t>
            </w:r>
          </w:p>
        </w:tc>
        <w:tc>
          <w:tcPr>
            <w:tcW w:w="1275" w:type="dxa"/>
            <w:shd w:val="clear" w:color="auto" w:fill="C4EFCE"/>
            <w:noWrap/>
            <w:vAlign w:val="center"/>
          </w:tcPr>
          <w:p w14:paraId="5636A55F" w14:textId="77777777" w:rsidR="00F24946" w:rsidRDefault="00613B06">
            <w:pPr>
              <w:pStyle w:val="P68B1DB1-Normal8"/>
              <w:spacing w:after="0" w:line="240" w:lineRule="auto"/>
              <w:jc w:val="center"/>
              <w:rPr>
                <w:rFonts w:eastAsia="Times New Roman" w:cs="Calibri"/>
                <w:noProof/>
              </w:rPr>
            </w:pPr>
            <w:r>
              <w:rPr>
                <w:noProof/>
              </w:rPr>
              <w:t>Podpis pogodbe </w:t>
            </w:r>
          </w:p>
        </w:tc>
        <w:tc>
          <w:tcPr>
            <w:tcW w:w="993" w:type="dxa"/>
            <w:shd w:val="clear" w:color="auto" w:fill="C4EFCE"/>
            <w:noWrap/>
            <w:vAlign w:val="center"/>
          </w:tcPr>
          <w:p w14:paraId="097313A5"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EC54429"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0D49A9C"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473C119D"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tcPr>
          <w:p w14:paraId="667C7DB0" w14:textId="77777777" w:rsidR="00F24946" w:rsidRDefault="00613B06">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tcPr>
          <w:p w14:paraId="50EEB7FB" w14:textId="77777777" w:rsidR="00F24946" w:rsidRDefault="00613B06">
            <w:pPr>
              <w:pStyle w:val="P68B1DB1-Normal8"/>
              <w:spacing w:after="0" w:line="240" w:lineRule="auto"/>
              <w:jc w:val="both"/>
              <w:rPr>
                <w:rFonts w:eastAsia="Times New Roman" w:cs="Calibri"/>
                <w:noProof/>
              </w:rPr>
            </w:pPr>
            <w:r>
              <w:rPr>
                <w:noProof/>
              </w:rPr>
              <w:t>Podpis pogodb za nakup 600000 novih prenosnih računalnikov, ki bodo posojali učiteljem in učencem</w:t>
            </w:r>
          </w:p>
        </w:tc>
      </w:tr>
      <w:tr w:rsidR="00F24946" w14:paraId="085E7F63" w14:textId="77777777">
        <w:trPr>
          <w:trHeight w:val="300"/>
        </w:trPr>
        <w:tc>
          <w:tcPr>
            <w:tcW w:w="1135" w:type="dxa"/>
            <w:shd w:val="clear" w:color="auto" w:fill="C4EFCE"/>
            <w:vAlign w:val="center"/>
            <w:hideMark/>
          </w:tcPr>
          <w:p w14:paraId="4CAF552D" w14:textId="77777777" w:rsidR="00F24946" w:rsidRDefault="00613B06">
            <w:pPr>
              <w:pStyle w:val="P68B1DB1-Normal7"/>
              <w:spacing w:after="0" w:line="240" w:lineRule="auto"/>
              <w:jc w:val="center"/>
              <w:rPr>
                <w:rFonts w:eastAsia="Times New Roman" w:cs="Calibri"/>
                <w:noProof/>
              </w:rPr>
            </w:pPr>
            <w:r>
              <w:rPr>
                <w:noProof/>
              </w:rPr>
              <w:t>20.3</w:t>
            </w:r>
          </w:p>
        </w:tc>
        <w:tc>
          <w:tcPr>
            <w:tcW w:w="1276" w:type="dxa"/>
            <w:shd w:val="clear" w:color="auto" w:fill="C4EFCE"/>
            <w:noWrap/>
            <w:vAlign w:val="center"/>
            <w:hideMark/>
          </w:tcPr>
          <w:p w14:paraId="7D638ADE"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6ED35996"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D20C1E8" w14:textId="77777777" w:rsidR="00F24946" w:rsidRDefault="00613B06">
            <w:pPr>
              <w:pStyle w:val="P68B1DB1-Normal8"/>
              <w:spacing w:after="0" w:line="240" w:lineRule="auto"/>
              <w:jc w:val="center"/>
              <w:rPr>
                <w:rFonts w:eastAsia="Times New Roman" w:cs="Calibri"/>
                <w:noProof/>
              </w:rPr>
            </w:pPr>
            <w:r>
              <w:rPr>
                <w:noProof/>
              </w:rPr>
              <w:t>Računalniki za individualno uporabo učencev in učiteljev</w:t>
            </w:r>
          </w:p>
        </w:tc>
        <w:tc>
          <w:tcPr>
            <w:tcW w:w="1275" w:type="dxa"/>
            <w:shd w:val="clear" w:color="auto" w:fill="C4EFCE"/>
            <w:noWrap/>
            <w:vAlign w:val="center"/>
            <w:hideMark/>
          </w:tcPr>
          <w:p w14:paraId="2CBBC935"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22CD9F"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41371EA9" w14:textId="77777777" w:rsidR="00F24946" w:rsidRDefault="00613B06">
            <w:pPr>
              <w:pStyle w:val="P68B1DB1-Normal8"/>
              <w:spacing w:after="0" w:line="240" w:lineRule="auto"/>
              <w:jc w:val="center"/>
              <w:rPr>
                <w:rFonts w:eastAsia="Times New Roman" w:cs="Calibri"/>
                <w:noProof/>
              </w:rPr>
            </w:pPr>
            <w:r>
              <w:rPr>
                <w:noProof/>
              </w:rPr>
              <w:t>450 000</w:t>
            </w:r>
          </w:p>
        </w:tc>
        <w:tc>
          <w:tcPr>
            <w:tcW w:w="992" w:type="dxa"/>
            <w:shd w:val="clear" w:color="auto" w:fill="C4EFCE"/>
            <w:noWrap/>
            <w:vAlign w:val="center"/>
            <w:hideMark/>
          </w:tcPr>
          <w:p w14:paraId="7AA00153" w14:textId="77777777" w:rsidR="00F24946" w:rsidRDefault="00613B06">
            <w:pPr>
              <w:pStyle w:val="P68B1DB1-Normal8"/>
              <w:spacing w:after="0" w:line="240" w:lineRule="auto"/>
              <w:jc w:val="center"/>
              <w:rPr>
                <w:rFonts w:eastAsia="Times New Roman" w:cs="Calibri"/>
                <w:noProof/>
              </w:rPr>
            </w:pPr>
            <w:r>
              <w:rPr>
                <w:noProof/>
              </w:rPr>
              <w:t>1 050 000</w:t>
            </w:r>
          </w:p>
        </w:tc>
        <w:tc>
          <w:tcPr>
            <w:tcW w:w="567" w:type="dxa"/>
            <w:shd w:val="clear" w:color="auto" w:fill="C4EFCE"/>
            <w:noWrap/>
            <w:vAlign w:val="center"/>
            <w:hideMark/>
          </w:tcPr>
          <w:p w14:paraId="675FB560"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5DBE1730"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08C7B2E" w14:textId="16A5EDB1" w:rsidR="00F24946" w:rsidRDefault="00613B06">
            <w:pPr>
              <w:pStyle w:val="P68B1DB1-Normal8"/>
              <w:spacing w:after="0" w:line="240" w:lineRule="auto"/>
              <w:jc w:val="both"/>
              <w:rPr>
                <w:rFonts w:eastAsia="Times New Roman" w:cs="Calibri"/>
                <w:noProof/>
              </w:rPr>
            </w:pPr>
            <w:r>
              <w:rPr>
                <w:noProof/>
              </w:rPr>
              <w:t>Število prenosnih računalnikov za učitelje in učence v osnovnih in srednjih javnih šolah</w:t>
            </w:r>
          </w:p>
        </w:tc>
      </w:tr>
      <w:tr w:rsidR="00F24946" w14:paraId="73850E68" w14:textId="77777777">
        <w:trPr>
          <w:trHeight w:val="640"/>
        </w:trPr>
        <w:tc>
          <w:tcPr>
            <w:tcW w:w="1135" w:type="dxa"/>
            <w:shd w:val="clear" w:color="auto" w:fill="C4EFCE"/>
            <w:vAlign w:val="center"/>
            <w:hideMark/>
          </w:tcPr>
          <w:p w14:paraId="2C49AD1E" w14:textId="77777777" w:rsidR="00F24946" w:rsidRDefault="00613B06">
            <w:pPr>
              <w:pStyle w:val="P68B1DB1-Normal7"/>
              <w:spacing w:after="0" w:line="240" w:lineRule="auto"/>
              <w:jc w:val="center"/>
              <w:rPr>
                <w:rFonts w:eastAsia="Times New Roman" w:cs="Calibri"/>
                <w:noProof/>
              </w:rPr>
            </w:pPr>
            <w:r>
              <w:rPr>
                <w:noProof/>
              </w:rPr>
              <w:t>20.4</w:t>
            </w:r>
          </w:p>
        </w:tc>
        <w:tc>
          <w:tcPr>
            <w:tcW w:w="1276" w:type="dxa"/>
            <w:shd w:val="clear" w:color="auto" w:fill="C4EFCE"/>
            <w:noWrap/>
            <w:vAlign w:val="center"/>
            <w:hideMark/>
          </w:tcPr>
          <w:p w14:paraId="21831B90"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DC5179D"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D27B3A2" w14:textId="77777777" w:rsidR="00F24946" w:rsidRDefault="00613B06">
            <w:pPr>
              <w:pStyle w:val="P68B1DB1-Normal8"/>
              <w:spacing w:after="0" w:line="240" w:lineRule="auto"/>
              <w:jc w:val="center"/>
              <w:rPr>
                <w:rFonts w:eastAsia="Times New Roman" w:cs="Calibri"/>
                <w:noProof/>
              </w:rPr>
            </w:pPr>
            <w:r>
              <w:rPr>
                <w:noProof/>
              </w:rPr>
              <w:t>Nadgradnja povezljivosti osnovnih in srednjih šol</w:t>
            </w:r>
          </w:p>
        </w:tc>
        <w:tc>
          <w:tcPr>
            <w:tcW w:w="1275" w:type="dxa"/>
            <w:shd w:val="clear" w:color="auto" w:fill="C4EFCE"/>
            <w:noWrap/>
            <w:vAlign w:val="center"/>
            <w:hideMark/>
          </w:tcPr>
          <w:p w14:paraId="07232047"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999EFC6" w14:textId="77777777" w:rsidR="00F24946" w:rsidRDefault="00613B06">
            <w:pPr>
              <w:pStyle w:val="P68B1DB1-Normal8"/>
              <w:spacing w:after="0" w:line="240" w:lineRule="auto"/>
              <w:jc w:val="center"/>
              <w:rPr>
                <w:rFonts w:eastAsia="Times New Roman" w:cs="Calibri"/>
                <w:noProof/>
              </w:rPr>
            </w:pPr>
            <w:r>
              <w:rPr>
                <w:noProof/>
              </w:rPr>
              <w:t xml:space="preserve">% </w:t>
            </w:r>
          </w:p>
        </w:tc>
        <w:tc>
          <w:tcPr>
            <w:tcW w:w="992" w:type="dxa"/>
            <w:shd w:val="clear" w:color="auto" w:fill="C4EFCE"/>
            <w:noWrap/>
            <w:vAlign w:val="center"/>
            <w:hideMark/>
          </w:tcPr>
          <w:p w14:paraId="519070AC"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2D3F45FC" w14:textId="77777777"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F6CA3AB"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35CFD022" w14:textId="10E5C0BC"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00706952" w14:textId="2D0D82EE" w:rsidR="00F24946" w:rsidRDefault="00613B06">
            <w:pPr>
              <w:pStyle w:val="P68B1DB1-Normal8"/>
              <w:spacing w:after="0" w:line="240" w:lineRule="auto"/>
              <w:jc w:val="both"/>
              <w:rPr>
                <w:rFonts w:eastAsia="Times New Roman" w:cs="Calibri"/>
                <w:noProof/>
              </w:rPr>
            </w:pPr>
            <w:r>
              <w:rPr>
                <w:noProof/>
              </w:rPr>
              <w:t xml:space="preserve">Odstotek osnovnih in srednjih javnih šol na celinski Portugalski, ki 1) so povezane z razširjeno mrežo 300 Gb/s s povezavo vsaj 1 Gb/s; in 2) imajo lokalna šolska omrežja s povprečno 40 brezžičnimi dostopovnimi točkami. </w:t>
            </w:r>
          </w:p>
        </w:tc>
      </w:tr>
      <w:tr w:rsidR="00F24946" w14:paraId="28357C41" w14:textId="77777777">
        <w:trPr>
          <w:trHeight w:val="1060"/>
        </w:trPr>
        <w:tc>
          <w:tcPr>
            <w:tcW w:w="1135" w:type="dxa"/>
            <w:shd w:val="clear" w:color="auto" w:fill="C4EFCE"/>
            <w:vAlign w:val="center"/>
            <w:hideMark/>
          </w:tcPr>
          <w:p w14:paraId="52869EA6" w14:textId="77777777" w:rsidR="00F24946" w:rsidRDefault="00613B06">
            <w:pPr>
              <w:pStyle w:val="P68B1DB1-Normal7"/>
              <w:spacing w:after="0" w:line="240" w:lineRule="auto"/>
              <w:jc w:val="center"/>
              <w:rPr>
                <w:rFonts w:eastAsia="Times New Roman" w:cs="Calibri"/>
                <w:noProof/>
              </w:rPr>
            </w:pPr>
            <w:r>
              <w:rPr>
                <w:noProof/>
              </w:rPr>
              <w:t>20.5</w:t>
            </w:r>
          </w:p>
        </w:tc>
        <w:tc>
          <w:tcPr>
            <w:tcW w:w="1276" w:type="dxa"/>
            <w:shd w:val="clear" w:color="auto" w:fill="C4EFCE"/>
            <w:noWrap/>
            <w:vAlign w:val="center"/>
            <w:hideMark/>
          </w:tcPr>
          <w:p w14:paraId="118116DB"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0568D27"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371D07C" w14:textId="77777777" w:rsidR="00F24946" w:rsidRDefault="00613B06">
            <w:pPr>
              <w:pStyle w:val="P68B1DB1-Normal8"/>
              <w:spacing w:after="0" w:line="240" w:lineRule="auto"/>
              <w:jc w:val="center"/>
              <w:rPr>
                <w:rFonts w:eastAsia="Times New Roman" w:cs="Calibri"/>
                <w:noProof/>
              </w:rPr>
            </w:pPr>
            <w:r>
              <w:rPr>
                <w:noProof/>
              </w:rPr>
              <w:t>Nameščeni laboratoriji za digitalno izobraževanje</w:t>
            </w:r>
          </w:p>
        </w:tc>
        <w:tc>
          <w:tcPr>
            <w:tcW w:w="1275" w:type="dxa"/>
            <w:shd w:val="clear" w:color="auto" w:fill="C4EFCE"/>
            <w:noWrap/>
            <w:vAlign w:val="center"/>
            <w:hideMark/>
          </w:tcPr>
          <w:p w14:paraId="3057EB2E"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E61E26"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121F7ADD"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5CB928B4" w14:textId="77777777" w:rsidR="00F24946" w:rsidRDefault="00613B06">
            <w:pPr>
              <w:pStyle w:val="P68B1DB1-Normal8"/>
              <w:spacing w:after="0" w:line="240" w:lineRule="auto"/>
              <w:jc w:val="center"/>
              <w:rPr>
                <w:rFonts w:eastAsia="Times New Roman" w:cs="Calibri"/>
                <w:noProof/>
              </w:rPr>
            </w:pPr>
            <w:r>
              <w:rPr>
                <w:noProof/>
              </w:rPr>
              <w:t>1 300</w:t>
            </w:r>
          </w:p>
        </w:tc>
        <w:tc>
          <w:tcPr>
            <w:tcW w:w="567" w:type="dxa"/>
            <w:shd w:val="clear" w:color="auto" w:fill="C4EFCE"/>
            <w:noWrap/>
            <w:vAlign w:val="center"/>
            <w:hideMark/>
          </w:tcPr>
          <w:p w14:paraId="465B78FA"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3E3CE4C3" w14:textId="7A64BB4D"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120F3CB" w14:textId="77777777" w:rsidR="00F24946" w:rsidRDefault="00613B06">
            <w:pPr>
              <w:pStyle w:val="P68B1DB1-Normal8"/>
              <w:spacing w:after="0" w:line="240" w:lineRule="auto"/>
              <w:jc w:val="both"/>
              <w:rPr>
                <w:rFonts w:eastAsia="Times New Roman" w:cs="Calibri"/>
                <w:noProof/>
              </w:rPr>
            </w:pPr>
            <w:r>
              <w:rPr>
                <w:noProof/>
              </w:rPr>
              <w:t>Število novih laboratorijev za digitalno izobraževanje, nameščenih v osnovnih in srednjih javnih šolah na celinski Portugalski s specializirano projektno opremo, kot so robotski kompleti, 3D-tiskalniki, oprema za merjenje in preskušanje, različna orodja, razvojni in simulacijski moduli, elektronske komponente, laserski stroji za snemanje in rezanje ali drugo, za razvoj in razmnoževanje eksperimentalnega računalništva, programiranja in robotskih klubov.</w:t>
            </w:r>
          </w:p>
        </w:tc>
      </w:tr>
      <w:tr w:rsidR="00F24946" w14:paraId="39151C53" w14:textId="77777777">
        <w:trPr>
          <w:trHeight w:val="300"/>
        </w:trPr>
        <w:tc>
          <w:tcPr>
            <w:tcW w:w="1135" w:type="dxa"/>
            <w:shd w:val="clear" w:color="auto" w:fill="C4EFCE"/>
            <w:vAlign w:val="center"/>
            <w:hideMark/>
          </w:tcPr>
          <w:p w14:paraId="26EC845C" w14:textId="77777777" w:rsidR="00F24946" w:rsidRDefault="00613B06">
            <w:pPr>
              <w:pStyle w:val="P68B1DB1-Normal7"/>
              <w:spacing w:after="0" w:line="240" w:lineRule="auto"/>
              <w:jc w:val="center"/>
              <w:rPr>
                <w:rFonts w:eastAsia="Times New Roman" w:cs="Calibri"/>
                <w:noProof/>
              </w:rPr>
            </w:pPr>
            <w:r>
              <w:rPr>
                <w:noProof/>
              </w:rPr>
              <w:t>20.6</w:t>
            </w:r>
          </w:p>
        </w:tc>
        <w:tc>
          <w:tcPr>
            <w:tcW w:w="1276" w:type="dxa"/>
            <w:shd w:val="clear" w:color="auto" w:fill="C4EFCE"/>
            <w:noWrap/>
            <w:vAlign w:val="center"/>
            <w:hideMark/>
          </w:tcPr>
          <w:p w14:paraId="5A9E807B"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0DB3DE55"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86508B8" w14:textId="77777777" w:rsidR="00F24946" w:rsidRDefault="00613B06">
            <w:pPr>
              <w:pStyle w:val="P68B1DB1-Normal8"/>
              <w:spacing w:after="0" w:line="240" w:lineRule="auto"/>
              <w:jc w:val="center"/>
              <w:rPr>
                <w:rFonts w:eastAsia="Times New Roman" w:cs="Calibri"/>
                <w:noProof/>
              </w:rPr>
            </w:pPr>
            <w:r>
              <w:rPr>
                <w:noProof/>
              </w:rPr>
              <w:t>Učilnice z novo opremo za projekcije</w:t>
            </w:r>
          </w:p>
        </w:tc>
        <w:tc>
          <w:tcPr>
            <w:tcW w:w="1275" w:type="dxa"/>
            <w:shd w:val="clear" w:color="auto" w:fill="C4EFCE"/>
            <w:noWrap/>
            <w:vAlign w:val="center"/>
            <w:hideMark/>
          </w:tcPr>
          <w:p w14:paraId="670C4A44"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D8A013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125DBE7A"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1610ED6" w14:textId="77777777" w:rsidR="00F24946" w:rsidRDefault="00613B06">
            <w:pPr>
              <w:pStyle w:val="P68B1DB1-Normal8"/>
              <w:spacing w:after="0" w:line="240" w:lineRule="auto"/>
              <w:jc w:val="center"/>
              <w:rPr>
                <w:rFonts w:eastAsia="Times New Roman" w:cs="Calibri"/>
                <w:noProof/>
              </w:rPr>
            </w:pPr>
            <w:r>
              <w:rPr>
                <w:noProof/>
              </w:rPr>
              <w:t>40 000</w:t>
            </w:r>
          </w:p>
        </w:tc>
        <w:tc>
          <w:tcPr>
            <w:tcW w:w="567" w:type="dxa"/>
            <w:shd w:val="clear" w:color="auto" w:fill="C4EFCE"/>
            <w:noWrap/>
            <w:vAlign w:val="center"/>
            <w:hideMark/>
          </w:tcPr>
          <w:p w14:paraId="7382EA47" w14:textId="057266D2" w:rsidR="00F24946" w:rsidRDefault="00613B06">
            <w:pPr>
              <w:pStyle w:val="P68B1DB1-Normal8"/>
              <w:spacing w:after="0" w:line="240" w:lineRule="auto"/>
              <w:jc w:val="center"/>
              <w:rPr>
                <w:rFonts w:eastAsia="Times New Roman" w:cs="Calibri"/>
                <w:noProof/>
              </w:rPr>
            </w:pPr>
            <w:r>
              <w:rPr>
                <w:noProof/>
              </w:rPr>
              <w:t>Q2</w:t>
            </w:r>
          </w:p>
        </w:tc>
        <w:tc>
          <w:tcPr>
            <w:tcW w:w="708" w:type="dxa"/>
            <w:shd w:val="clear" w:color="auto" w:fill="C4EFCE"/>
            <w:noWrap/>
            <w:vAlign w:val="center"/>
            <w:hideMark/>
          </w:tcPr>
          <w:p w14:paraId="00628B06" w14:textId="10DF44DB"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5F7C27F0" w14:textId="77777777" w:rsidR="00F24946" w:rsidRDefault="00613B06">
            <w:pPr>
              <w:pStyle w:val="P68B1DB1-Normal8"/>
              <w:spacing w:after="0" w:line="240" w:lineRule="auto"/>
              <w:jc w:val="both"/>
              <w:rPr>
                <w:rFonts w:eastAsia="Times New Roman" w:cs="Calibri"/>
                <w:noProof/>
              </w:rPr>
            </w:pPr>
            <w:r>
              <w:rPr>
                <w:noProof/>
              </w:rPr>
              <w:t xml:space="preserve">Število učilnic v osnovnih in srednjih javnih šolah z novo opremo za projekcijo </w:t>
            </w:r>
          </w:p>
        </w:tc>
      </w:tr>
      <w:tr w:rsidR="00F24946" w14:paraId="651A2DB2" w14:textId="77777777">
        <w:trPr>
          <w:trHeight w:val="850"/>
        </w:trPr>
        <w:tc>
          <w:tcPr>
            <w:tcW w:w="1135" w:type="dxa"/>
            <w:shd w:val="clear" w:color="auto" w:fill="C4EFCE"/>
            <w:vAlign w:val="center"/>
            <w:hideMark/>
          </w:tcPr>
          <w:p w14:paraId="79EC60DC" w14:textId="77777777" w:rsidR="00F24946" w:rsidRDefault="00613B06">
            <w:pPr>
              <w:pStyle w:val="P68B1DB1-Normal7"/>
              <w:spacing w:after="0" w:line="240" w:lineRule="auto"/>
              <w:jc w:val="center"/>
              <w:rPr>
                <w:rFonts w:eastAsia="Times New Roman" w:cs="Calibri"/>
                <w:noProof/>
              </w:rPr>
            </w:pPr>
            <w:r>
              <w:rPr>
                <w:noProof/>
              </w:rPr>
              <w:t>20.7</w:t>
            </w:r>
          </w:p>
        </w:tc>
        <w:tc>
          <w:tcPr>
            <w:tcW w:w="1276" w:type="dxa"/>
            <w:shd w:val="clear" w:color="auto" w:fill="C4EFCE"/>
            <w:noWrap/>
            <w:vAlign w:val="center"/>
            <w:hideMark/>
          </w:tcPr>
          <w:p w14:paraId="7C4CC769"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88B1223"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3A074" w14:textId="77777777" w:rsidR="00F24946" w:rsidRDefault="00613B06">
            <w:pPr>
              <w:pStyle w:val="P68B1DB1-Normal8"/>
              <w:spacing w:after="0" w:line="240" w:lineRule="auto"/>
              <w:jc w:val="center"/>
              <w:rPr>
                <w:rFonts w:eastAsia="Times New Roman" w:cs="Calibri"/>
                <w:noProof/>
              </w:rPr>
            </w:pPr>
            <w:r>
              <w:rPr>
                <w:noProof/>
              </w:rPr>
              <w:t>Krepitev vloge vodstva šol</w:t>
            </w:r>
          </w:p>
        </w:tc>
        <w:tc>
          <w:tcPr>
            <w:tcW w:w="1275" w:type="dxa"/>
            <w:shd w:val="clear" w:color="auto" w:fill="C4EFCE"/>
            <w:noWrap/>
            <w:vAlign w:val="center"/>
            <w:hideMark/>
          </w:tcPr>
          <w:p w14:paraId="0F6F76E2"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306F94"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57355270" w14:textId="77777777" w:rsidR="00F24946" w:rsidRDefault="00613B06">
            <w:pPr>
              <w:pStyle w:val="P68B1DB1-Normal8"/>
              <w:spacing w:after="0" w:line="240" w:lineRule="auto"/>
              <w:jc w:val="center"/>
              <w:rPr>
                <w:rFonts w:eastAsia="Times New Roman" w:cs="Calibri"/>
                <w:noProof/>
              </w:rPr>
            </w:pPr>
            <w:r>
              <w:rPr>
                <w:noProof/>
              </w:rPr>
              <w:t>30</w:t>
            </w:r>
          </w:p>
        </w:tc>
        <w:tc>
          <w:tcPr>
            <w:tcW w:w="992" w:type="dxa"/>
            <w:shd w:val="clear" w:color="auto" w:fill="C4EFCE"/>
            <w:noWrap/>
            <w:vAlign w:val="center"/>
            <w:hideMark/>
          </w:tcPr>
          <w:p w14:paraId="33A86C14" w14:textId="77777777"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5F47097D"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4343F287"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0BBF106" w14:textId="71A22BCD" w:rsidR="00F24946" w:rsidRDefault="00613B06">
            <w:pPr>
              <w:pStyle w:val="P68B1DB1-Normal8"/>
              <w:spacing w:after="0" w:line="240" w:lineRule="auto"/>
              <w:jc w:val="both"/>
              <w:rPr>
                <w:rFonts w:eastAsia="Times New Roman" w:cs="Calibri"/>
                <w:noProof/>
              </w:rPr>
            </w:pPr>
            <w:r>
              <w:rPr>
                <w:noProof/>
              </w:rPr>
              <w:t>Odstotek osnovnih in srednjih javnih šol na celinski Portugalski, ki so 1) sprejele enotni sistem identitet; 2) povezan z informacijskimi sistemi za vodenje izobraževanja Ministrstva za izobraževanje in 3) sprejel sistem School 360, vključno z dobavo 15000 računalnikov za uporabo v šolskih dejavnostih.</w:t>
            </w:r>
          </w:p>
        </w:tc>
      </w:tr>
      <w:tr w:rsidR="00F24946" w14:paraId="3EE0A428" w14:textId="77777777">
        <w:trPr>
          <w:trHeight w:val="430"/>
        </w:trPr>
        <w:tc>
          <w:tcPr>
            <w:tcW w:w="1135" w:type="dxa"/>
            <w:shd w:val="clear" w:color="auto" w:fill="C4EFCE"/>
            <w:vAlign w:val="center"/>
            <w:hideMark/>
          </w:tcPr>
          <w:p w14:paraId="3858008C" w14:textId="77777777" w:rsidR="00F24946" w:rsidRDefault="00613B06">
            <w:pPr>
              <w:pStyle w:val="P68B1DB1-Normal7"/>
              <w:spacing w:after="0" w:line="240" w:lineRule="auto"/>
              <w:jc w:val="center"/>
              <w:rPr>
                <w:rFonts w:eastAsia="Times New Roman" w:cs="Calibri"/>
                <w:noProof/>
              </w:rPr>
            </w:pPr>
            <w:r>
              <w:rPr>
                <w:noProof/>
              </w:rPr>
              <w:t>20.8</w:t>
            </w:r>
          </w:p>
        </w:tc>
        <w:tc>
          <w:tcPr>
            <w:tcW w:w="1276" w:type="dxa"/>
            <w:shd w:val="clear" w:color="auto" w:fill="C4EFCE"/>
            <w:noWrap/>
            <w:vAlign w:val="center"/>
            <w:hideMark/>
          </w:tcPr>
          <w:p w14:paraId="2319D081"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060AFF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84A8A8B" w14:textId="77777777" w:rsidR="00F24946" w:rsidRDefault="00613B06">
            <w:pPr>
              <w:pStyle w:val="P68B1DB1-Normal8"/>
              <w:spacing w:after="0" w:line="240" w:lineRule="auto"/>
              <w:jc w:val="center"/>
              <w:rPr>
                <w:rFonts w:eastAsia="Times New Roman" w:cs="Calibri"/>
                <w:noProof/>
              </w:rPr>
            </w:pPr>
            <w:r>
              <w:rPr>
                <w:noProof/>
              </w:rPr>
              <w:t>Digitalni učni viri</w:t>
            </w:r>
          </w:p>
        </w:tc>
        <w:tc>
          <w:tcPr>
            <w:tcW w:w="1275" w:type="dxa"/>
            <w:shd w:val="clear" w:color="auto" w:fill="C4EFCE"/>
            <w:noWrap/>
            <w:vAlign w:val="center"/>
            <w:hideMark/>
          </w:tcPr>
          <w:p w14:paraId="2EB1AFBE"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AFDD2B"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02C4AFF6"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E9F353A" w14:textId="77777777"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4CC9C924"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436371A"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ECD628" w14:textId="77777777" w:rsidR="00F24946" w:rsidRDefault="00613B06">
            <w:pPr>
              <w:pStyle w:val="P68B1DB1-Normal8"/>
              <w:spacing w:after="0" w:line="240" w:lineRule="auto"/>
              <w:jc w:val="both"/>
              <w:rPr>
                <w:rFonts w:eastAsia="Times New Roman" w:cs="Calibri"/>
                <w:noProof/>
              </w:rPr>
            </w:pPr>
            <w:r>
              <w:rPr>
                <w:noProof/>
              </w:rPr>
              <w:t>Odstotek predmetov v učnih načrtih za osnovnošolsko in srednješolsko izobraževanje, vključno s telesno vzgojo in športom, za katere so bili dokončani digitalni učni viri.</w:t>
            </w:r>
          </w:p>
        </w:tc>
      </w:tr>
      <w:tr w:rsidR="00F24946" w14:paraId="6583B735" w14:textId="77777777">
        <w:trPr>
          <w:trHeight w:val="300"/>
        </w:trPr>
        <w:tc>
          <w:tcPr>
            <w:tcW w:w="1135" w:type="dxa"/>
            <w:shd w:val="clear" w:color="auto" w:fill="C4EFCE"/>
            <w:vAlign w:val="center"/>
            <w:hideMark/>
          </w:tcPr>
          <w:p w14:paraId="4B067463" w14:textId="77777777" w:rsidR="00F24946" w:rsidRDefault="00613B06">
            <w:pPr>
              <w:pStyle w:val="P68B1DB1-Normal7"/>
              <w:spacing w:after="0" w:line="240" w:lineRule="auto"/>
              <w:jc w:val="center"/>
              <w:rPr>
                <w:rFonts w:eastAsia="Times New Roman" w:cs="Calibri"/>
                <w:noProof/>
              </w:rPr>
            </w:pPr>
            <w:r>
              <w:rPr>
                <w:noProof/>
              </w:rPr>
              <w:t>20.9</w:t>
            </w:r>
          </w:p>
        </w:tc>
        <w:tc>
          <w:tcPr>
            <w:tcW w:w="1276" w:type="dxa"/>
            <w:shd w:val="clear" w:color="auto" w:fill="C4EFCE"/>
            <w:noWrap/>
            <w:vAlign w:val="center"/>
            <w:hideMark/>
          </w:tcPr>
          <w:p w14:paraId="51ABDC58" w14:textId="77777777" w:rsidR="00F24946" w:rsidRDefault="00613B06">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493108C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2A1726" w14:textId="77777777" w:rsidR="00F24946" w:rsidRDefault="00613B06">
            <w:pPr>
              <w:pStyle w:val="P68B1DB1-Normal8"/>
              <w:spacing w:after="0" w:line="240" w:lineRule="auto"/>
              <w:jc w:val="center"/>
              <w:rPr>
                <w:rFonts w:eastAsia="Times New Roman" w:cs="Calibri"/>
                <w:noProof/>
              </w:rPr>
            </w:pPr>
            <w:r>
              <w:rPr>
                <w:noProof/>
              </w:rPr>
              <w:t xml:space="preserve">Digitalni testi in izpiti v šolah </w:t>
            </w:r>
          </w:p>
        </w:tc>
        <w:tc>
          <w:tcPr>
            <w:tcW w:w="1275" w:type="dxa"/>
            <w:shd w:val="clear" w:color="auto" w:fill="C4EFCE"/>
            <w:noWrap/>
            <w:vAlign w:val="center"/>
            <w:hideMark/>
          </w:tcPr>
          <w:p w14:paraId="5EC705BD"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4340419"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2A8DDDCB" w14:textId="77777777" w:rsidR="00F24946" w:rsidRDefault="00613B06">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1F827CC1" w14:textId="77777777"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BF8C0F1"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410ECCAB"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FCEA458" w14:textId="77777777" w:rsidR="00F24946" w:rsidRDefault="00613B06">
            <w:pPr>
              <w:pStyle w:val="P68B1DB1-Normal8"/>
              <w:spacing w:after="0" w:line="240" w:lineRule="auto"/>
              <w:jc w:val="both"/>
              <w:rPr>
                <w:rFonts w:eastAsia="Times New Roman" w:cs="Calibri"/>
                <w:noProof/>
              </w:rPr>
            </w:pPr>
            <w:r>
              <w:rPr>
                <w:noProof/>
              </w:rPr>
              <w:t>Odstotek končnih šolskih testov in izpitov, ki so bili digitalizirani.</w:t>
            </w:r>
          </w:p>
        </w:tc>
      </w:tr>
      <w:tr w:rsidR="00F24946" w14:paraId="1835F478" w14:textId="77777777">
        <w:trPr>
          <w:trHeight w:val="640"/>
        </w:trPr>
        <w:tc>
          <w:tcPr>
            <w:tcW w:w="1135" w:type="dxa"/>
            <w:shd w:val="clear" w:color="auto" w:fill="C4EFCE"/>
            <w:vAlign w:val="center"/>
            <w:hideMark/>
          </w:tcPr>
          <w:p w14:paraId="0918542F" w14:textId="77777777" w:rsidR="00F24946" w:rsidRDefault="00613B06">
            <w:pPr>
              <w:pStyle w:val="P68B1DB1-Normal7"/>
              <w:spacing w:after="0" w:line="240" w:lineRule="auto"/>
              <w:jc w:val="center"/>
              <w:rPr>
                <w:rFonts w:eastAsia="Times New Roman" w:cs="Calibri"/>
                <w:noProof/>
              </w:rPr>
            </w:pPr>
            <w:r>
              <w:rPr>
                <w:noProof/>
              </w:rPr>
              <w:t>20.10</w:t>
            </w:r>
          </w:p>
        </w:tc>
        <w:tc>
          <w:tcPr>
            <w:tcW w:w="1276" w:type="dxa"/>
            <w:shd w:val="clear" w:color="auto" w:fill="C4EFCE"/>
            <w:noWrap/>
            <w:vAlign w:val="center"/>
            <w:hideMark/>
          </w:tcPr>
          <w:p w14:paraId="05624015" w14:textId="77777777" w:rsidR="00F24946" w:rsidRDefault="00613B06">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2541112A"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3C4030" w14:textId="77777777" w:rsidR="00F24946" w:rsidRDefault="00613B06">
            <w:pPr>
              <w:pStyle w:val="P68B1DB1-Normal8"/>
              <w:spacing w:after="0" w:line="240" w:lineRule="auto"/>
              <w:jc w:val="center"/>
              <w:rPr>
                <w:rFonts w:eastAsia="Times New Roman" w:cs="Calibri"/>
                <w:noProof/>
              </w:rPr>
            </w:pPr>
            <w:r>
              <w:rPr>
                <w:noProof/>
              </w:rPr>
              <w:t>Množični odprti spletni tečaji za učitelje in starše v ARA</w:t>
            </w:r>
          </w:p>
        </w:tc>
        <w:tc>
          <w:tcPr>
            <w:tcW w:w="1275" w:type="dxa"/>
            <w:shd w:val="clear" w:color="auto" w:fill="C4EFCE"/>
            <w:noWrap/>
            <w:vAlign w:val="center"/>
            <w:hideMark/>
          </w:tcPr>
          <w:p w14:paraId="3E7759AA"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3B79BA3" w14:textId="77777777" w:rsidR="00F24946" w:rsidRDefault="00613B06">
            <w:pPr>
              <w:pStyle w:val="P68B1DB1-Normal8"/>
              <w:spacing w:after="0" w:line="240" w:lineRule="auto"/>
              <w:jc w:val="center"/>
              <w:rPr>
                <w:rFonts w:eastAsia="Times New Roman" w:cs="Calibri"/>
                <w:noProof/>
              </w:rPr>
            </w:pPr>
            <w:r>
              <w:rPr>
                <w:noProof/>
              </w:rPr>
              <w:t> Število</w:t>
            </w:r>
          </w:p>
        </w:tc>
        <w:tc>
          <w:tcPr>
            <w:tcW w:w="992" w:type="dxa"/>
            <w:shd w:val="clear" w:color="auto" w:fill="C4EFCE"/>
            <w:noWrap/>
            <w:vAlign w:val="center"/>
            <w:hideMark/>
          </w:tcPr>
          <w:p w14:paraId="35DA7DA1"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1A1252EC" w14:textId="77777777" w:rsidR="00F24946" w:rsidRDefault="00613B06">
            <w:pPr>
              <w:pStyle w:val="P68B1DB1-Normal8"/>
              <w:spacing w:after="0" w:line="240" w:lineRule="auto"/>
              <w:jc w:val="center"/>
              <w:rPr>
                <w:rFonts w:eastAsia="Times New Roman" w:cs="Calibri"/>
                <w:noProof/>
              </w:rPr>
            </w:pPr>
            <w:r>
              <w:rPr>
                <w:noProof/>
              </w:rPr>
              <w:t>4 </w:t>
            </w:r>
          </w:p>
        </w:tc>
        <w:tc>
          <w:tcPr>
            <w:tcW w:w="567" w:type="dxa"/>
            <w:shd w:val="clear" w:color="auto" w:fill="C4EFCE"/>
            <w:noWrap/>
            <w:vAlign w:val="center"/>
            <w:hideMark/>
          </w:tcPr>
          <w:p w14:paraId="4C03DB82"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4B08F7C5"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32162FD6" w14:textId="1657A217" w:rsidR="00F24946" w:rsidRDefault="00613B06">
            <w:pPr>
              <w:pStyle w:val="P68B1DB1-Normal8"/>
              <w:spacing w:after="0" w:line="240" w:lineRule="auto"/>
              <w:jc w:val="both"/>
              <w:rPr>
                <w:rFonts w:eastAsia="Times New Roman" w:cs="Calibri"/>
                <w:noProof/>
              </w:rPr>
            </w:pPr>
            <w:r>
              <w:rPr>
                <w:noProof/>
              </w:rPr>
              <w:t>Število množičnih odprtih spletnih tečajev (MOOC), namenjenih spodbujanju razvoja digitalnih znanj in spretnosti za izobraževanje v učilnici in učenje na daljavo, vključno z zagotavljanjem učnih načrtov in portala za digitalno strokovno javno naročanje. MOOC so na voljo na spletu in prosto dostopni učiteljem in staršem učencev.</w:t>
            </w:r>
          </w:p>
        </w:tc>
      </w:tr>
      <w:tr w:rsidR="00F24946" w14:paraId="460A159F" w14:textId="77777777">
        <w:trPr>
          <w:trHeight w:val="430"/>
        </w:trPr>
        <w:tc>
          <w:tcPr>
            <w:tcW w:w="1135" w:type="dxa"/>
            <w:shd w:val="clear" w:color="auto" w:fill="C4EFCE"/>
            <w:vAlign w:val="center"/>
            <w:hideMark/>
          </w:tcPr>
          <w:p w14:paraId="68F05D42" w14:textId="77777777" w:rsidR="00F24946" w:rsidRDefault="00613B06">
            <w:pPr>
              <w:pStyle w:val="P68B1DB1-Normal7"/>
              <w:spacing w:after="0" w:line="240" w:lineRule="auto"/>
              <w:jc w:val="center"/>
              <w:rPr>
                <w:rFonts w:eastAsia="Times New Roman" w:cs="Calibri"/>
                <w:noProof/>
              </w:rPr>
            </w:pPr>
            <w:r>
              <w:rPr>
                <w:noProof/>
              </w:rPr>
              <w:t>20.11</w:t>
            </w:r>
          </w:p>
        </w:tc>
        <w:tc>
          <w:tcPr>
            <w:tcW w:w="1276" w:type="dxa"/>
            <w:shd w:val="clear" w:color="auto" w:fill="C4EFCE"/>
            <w:noWrap/>
            <w:vAlign w:val="center"/>
            <w:hideMark/>
          </w:tcPr>
          <w:p w14:paraId="6836999F" w14:textId="77777777" w:rsidR="00F24946" w:rsidRDefault="00613B06">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11B05124"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4258687" w14:textId="77777777" w:rsidR="00F24946" w:rsidRDefault="00613B06">
            <w:pPr>
              <w:pStyle w:val="P68B1DB1-Normal8"/>
              <w:spacing w:after="0" w:line="240" w:lineRule="auto"/>
              <w:jc w:val="center"/>
              <w:rPr>
                <w:rFonts w:eastAsia="Times New Roman" w:cs="Calibri"/>
                <w:noProof/>
              </w:rPr>
            </w:pPr>
            <w:r>
              <w:rPr>
                <w:noProof/>
              </w:rPr>
              <w:t>Novi prenosni računalniki in tablete za šole v ARA</w:t>
            </w:r>
          </w:p>
        </w:tc>
        <w:tc>
          <w:tcPr>
            <w:tcW w:w="1275" w:type="dxa"/>
            <w:shd w:val="clear" w:color="auto" w:fill="C4EFCE"/>
            <w:noWrap/>
            <w:vAlign w:val="center"/>
            <w:hideMark/>
          </w:tcPr>
          <w:p w14:paraId="1EA6C894"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99FF1" w14:textId="77777777" w:rsidR="00F24946" w:rsidRDefault="00613B06">
            <w:pPr>
              <w:pStyle w:val="P68B1DB1-Normal8"/>
              <w:spacing w:after="0" w:line="240" w:lineRule="auto"/>
              <w:jc w:val="center"/>
              <w:rPr>
                <w:rFonts w:eastAsia="Times New Roman" w:cs="Calibri"/>
                <w:noProof/>
              </w:rPr>
            </w:pPr>
            <w:r>
              <w:rPr>
                <w:noProof/>
              </w:rPr>
              <w:t> Število</w:t>
            </w:r>
          </w:p>
        </w:tc>
        <w:tc>
          <w:tcPr>
            <w:tcW w:w="992" w:type="dxa"/>
            <w:shd w:val="clear" w:color="auto" w:fill="C4EFCE"/>
            <w:noWrap/>
            <w:vAlign w:val="center"/>
            <w:hideMark/>
          </w:tcPr>
          <w:p w14:paraId="1229DA03"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A9D697F" w14:textId="606152BC" w:rsidR="00F24946" w:rsidRDefault="00613B06">
            <w:pPr>
              <w:pStyle w:val="P68B1DB1-Normal8"/>
              <w:spacing w:after="0" w:line="240" w:lineRule="auto"/>
              <w:jc w:val="center"/>
              <w:rPr>
                <w:rFonts w:eastAsia="Times New Roman" w:cs="Calibri"/>
                <w:noProof/>
              </w:rPr>
            </w:pPr>
            <w:r>
              <w:rPr>
                <w:noProof/>
              </w:rPr>
              <w:t>31 900 </w:t>
            </w:r>
          </w:p>
        </w:tc>
        <w:tc>
          <w:tcPr>
            <w:tcW w:w="567" w:type="dxa"/>
            <w:shd w:val="clear" w:color="auto" w:fill="C4EFCE"/>
            <w:noWrap/>
            <w:vAlign w:val="center"/>
            <w:hideMark/>
          </w:tcPr>
          <w:p w14:paraId="33E5271F"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91A9F02"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D530C43" w14:textId="4454DA70" w:rsidR="00F24946" w:rsidRDefault="00613B06">
            <w:pPr>
              <w:pStyle w:val="P68B1DB1-Normal8"/>
              <w:spacing w:after="0" w:line="240" w:lineRule="auto"/>
              <w:jc w:val="both"/>
              <w:rPr>
                <w:rFonts w:eastAsia="Times New Roman" w:cs="Calibri"/>
                <w:noProof/>
                <w:highlight w:val="yellow"/>
              </w:rPr>
            </w:pPr>
            <w:r>
              <w:rPr>
                <w:noProof/>
              </w:rPr>
              <w:t xml:space="preserve">Število novih prenosnih računalnikov in tabličnih računalnikov za predšolsko, prvo in drugo izobraževanje ter srednješolsko izobraževanje, </w:t>
            </w:r>
          </w:p>
        </w:tc>
      </w:tr>
      <w:tr w:rsidR="00F24946" w14:paraId="717DE77B" w14:textId="77777777">
        <w:trPr>
          <w:trHeight w:val="420"/>
        </w:trPr>
        <w:tc>
          <w:tcPr>
            <w:tcW w:w="1135" w:type="dxa"/>
            <w:shd w:val="clear" w:color="auto" w:fill="C4EFCE"/>
            <w:vAlign w:val="center"/>
            <w:hideMark/>
          </w:tcPr>
          <w:p w14:paraId="0BEC3FD8" w14:textId="77777777" w:rsidR="00F24946" w:rsidRDefault="00613B06">
            <w:pPr>
              <w:pStyle w:val="P68B1DB1-Normal7"/>
              <w:spacing w:after="0" w:line="240" w:lineRule="auto"/>
              <w:jc w:val="center"/>
              <w:rPr>
                <w:rFonts w:eastAsia="Times New Roman" w:cs="Calibri"/>
                <w:noProof/>
              </w:rPr>
            </w:pPr>
            <w:r>
              <w:rPr>
                <w:noProof/>
              </w:rPr>
              <w:t>20.12</w:t>
            </w:r>
          </w:p>
        </w:tc>
        <w:tc>
          <w:tcPr>
            <w:tcW w:w="1276" w:type="dxa"/>
            <w:shd w:val="clear" w:color="auto" w:fill="C4EFCE"/>
            <w:noWrap/>
            <w:vAlign w:val="center"/>
            <w:hideMark/>
          </w:tcPr>
          <w:p w14:paraId="0159F519" w14:textId="77777777" w:rsidR="00F24946" w:rsidRDefault="00613B06">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1C7953"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6675CAB" w14:textId="77777777" w:rsidR="00F24946" w:rsidRDefault="00613B06">
            <w:pPr>
              <w:pStyle w:val="P68B1DB1-Normal8"/>
              <w:spacing w:after="0" w:line="240" w:lineRule="auto"/>
              <w:jc w:val="center"/>
              <w:rPr>
                <w:rFonts w:eastAsia="Times New Roman" w:cs="Calibri"/>
                <w:noProof/>
              </w:rPr>
            </w:pPr>
            <w:r>
              <w:rPr>
                <w:noProof/>
              </w:rPr>
              <w:t>Digitalna oprema in digitalni učni viri šol v ARA</w:t>
            </w:r>
          </w:p>
        </w:tc>
        <w:tc>
          <w:tcPr>
            <w:tcW w:w="1275" w:type="dxa"/>
            <w:shd w:val="clear" w:color="auto" w:fill="C4EFCE"/>
            <w:noWrap/>
            <w:vAlign w:val="center"/>
            <w:hideMark/>
          </w:tcPr>
          <w:p w14:paraId="665AC058" w14:textId="77777777" w:rsidR="00F24946" w:rsidRDefault="00613B06">
            <w:pPr>
              <w:pStyle w:val="P68B1DB1-Normal8"/>
              <w:spacing w:after="0" w:line="240" w:lineRule="auto"/>
              <w:jc w:val="center"/>
              <w:rPr>
                <w:rFonts w:eastAsia="Times New Roman" w:cs="Calibri"/>
                <w:noProof/>
              </w:rPr>
            </w:pPr>
            <w:r>
              <w:rPr>
                <w:noProof/>
              </w:rPr>
              <w:t>Dostava digitalne opreme in digitalnih izobraževalnih virov šolam v ARA </w:t>
            </w:r>
          </w:p>
        </w:tc>
        <w:tc>
          <w:tcPr>
            <w:tcW w:w="993" w:type="dxa"/>
            <w:shd w:val="clear" w:color="auto" w:fill="C4EFCE"/>
            <w:noWrap/>
            <w:vAlign w:val="center"/>
            <w:hideMark/>
          </w:tcPr>
          <w:p w14:paraId="4291E0F6"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17013E8"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B8A39D" w14:textId="77777777" w:rsidR="00F24946" w:rsidRDefault="00613B06">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D69B374"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B160E88"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FB45933" w14:textId="4CC70D9C" w:rsidR="00F24946" w:rsidRDefault="00613B06">
            <w:pPr>
              <w:pStyle w:val="P68B1DB1-Normal8"/>
              <w:spacing w:after="0" w:line="240" w:lineRule="auto"/>
              <w:jc w:val="both"/>
              <w:rPr>
                <w:rFonts w:eastAsia="Times New Roman" w:cs="Calibri"/>
                <w:noProof/>
              </w:rPr>
            </w:pPr>
            <w:r>
              <w:rPr>
                <w:noProof/>
              </w:rPr>
              <w:t xml:space="preserve">Dokončanje distribucije naslednje digitalne opreme šolam v avtonomni regiji Azori: internetna povezava vsaj 1 Gb/s v 95 % šol, 1080 novih interaktivnih zaslonov, 100 novih specializiranih laboratorijskih naprav, 100 novih 3D-tiskalnikov, 150 novih izobraževalnih robotov. Poleg tega vse javne šole in štiri zasebne šole ponujajo digitalne priročnike za vse učence. Kupi in namesti se 1500 stikal in APS. </w:t>
            </w:r>
          </w:p>
          <w:p w14:paraId="08384363" w14:textId="6F1DA79E" w:rsidR="00F24946" w:rsidRDefault="00F24946">
            <w:pPr>
              <w:spacing w:after="0" w:line="240" w:lineRule="auto"/>
              <w:jc w:val="both"/>
              <w:rPr>
                <w:rFonts w:ascii="Calibri" w:eastAsia="Times New Roman" w:hAnsi="Calibri" w:cs="Calibri"/>
                <w:noProof/>
                <w:sz w:val="16"/>
              </w:rPr>
            </w:pPr>
          </w:p>
        </w:tc>
      </w:tr>
      <w:tr w:rsidR="00F24946" w14:paraId="10C91F97" w14:textId="77777777">
        <w:trPr>
          <w:trHeight w:val="640"/>
        </w:trPr>
        <w:tc>
          <w:tcPr>
            <w:tcW w:w="1135" w:type="dxa"/>
            <w:shd w:val="clear" w:color="auto" w:fill="C4EFCE"/>
            <w:vAlign w:val="center"/>
            <w:hideMark/>
          </w:tcPr>
          <w:p w14:paraId="7E9B20A9" w14:textId="77777777" w:rsidR="00F24946" w:rsidRDefault="00613B06">
            <w:pPr>
              <w:pStyle w:val="P68B1DB1-Normal7"/>
              <w:spacing w:after="0" w:line="240" w:lineRule="auto"/>
              <w:jc w:val="center"/>
              <w:rPr>
                <w:rFonts w:eastAsia="Times New Roman" w:cs="Calibri"/>
                <w:noProof/>
              </w:rPr>
            </w:pPr>
            <w:r>
              <w:rPr>
                <w:noProof/>
              </w:rPr>
              <w:t>20.13</w:t>
            </w:r>
          </w:p>
        </w:tc>
        <w:tc>
          <w:tcPr>
            <w:tcW w:w="1276" w:type="dxa"/>
            <w:shd w:val="clear" w:color="auto" w:fill="C4EFCE"/>
            <w:noWrap/>
            <w:vAlign w:val="center"/>
            <w:hideMark/>
          </w:tcPr>
          <w:p w14:paraId="2040DD1F" w14:textId="77777777" w:rsidR="00F24946" w:rsidRDefault="00613B06">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6FAD20"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518DAD" w14:textId="77777777" w:rsidR="00F24946" w:rsidRDefault="00613B06">
            <w:pPr>
              <w:pStyle w:val="P68B1DB1-Normal8"/>
              <w:spacing w:after="0" w:line="240" w:lineRule="auto"/>
              <w:jc w:val="center"/>
              <w:rPr>
                <w:rFonts w:eastAsia="Times New Roman" w:cs="Calibri"/>
                <w:noProof/>
              </w:rPr>
            </w:pPr>
            <w:r>
              <w:rPr>
                <w:noProof/>
              </w:rPr>
              <w:t>Množični odprti spletni tečaji za učitelje in starše v ARA</w:t>
            </w:r>
          </w:p>
        </w:tc>
        <w:tc>
          <w:tcPr>
            <w:tcW w:w="1275" w:type="dxa"/>
            <w:shd w:val="clear" w:color="auto" w:fill="C4EFCE"/>
            <w:noWrap/>
            <w:vAlign w:val="center"/>
            <w:hideMark/>
          </w:tcPr>
          <w:p w14:paraId="39B4F2CD"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DD36ADA" w14:textId="77777777" w:rsidR="00F24946" w:rsidRDefault="00613B06">
            <w:pPr>
              <w:pStyle w:val="P68B1DB1-Normal8"/>
              <w:spacing w:after="0" w:line="240" w:lineRule="auto"/>
              <w:jc w:val="center"/>
              <w:rPr>
                <w:rFonts w:eastAsia="Times New Roman" w:cs="Calibri"/>
                <w:noProof/>
              </w:rPr>
            </w:pPr>
            <w:r>
              <w:rPr>
                <w:noProof/>
              </w:rPr>
              <w:t> Število</w:t>
            </w:r>
          </w:p>
        </w:tc>
        <w:tc>
          <w:tcPr>
            <w:tcW w:w="992" w:type="dxa"/>
            <w:shd w:val="clear" w:color="auto" w:fill="C4EFCE"/>
            <w:noWrap/>
            <w:vAlign w:val="center"/>
            <w:hideMark/>
          </w:tcPr>
          <w:p w14:paraId="62B718DE" w14:textId="77777777" w:rsidR="00F24946" w:rsidRDefault="00613B06">
            <w:pPr>
              <w:pStyle w:val="P68B1DB1-Normal8"/>
              <w:spacing w:after="0" w:line="240" w:lineRule="auto"/>
              <w:jc w:val="center"/>
              <w:rPr>
                <w:rFonts w:eastAsia="Times New Roman" w:cs="Calibri"/>
                <w:noProof/>
              </w:rPr>
            </w:pPr>
            <w:r>
              <w:rPr>
                <w:noProof/>
              </w:rPr>
              <w:t>4 </w:t>
            </w:r>
          </w:p>
        </w:tc>
        <w:tc>
          <w:tcPr>
            <w:tcW w:w="992" w:type="dxa"/>
            <w:shd w:val="clear" w:color="auto" w:fill="C4EFCE"/>
            <w:noWrap/>
            <w:vAlign w:val="center"/>
            <w:hideMark/>
          </w:tcPr>
          <w:p w14:paraId="2541D73D" w14:textId="77777777" w:rsidR="00F24946" w:rsidRDefault="00613B06">
            <w:pPr>
              <w:pStyle w:val="P68B1DB1-Normal8"/>
              <w:spacing w:after="0" w:line="240" w:lineRule="auto"/>
              <w:jc w:val="center"/>
              <w:rPr>
                <w:rFonts w:eastAsia="Times New Roman" w:cs="Calibri"/>
                <w:noProof/>
              </w:rPr>
            </w:pPr>
            <w:r>
              <w:rPr>
                <w:noProof/>
              </w:rPr>
              <w:t>24 </w:t>
            </w:r>
          </w:p>
        </w:tc>
        <w:tc>
          <w:tcPr>
            <w:tcW w:w="567" w:type="dxa"/>
            <w:shd w:val="clear" w:color="auto" w:fill="C4EFCE"/>
            <w:noWrap/>
            <w:vAlign w:val="center"/>
            <w:hideMark/>
          </w:tcPr>
          <w:p w14:paraId="69EB09C9"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8E360EC"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60A3612" w14:textId="32C24508" w:rsidR="00F24946" w:rsidRDefault="00613B06">
            <w:pPr>
              <w:pStyle w:val="P68B1DB1-Normal8"/>
              <w:spacing w:after="0" w:line="240" w:lineRule="auto"/>
              <w:jc w:val="both"/>
              <w:rPr>
                <w:rFonts w:eastAsia="Times New Roman" w:cs="Calibri"/>
                <w:noProof/>
              </w:rPr>
            </w:pPr>
            <w:r>
              <w:rPr>
                <w:noProof/>
              </w:rPr>
              <w:t>Število množičnih odprtih spletnih tečajev (MOOC), namenjenih spodbujanju razvoja digitalnih znanj in spretnosti za izobraževanje v učilnici in učenje na daljavo, vključno z zagotavljanjem učnih načrtov in portala za digitalno strokovno javno naročanje. MOOC so na voljo na spletu in prosto dostopni učiteljem in staršem učencev.</w:t>
            </w:r>
          </w:p>
        </w:tc>
      </w:tr>
      <w:tr w:rsidR="00F24946" w14:paraId="1D223056" w14:textId="77777777">
        <w:trPr>
          <w:trHeight w:val="430"/>
        </w:trPr>
        <w:tc>
          <w:tcPr>
            <w:tcW w:w="1135" w:type="dxa"/>
            <w:shd w:val="clear" w:color="auto" w:fill="C4EFCE"/>
            <w:vAlign w:val="center"/>
            <w:hideMark/>
          </w:tcPr>
          <w:p w14:paraId="0ECDAF89" w14:textId="77777777" w:rsidR="00F24946" w:rsidRDefault="00613B06">
            <w:pPr>
              <w:pStyle w:val="P68B1DB1-Normal7"/>
              <w:spacing w:after="0" w:line="240" w:lineRule="auto"/>
              <w:jc w:val="center"/>
              <w:rPr>
                <w:rFonts w:eastAsia="Times New Roman" w:cs="Calibri"/>
                <w:noProof/>
              </w:rPr>
            </w:pPr>
            <w:r>
              <w:rPr>
                <w:noProof/>
              </w:rPr>
              <w:t>20.14</w:t>
            </w:r>
          </w:p>
        </w:tc>
        <w:tc>
          <w:tcPr>
            <w:tcW w:w="1276" w:type="dxa"/>
            <w:shd w:val="clear" w:color="auto" w:fill="C4EFCE"/>
            <w:noWrap/>
            <w:vAlign w:val="center"/>
            <w:hideMark/>
          </w:tcPr>
          <w:p w14:paraId="03D3DFC8" w14:textId="77777777" w:rsidR="00F24946" w:rsidRDefault="00613B06">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23CBA4B"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C3C9C2" w14:textId="77777777" w:rsidR="00F24946" w:rsidRDefault="00613B06">
            <w:pPr>
              <w:pStyle w:val="P68B1DB1-Normal8"/>
              <w:spacing w:after="0" w:line="240" w:lineRule="auto"/>
              <w:jc w:val="center"/>
              <w:rPr>
                <w:rFonts w:eastAsia="Times New Roman" w:cs="Calibri"/>
                <w:noProof/>
              </w:rPr>
            </w:pPr>
            <w:r>
              <w:rPr>
                <w:noProof/>
              </w:rPr>
              <w:t>Digitalni priročniki za učence v drugem in tretjem ciklu ter srednješolce</w:t>
            </w:r>
          </w:p>
        </w:tc>
        <w:tc>
          <w:tcPr>
            <w:tcW w:w="1275" w:type="dxa"/>
            <w:shd w:val="clear" w:color="auto" w:fill="C4EFCE"/>
            <w:noWrap/>
            <w:vAlign w:val="center"/>
            <w:hideMark/>
          </w:tcPr>
          <w:p w14:paraId="581FCA5A"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6A2C559"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D79BB54"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021450BF" w14:textId="77777777" w:rsidR="00F24946" w:rsidRDefault="00613B06">
            <w:pPr>
              <w:pStyle w:val="P68B1DB1-Normal8"/>
              <w:spacing w:after="0" w:line="240" w:lineRule="auto"/>
              <w:jc w:val="center"/>
              <w:rPr>
                <w:rFonts w:eastAsia="Times New Roman" w:cs="Calibri"/>
                <w:noProof/>
              </w:rPr>
            </w:pPr>
            <w:r>
              <w:rPr>
                <w:noProof/>
              </w:rPr>
              <w:t>5 120</w:t>
            </w:r>
          </w:p>
        </w:tc>
        <w:tc>
          <w:tcPr>
            <w:tcW w:w="567" w:type="dxa"/>
            <w:shd w:val="clear" w:color="auto" w:fill="C4EFCE"/>
            <w:noWrap/>
            <w:vAlign w:val="center"/>
            <w:hideMark/>
          </w:tcPr>
          <w:p w14:paraId="606A70F3"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6E7BF1A5" w14:textId="77777777" w:rsidR="00F24946" w:rsidRDefault="00613B06">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3F22FD8" w14:textId="77777777" w:rsidR="00F24946" w:rsidRDefault="00613B06">
            <w:pPr>
              <w:pStyle w:val="P68B1DB1-Normal8"/>
              <w:spacing w:after="0" w:line="240" w:lineRule="auto"/>
              <w:jc w:val="both"/>
              <w:rPr>
                <w:rFonts w:eastAsia="Times New Roman" w:cs="Calibri"/>
                <w:noProof/>
              </w:rPr>
            </w:pPr>
            <w:r>
              <w:rPr>
                <w:noProof/>
              </w:rPr>
              <w:t>Število učencev v drugem in tretjem ciklu osnovnošolskega in srednješolskega izobraževanja, ki so imeli med šolskim letom dostop do digitalnega ročnega kompleta v ARM in ga uporabljali.</w:t>
            </w:r>
          </w:p>
        </w:tc>
      </w:tr>
      <w:tr w:rsidR="00F24946" w14:paraId="1D717255" w14:textId="77777777">
        <w:trPr>
          <w:trHeight w:val="430"/>
        </w:trPr>
        <w:tc>
          <w:tcPr>
            <w:tcW w:w="1135" w:type="dxa"/>
            <w:shd w:val="clear" w:color="auto" w:fill="C4EFCE"/>
            <w:vAlign w:val="center"/>
            <w:hideMark/>
          </w:tcPr>
          <w:p w14:paraId="43A515EE" w14:textId="77777777" w:rsidR="00F24946" w:rsidRDefault="00613B06">
            <w:pPr>
              <w:pStyle w:val="P68B1DB1-Normal7"/>
              <w:spacing w:after="0" w:line="240" w:lineRule="auto"/>
              <w:jc w:val="center"/>
              <w:rPr>
                <w:rFonts w:eastAsia="Times New Roman" w:cs="Calibri"/>
                <w:noProof/>
              </w:rPr>
            </w:pPr>
            <w:r>
              <w:rPr>
                <w:noProof/>
              </w:rPr>
              <w:t>20.15</w:t>
            </w:r>
          </w:p>
        </w:tc>
        <w:tc>
          <w:tcPr>
            <w:tcW w:w="1276" w:type="dxa"/>
            <w:shd w:val="clear" w:color="auto" w:fill="C4EFCE"/>
            <w:noWrap/>
            <w:vAlign w:val="center"/>
            <w:hideMark/>
          </w:tcPr>
          <w:p w14:paraId="2F471844" w14:textId="77777777" w:rsidR="00F24946" w:rsidRDefault="00613B06">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557AA325"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CD1B65B" w14:textId="77777777" w:rsidR="00F24946" w:rsidRDefault="00613B06">
            <w:pPr>
              <w:pStyle w:val="P68B1DB1-Normal8"/>
              <w:spacing w:after="0" w:line="240" w:lineRule="auto"/>
              <w:jc w:val="center"/>
              <w:rPr>
                <w:rFonts w:eastAsia="Times New Roman" w:cs="Calibri"/>
                <w:noProof/>
              </w:rPr>
            </w:pPr>
            <w:r>
              <w:rPr>
                <w:noProof/>
              </w:rPr>
              <w:t>Povezava šol v ARM</w:t>
            </w:r>
          </w:p>
        </w:tc>
        <w:tc>
          <w:tcPr>
            <w:tcW w:w="1275" w:type="dxa"/>
            <w:shd w:val="clear" w:color="auto" w:fill="C4EFCE"/>
            <w:noWrap/>
            <w:vAlign w:val="center"/>
            <w:hideMark/>
          </w:tcPr>
          <w:p w14:paraId="744D9AD2"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0395B5B" w14:textId="77777777" w:rsidR="00F24946" w:rsidRDefault="00613B06">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13728FA6"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2CFD81C3" w14:textId="53F859A1" w:rsidR="00F24946" w:rsidRDefault="00613B06">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1467E0FF"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702F513A" w14:textId="77777777" w:rsidR="00F24946" w:rsidRDefault="00613B06">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2DA9518" w14:textId="77777777" w:rsidR="00F24946" w:rsidRDefault="00613B06">
            <w:pPr>
              <w:pStyle w:val="P68B1DB1-Normal8"/>
              <w:spacing w:after="0" w:line="240" w:lineRule="auto"/>
              <w:jc w:val="both"/>
              <w:rPr>
                <w:rFonts w:eastAsia="Times New Roman" w:cs="Calibri"/>
                <w:noProof/>
              </w:rPr>
            </w:pPr>
            <w:r>
              <w:rPr>
                <w:noProof/>
              </w:rPr>
              <w:t xml:space="preserve">Odstotek osnovnih in srednjih šol v ARM, ki so povezane s strukturiranim brezžičnim omrežjem ARM z internetno povezavo vsaj 1 Gb/s za vsako šolo. </w:t>
            </w:r>
          </w:p>
          <w:p w14:paraId="3A29FC8E" w14:textId="4CC450DC" w:rsidR="00F24946" w:rsidRDefault="00613B06">
            <w:pPr>
              <w:pStyle w:val="P68B1DB1-Normal8"/>
              <w:spacing w:after="0" w:line="240" w:lineRule="auto"/>
              <w:jc w:val="both"/>
              <w:rPr>
                <w:rFonts w:eastAsia="Times New Roman" w:cs="Calibri"/>
                <w:noProof/>
              </w:rPr>
            </w:pPr>
            <w:r>
              <w:rPr>
                <w:noProof/>
              </w:rPr>
              <w:t xml:space="preserve">Poleg tega se deset rednih zasebnih šol ter zasebnih in javnih strokovnih šol poveže s strukturiranim brezžičnim omrežjem ARM z internetno povezavo vsaj 1 Gb/s za vsako šolo. </w:t>
            </w:r>
          </w:p>
          <w:p w14:paraId="624C1FEB" w14:textId="77CAAEB2" w:rsidR="00F24946" w:rsidRDefault="00F24946">
            <w:pPr>
              <w:spacing w:after="0" w:line="240" w:lineRule="auto"/>
              <w:jc w:val="both"/>
              <w:rPr>
                <w:rFonts w:ascii="Calibri" w:eastAsia="Times New Roman" w:hAnsi="Calibri" w:cs="Calibri"/>
                <w:noProof/>
                <w:sz w:val="16"/>
              </w:rPr>
            </w:pPr>
          </w:p>
        </w:tc>
      </w:tr>
      <w:tr w:rsidR="00F24946" w14:paraId="1ED02672" w14:textId="77777777">
        <w:trPr>
          <w:trHeight w:val="430"/>
        </w:trPr>
        <w:tc>
          <w:tcPr>
            <w:tcW w:w="1135" w:type="dxa"/>
            <w:shd w:val="clear" w:color="auto" w:fill="C4EFCE"/>
            <w:vAlign w:val="center"/>
            <w:hideMark/>
          </w:tcPr>
          <w:p w14:paraId="243BF94D" w14:textId="77777777" w:rsidR="00F24946" w:rsidRDefault="00613B06">
            <w:pPr>
              <w:pStyle w:val="P68B1DB1-Normal7"/>
              <w:spacing w:after="0" w:line="240" w:lineRule="auto"/>
              <w:jc w:val="center"/>
              <w:rPr>
                <w:rFonts w:eastAsia="Times New Roman" w:cs="Calibri"/>
                <w:noProof/>
              </w:rPr>
            </w:pPr>
            <w:r>
              <w:rPr>
                <w:noProof/>
              </w:rPr>
              <w:t>20.16</w:t>
            </w:r>
          </w:p>
        </w:tc>
        <w:tc>
          <w:tcPr>
            <w:tcW w:w="1276" w:type="dxa"/>
            <w:shd w:val="clear" w:color="auto" w:fill="C4EFCE"/>
            <w:noWrap/>
            <w:vAlign w:val="center"/>
            <w:hideMark/>
          </w:tcPr>
          <w:p w14:paraId="2BD7D152" w14:textId="77777777" w:rsidR="00F24946" w:rsidRDefault="00613B06">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1186022C"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D0DFB1E" w14:textId="77777777" w:rsidR="00F24946" w:rsidRDefault="00613B06">
            <w:pPr>
              <w:pStyle w:val="P68B1DB1-Normal8"/>
              <w:spacing w:after="0" w:line="240" w:lineRule="auto"/>
              <w:jc w:val="center"/>
              <w:rPr>
                <w:rFonts w:eastAsia="Times New Roman" w:cs="Calibri"/>
                <w:noProof/>
              </w:rPr>
            </w:pPr>
            <w:r>
              <w:rPr>
                <w:noProof/>
              </w:rPr>
              <w:t>Digitalni priročniki za učence v drugem in tretjem ciklu ter srednješolce v ARM</w:t>
            </w:r>
          </w:p>
        </w:tc>
        <w:tc>
          <w:tcPr>
            <w:tcW w:w="1275" w:type="dxa"/>
            <w:shd w:val="clear" w:color="auto" w:fill="C4EFCE"/>
            <w:noWrap/>
            <w:vAlign w:val="center"/>
            <w:hideMark/>
          </w:tcPr>
          <w:p w14:paraId="7C67A362"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3DF9D"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5CD64AFF" w14:textId="77777777" w:rsidR="00F24946" w:rsidRDefault="00613B06">
            <w:pPr>
              <w:pStyle w:val="P68B1DB1-Normal8"/>
              <w:spacing w:after="0" w:line="240" w:lineRule="auto"/>
              <w:jc w:val="center"/>
              <w:rPr>
                <w:rFonts w:eastAsia="Times New Roman" w:cs="Calibri"/>
                <w:noProof/>
              </w:rPr>
            </w:pPr>
            <w:r>
              <w:rPr>
                <w:noProof/>
              </w:rPr>
              <w:t> 5 120</w:t>
            </w:r>
          </w:p>
        </w:tc>
        <w:tc>
          <w:tcPr>
            <w:tcW w:w="992" w:type="dxa"/>
            <w:shd w:val="clear" w:color="auto" w:fill="C4EFCE"/>
            <w:noWrap/>
            <w:vAlign w:val="center"/>
            <w:hideMark/>
          </w:tcPr>
          <w:p w14:paraId="240804FC" w14:textId="0B620340" w:rsidR="00F24946" w:rsidRDefault="00613B06">
            <w:pPr>
              <w:pStyle w:val="P68B1DB1-Normal8"/>
              <w:spacing w:after="0" w:line="240" w:lineRule="auto"/>
              <w:jc w:val="center"/>
              <w:rPr>
                <w:rFonts w:eastAsia="Times New Roman" w:cs="Calibri"/>
                <w:noProof/>
              </w:rPr>
            </w:pPr>
            <w:r>
              <w:rPr>
                <w:noProof/>
              </w:rPr>
              <w:t>15 910</w:t>
            </w:r>
          </w:p>
        </w:tc>
        <w:tc>
          <w:tcPr>
            <w:tcW w:w="567" w:type="dxa"/>
            <w:shd w:val="clear" w:color="auto" w:fill="C4EFCE"/>
            <w:noWrap/>
            <w:vAlign w:val="center"/>
            <w:hideMark/>
          </w:tcPr>
          <w:p w14:paraId="62B4040C"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F0C2BA8"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0F3AA12" w14:textId="77777777" w:rsidR="00F24946" w:rsidRDefault="00613B06">
            <w:pPr>
              <w:pStyle w:val="P68B1DB1-Normal8"/>
              <w:spacing w:after="0" w:line="240" w:lineRule="auto"/>
              <w:jc w:val="both"/>
              <w:rPr>
                <w:rFonts w:eastAsia="Times New Roman" w:cs="Calibri"/>
                <w:noProof/>
              </w:rPr>
            </w:pPr>
            <w:r>
              <w:rPr>
                <w:noProof/>
              </w:rPr>
              <w:t>Število učencev v drugem in tretjem ciklu osnovnošolskega in srednješolskega izobraževanja, ki so imeli med šolskim letom dostop do digitalnega ročnega kompleta v ARM in ga uporabljali.</w:t>
            </w:r>
          </w:p>
        </w:tc>
      </w:tr>
      <w:tr w:rsidR="00F24946" w14:paraId="7660D0EB" w14:textId="77777777">
        <w:trPr>
          <w:trHeight w:val="430"/>
        </w:trPr>
        <w:tc>
          <w:tcPr>
            <w:tcW w:w="1135" w:type="dxa"/>
            <w:shd w:val="clear" w:color="auto" w:fill="C4EFCE"/>
            <w:vAlign w:val="center"/>
            <w:hideMark/>
          </w:tcPr>
          <w:p w14:paraId="325F95D8" w14:textId="77777777" w:rsidR="00F24946" w:rsidRDefault="00613B06">
            <w:pPr>
              <w:pStyle w:val="P68B1DB1-Normal7"/>
              <w:spacing w:after="0" w:line="240" w:lineRule="auto"/>
              <w:jc w:val="center"/>
              <w:rPr>
                <w:rFonts w:eastAsia="Times New Roman" w:cs="Calibri"/>
                <w:noProof/>
              </w:rPr>
            </w:pPr>
            <w:r>
              <w:rPr>
                <w:noProof/>
              </w:rPr>
              <w:t>20.17</w:t>
            </w:r>
          </w:p>
        </w:tc>
        <w:tc>
          <w:tcPr>
            <w:tcW w:w="1276" w:type="dxa"/>
            <w:shd w:val="clear" w:color="auto" w:fill="C4EFCE"/>
            <w:noWrap/>
            <w:vAlign w:val="center"/>
            <w:hideMark/>
          </w:tcPr>
          <w:p w14:paraId="180447D1" w14:textId="77777777" w:rsidR="00F24946" w:rsidRDefault="00613B06">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743CB91" w14:textId="77777777" w:rsidR="00F24946" w:rsidRDefault="00613B06">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EE5696E" w14:textId="74CF1BE8" w:rsidR="00F24946" w:rsidRDefault="00613B06">
            <w:pPr>
              <w:pStyle w:val="P68B1DB1-Normal8"/>
              <w:spacing w:after="0" w:line="240" w:lineRule="auto"/>
              <w:jc w:val="center"/>
              <w:rPr>
                <w:rFonts w:eastAsia="Times New Roman" w:cs="Calibri"/>
                <w:noProof/>
              </w:rPr>
            </w:pPr>
            <w:r>
              <w:rPr>
                <w:noProof/>
              </w:rPr>
              <w:t>Usposabljanje učiteljev in nepedagoškega osebja na področju digitalnih kompetenc v ARM</w:t>
            </w:r>
          </w:p>
        </w:tc>
        <w:tc>
          <w:tcPr>
            <w:tcW w:w="1275" w:type="dxa"/>
            <w:shd w:val="clear" w:color="auto" w:fill="C4EFCE"/>
            <w:noWrap/>
            <w:vAlign w:val="center"/>
            <w:hideMark/>
          </w:tcPr>
          <w:p w14:paraId="420A8AD6" w14:textId="77777777" w:rsidR="00F24946" w:rsidRDefault="00613B06">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97D008C" w14:textId="77777777" w:rsidR="00F24946" w:rsidRDefault="00613B06">
            <w:pPr>
              <w:pStyle w:val="P68B1DB1-Normal8"/>
              <w:spacing w:after="0" w:line="240" w:lineRule="auto"/>
              <w:jc w:val="center"/>
              <w:rPr>
                <w:rFonts w:eastAsia="Times New Roman" w:cs="Calibri"/>
                <w:noProof/>
              </w:rPr>
            </w:pPr>
            <w:r>
              <w:rPr>
                <w:noProof/>
              </w:rPr>
              <w:t>Število</w:t>
            </w:r>
          </w:p>
        </w:tc>
        <w:tc>
          <w:tcPr>
            <w:tcW w:w="992" w:type="dxa"/>
            <w:shd w:val="clear" w:color="auto" w:fill="C4EFCE"/>
            <w:noWrap/>
            <w:vAlign w:val="center"/>
            <w:hideMark/>
          </w:tcPr>
          <w:p w14:paraId="3B8AB54E" w14:textId="77777777" w:rsidR="00F24946" w:rsidRDefault="00613B06">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535A3EE3" w14:textId="41629E58" w:rsidR="00F24946" w:rsidRDefault="00613B06">
            <w:pPr>
              <w:pStyle w:val="P68B1DB1-Normal8"/>
              <w:spacing w:after="0" w:line="240" w:lineRule="auto"/>
              <w:jc w:val="center"/>
              <w:rPr>
                <w:rFonts w:eastAsia="Times New Roman" w:cs="Calibri"/>
                <w:noProof/>
              </w:rPr>
            </w:pPr>
            <w:r>
              <w:rPr>
                <w:noProof/>
              </w:rPr>
              <w:t>6 500</w:t>
            </w:r>
          </w:p>
        </w:tc>
        <w:tc>
          <w:tcPr>
            <w:tcW w:w="567" w:type="dxa"/>
            <w:shd w:val="clear" w:color="auto" w:fill="C4EFCE"/>
            <w:noWrap/>
            <w:vAlign w:val="center"/>
            <w:hideMark/>
          </w:tcPr>
          <w:p w14:paraId="482B643B"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43B0F623"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6DF7A39" w14:textId="4A0452C5" w:rsidR="00F24946" w:rsidRDefault="00613B06">
            <w:pPr>
              <w:pStyle w:val="P68B1DB1-Normal8"/>
              <w:spacing w:after="0" w:line="240" w:lineRule="auto"/>
              <w:jc w:val="both"/>
              <w:rPr>
                <w:rFonts w:eastAsia="Times New Roman" w:cs="Calibri"/>
                <w:noProof/>
              </w:rPr>
            </w:pPr>
            <w:r>
              <w:rPr>
                <w:noProof/>
              </w:rPr>
              <w:t>Število učiteljev in neučiteljskega osebja z vseh ravni izobraževanja (od predšolskega do srednješolskega), ki so se udeležili usposabljanja na področju digitalnih in tehnoloških znanj in spretnosti v ARM</w:t>
            </w:r>
          </w:p>
        </w:tc>
      </w:tr>
      <w:tr w:rsidR="00F24946" w14:paraId="55A3D1D0" w14:textId="77777777">
        <w:trPr>
          <w:trHeight w:val="1050"/>
        </w:trPr>
        <w:tc>
          <w:tcPr>
            <w:tcW w:w="1135" w:type="dxa"/>
            <w:shd w:val="clear" w:color="auto" w:fill="C4EFCE"/>
            <w:vAlign w:val="center"/>
            <w:hideMark/>
          </w:tcPr>
          <w:p w14:paraId="7B3BBD15" w14:textId="77777777" w:rsidR="00F24946" w:rsidRDefault="00613B06">
            <w:pPr>
              <w:pStyle w:val="P68B1DB1-Normal7"/>
              <w:spacing w:after="0" w:line="240" w:lineRule="auto"/>
              <w:jc w:val="center"/>
              <w:rPr>
                <w:rFonts w:eastAsia="Times New Roman" w:cs="Calibri"/>
                <w:noProof/>
              </w:rPr>
            </w:pPr>
            <w:r>
              <w:rPr>
                <w:noProof/>
              </w:rPr>
              <w:t>20.18</w:t>
            </w:r>
          </w:p>
        </w:tc>
        <w:tc>
          <w:tcPr>
            <w:tcW w:w="1276" w:type="dxa"/>
            <w:shd w:val="clear" w:color="auto" w:fill="C4EFCE"/>
            <w:noWrap/>
            <w:vAlign w:val="center"/>
            <w:hideMark/>
          </w:tcPr>
          <w:p w14:paraId="3DD1B641" w14:textId="77777777" w:rsidR="00F24946" w:rsidRDefault="00613B06">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3149BD8C" w14:textId="77777777" w:rsidR="00F24946" w:rsidRDefault="00613B06">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F966D8" w14:textId="77777777" w:rsidR="00F24946" w:rsidRDefault="00613B06">
            <w:pPr>
              <w:pStyle w:val="P68B1DB1-Normal8"/>
              <w:spacing w:after="0" w:line="240" w:lineRule="auto"/>
              <w:jc w:val="center"/>
              <w:rPr>
                <w:rFonts w:eastAsia="Times New Roman" w:cs="Calibri"/>
                <w:noProof/>
              </w:rPr>
            </w:pPr>
            <w:r>
              <w:rPr>
                <w:noProof/>
              </w:rPr>
              <w:t>Dostava znanstvene in tehnološke opreme šolam v ARM</w:t>
            </w:r>
          </w:p>
        </w:tc>
        <w:tc>
          <w:tcPr>
            <w:tcW w:w="1275" w:type="dxa"/>
            <w:shd w:val="clear" w:color="auto" w:fill="C4EFCE"/>
            <w:noWrap/>
            <w:vAlign w:val="center"/>
            <w:hideMark/>
          </w:tcPr>
          <w:p w14:paraId="1EEB5525" w14:textId="77777777" w:rsidR="00F24946" w:rsidRDefault="00613B06">
            <w:pPr>
              <w:pStyle w:val="P68B1DB1-Normal8"/>
              <w:spacing w:after="0" w:line="240" w:lineRule="auto"/>
              <w:jc w:val="center"/>
              <w:rPr>
                <w:rFonts w:eastAsia="Times New Roman" w:cs="Calibri"/>
                <w:noProof/>
              </w:rPr>
            </w:pPr>
            <w:r>
              <w:rPr>
                <w:noProof/>
              </w:rPr>
              <w:t>Dostava znanstvene in tehnološke opreme šolam v ARM</w:t>
            </w:r>
          </w:p>
        </w:tc>
        <w:tc>
          <w:tcPr>
            <w:tcW w:w="993" w:type="dxa"/>
            <w:shd w:val="clear" w:color="auto" w:fill="C4EFCE"/>
            <w:noWrap/>
            <w:vAlign w:val="center"/>
            <w:hideMark/>
          </w:tcPr>
          <w:p w14:paraId="452E3CD7" w14:textId="74CDE77A"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19E0DA20" w14:textId="77777777" w:rsidR="00F24946" w:rsidRDefault="00613B06">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21CC52E" w14:textId="797C68A8"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4C56176" w14:textId="77777777" w:rsidR="00F24946" w:rsidRDefault="00613B06">
            <w:pPr>
              <w:pStyle w:val="P68B1DB1-Normal8"/>
              <w:spacing w:after="0" w:line="240" w:lineRule="auto"/>
              <w:jc w:val="center"/>
              <w:rPr>
                <w:rFonts w:eastAsia="Times New Roman" w:cs="Calibri"/>
                <w:noProof/>
              </w:rPr>
            </w:pPr>
            <w:r>
              <w:rPr>
                <w:noProof/>
              </w:rPr>
              <w:t>Q4</w:t>
            </w:r>
          </w:p>
        </w:tc>
        <w:tc>
          <w:tcPr>
            <w:tcW w:w="708" w:type="dxa"/>
            <w:shd w:val="clear" w:color="auto" w:fill="C4EFCE"/>
            <w:noWrap/>
            <w:vAlign w:val="center"/>
            <w:hideMark/>
          </w:tcPr>
          <w:p w14:paraId="2338A6FD" w14:textId="77777777" w:rsidR="00F24946" w:rsidRDefault="00613B06">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272357" w14:textId="01FD295F" w:rsidR="00F24946" w:rsidRDefault="00613B06">
            <w:pPr>
              <w:pStyle w:val="P68B1DB1-Normal8"/>
              <w:spacing w:after="0" w:line="240" w:lineRule="auto"/>
              <w:rPr>
                <w:rFonts w:eastAsia="Times New Roman" w:cs="Calibri"/>
                <w:noProof/>
              </w:rPr>
            </w:pPr>
            <w:r>
              <w:rPr>
                <w:noProof/>
              </w:rPr>
              <w:t>Šole v RAM, ki imajo koristi od distribucije naslednjih kompletov za eksperimentiranje z znanstveno in tehnološko opremo (za 129 šolskih sob/izobraževalnih prostorov za vse ravni izobraževanja: pred, 1</w:t>
            </w:r>
            <w:r>
              <w:rPr>
                <w:noProof/>
                <w:vertAlign w:val="superscript"/>
              </w:rPr>
              <w:t>st</w:t>
            </w:r>
            <w:r>
              <w:rPr>
                <w:noProof/>
              </w:rPr>
              <w:t>,</w:t>
            </w:r>
            <w:r>
              <w:rPr>
                <w:noProof/>
                <w:vertAlign w:val="superscript"/>
              </w:rPr>
              <w:t>2.</w:t>
            </w:r>
            <w:r>
              <w:rPr>
                <w:noProof/>
              </w:rPr>
              <w:t>,</w:t>
            </w:r>
            <w:r>
              <w:rPr>
                <w:noProof/>
                <w:vertAlign w:val="superscript"/>
              </w:rPr>
              <w:t>3.</w:t>
            </w:r>
            <w:r>
              <w:rPr>
                <w:noProof/>
              </w:rPr>
              <w:t xml:space="preserve"> in srednješolsko izobraževanje); kompleti za eksperimentalno znanost (za 129 šolskih sob/izobraževalnih prostorov); Kompleti za paro (za 129 šolskih sob/izobraževalnih prostorov); kompleti za biologijo, fiziko in kemijo (za 35 šolskih sob/izobraževalnih prostorov); Kompleti za polivizualne/večpredstavniške storitve (za 40 šolskih sob/izobraževalnih prostorov), 100 nove računalniške opreme za znanost (za 94 šolskih sob/izobraževalnih prostorov v prvem ciklu); </w:t>
            </w:r>
          </w:p>
          <w:p w14:paraId="4F6AF773" w14:textId="6828D80F" w:rsidR="00F24946" w:rsidRDefault="00613B06">
            <w:pPr>
              <w:pStyle w:val="P68B1DB1-Normal8"/>
              <w:spacing w:after="0" w:line="240" w:lineRule="auto"/>
              <w:rPr>
                <w:rFonts w:eastAsia="Times New Roman" w:cs="Calibri"/>
                <w:noProof/>
              </w:rPr>
            </w:pPr>
            <w:r>
              <w:rPr>
                <w:noProof/>
              </w:rPr>
              <w:t>Poleg tega se vzpostavi 91 inovativnih učnih okolij, da se omogočijo novi metodološki pristopi v procesu poučevanja in učenja.</w:t>
            </w:r>
          </w:p>
        </w:tc>
      </w:tr>
    </w:tbl>
    <w:p w14:paraId="63F6E735"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DF53512" w14:textId="77777777" w:rsidR="00F24946" w:rsidRDefault="00F24946">
      <w:pPr>
        <w:keepNext/>
        <w:spacing w:before="40" w:after="0" w:line="259" w:lineRule="auto"/>
        <w:jc w:val="both"/>
        <w:rPr>
          <w:rFonts w:ascii="Times New Roman" w:eastAsiaTheme="minorEastAsia" w:hAnsi="Times New Roman" w:cs="Times New Roman"/>
          <w:noProof/>
          <w:sz w:val="24"/>
        </w:rPr>
        <w:sectPr w:rsidR="00F24946" w:rsidSect="00E00EDD">
          <w:headerReference w:type="even" r:id="rId362"/>
          <w:headerReference w:type="default" r:id="rId363"/>
          <w:footerReference w:type="even" r:id="rId364"/>
          <w:footerReference w:type="default" r:id="rId365"/>
          <w:headerReference w:type="first" r:id="rId366"/>
          <w:footerReference w:type="first" r:id="rId367"/>
          <w:pgSz w:w="16839" w:h="11907" w:orient="landscape"/>
          <w:pgMar w:top="1134" w:right="1134" w:bottom="1134" w:left="1134" w:header="567" w:footer="567" w:gutter="0"/>
          <w:cols w:space="720"/>
          <w:docGrid w:linePitch="360"/>
        </w:sectPr>
      </w:pPr>
    </w:p>
    <w:p w14:paraId="581F76B7" w14:textId="7D5951D9"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U. KOMPONENTA 21: Načrt REPowerEU</w:t>
      </w:r>
    </w:p>
    <w:p w14:paraId="0F35EBBE" w14:textId="77777777" w:rsidR="00F24946" w:rsidRDefault="00613B06">
      <w:pPr>
        <w:pStyle w:val="P68B1DB1-Normal4"/>
        <w:spacing w:before="40" w:after="0" w:line="259" w:lineRule="auto"/>
        <w:jc w:val="both"/>
        <w:rPr>
          <w:rFonts w:cs="Times New Roman"/>
          <w:noProof/>
        </w:rPr>
      </w:pPr>
      <w:r>
        <w:rPr>
          <w:noProof/>
        </w:rPr>
        <w:t xml:space="preserve">Cilj poglavja REPowerEU je podpreti ambicije Portugalske v smislu energetske neodvisnosti in zelenega prehoda v okviru novih geopolitičnih razmer in razmer na energetskem trgu. </w:t>
      </w:r>
    </w:p>
    <w:p w14:paraId="22A180DD" w14:textId="50AD9BCD" w:rsidR="00F24946" w:rsidRDefault="00613B06">
      <w:pPr>
        <w:pStyle w:val="P68B1DB1-Normal4"/>
        <w:spacing w:before="40" w:after="0" w:line="259" w:lineRule="auto"/>
        <w:jc w:val="both"/>
        <w:rPr>
          <w:rFonts w:cs="Times New Roman"/>
          <w:noProof/>
        </w:rPr>
      </w:pPr>
      <w:r>
        <w:rPr>
          <w:noProof/>
        </w:rPr>
        <w:t>Cilj reform in naložb v okviru REPowerEU je okrepiti energetsko suverenost Portugalske in pospešiti razogljičenje njenega gospodarstva. Poglavje vključuje reforme, ki bodo racionalizirale postopke za izdajo dovoljenj za obnovljive vire energije, vzpostavile točko „vse na enem mestu“ za licenciranje projektov na področju obnovljivih virov energije ter spodbujale uporabo biometana in obnovljivega vodika v državi. Naložba bo vključevala razvoj tehničnih študij za uporabo vetrne energije na morju. Poleg tega Portugalska obravnava izziv preusposabljanja delovne sile za zeleni prehod z reformo zelenih znanj in spretnosti, katere cilj je ustvariti celovito ponudbo poklicnega usposabljanja za razvoj zelenih znanj in spretnosti ter usposobiti 25 tisoč ljudi v naslednjih dveh letih.</w:t>
      </w:r>
    </w:p>
    <w:p w14:paraId="28D9518A" w14:textId="77777777" w:rsidR="00F24946" w:rsidRDefault="00613B06">
      <w:pPr>
        <w:pStyle w:val="P68B1DB1-Normal4"/>
        <w:spacing w:before="40" w:after="0" w:line="259" w:lineRule="auto"/>
        <w:jc w:val="both"/>
        <w:rPr>
          <w:rFonts w:cs="Times New Roman"/>
          <w:noProof/>
        </w:rPr>
      </w:pPr>
      <w:r>
        <w:rPr>
          <w:noProof/>
        </w:rPr>
        <w:t xml:space="preserve">Poglavje vključuje tudi naložbe za odpravljanje energijske revščine z naložbami za povečanje energijske učinkovitosti v stanovanjskih, storitvenih in javnih stavbah ter reforme za vzpostavitev nacionalnega observatorija za energijsko revščino in razvoj modela „vse na enem mestu“ za podporo državljanom pri izvajanju ukrepov za energijsko učinkovitost. </w:t>
      </w:r>
    </w:p>
    <w:p w14:paraId="3419D7E7" w14:textId="54D4EF87" w:rsidR="00F24946" w:rsidRDefault="00613B06">
      <w:pPr>
        <w:pStyle w:val="P68B1DB1-Normal4"/>
        <w:spacing w:before="40" w:after="0" w:line="259" w:lineRule="auto"/>
        <w:jc w:val="both"/>
        <w:rPr>
          <w:rFonts w:cs="Times New Roman"/>
          <w:noProof/>
        </w:rPr>
      </w:pPr>
      <w:r>
        <w:rPr>
          <w:noProof/>
        </w:rPr>
        <w:t>Portugalska povečuje tudi svojo odpornost s strateškimi naložbami v podporo proizvodnji neto ničelnih tehnologij, povečanjem obstoječih naložb v obnovljive pline in brezemisijski prevoz ter krepitvijo zmogljivosti skladiščenja za povečanje prožnosti energetskega sistema ob hkratnem spodbujanju obnovljivih virov energije. Po vsej državi je načrtovanih in razpršenih več novih naložb v brezemisijski promet, vključno z izgradnjo avtobusne proge za hitri tranzit v Bragi in žičnico v Nazaru.</w:t>
      </w:r>
    </w:p>
    <w:p w14:paraId="5E7C784E" w14:textId="0274E162" w:rsidR="00F24946" w:rsidRDefault="00613B06">
      <w:pPr>
        <w:pStyle w:val="P68B1DB1-Normal4"/>
        <w:spacing w:before="40" w:after="0" w:line="259" w:lineRule="auto"/>
        <w:jc w:val="both"/>
        <w:rPr>
          <w:rFonts w:cs="Times New Roman"/>
          <w:noProof/>
        </w:rPr>
      </w:pPr>
      <w:r>
        <w:rPr>
          <w:noProof/>
        </w:rPr>
        <w:t>Več ukrepov bo imelo čezmejno razsežnost, ki bo večinoma razvita z naložbami v obnovljive vire energije in energetsko učinkovitost.</w:t>
      </w:r>
    </w:p>
    <w:p w14:paraId="053BB105" w14:textId="3BC176B9" w:rsidR="00F24946" w:rsidRDefault="00613B06">
      <w:pPr>
        <w:pStyle w:val="P68B1DB1-Normal4"/>
        <w:keepNext/>
        <w:spacing w:before="40" w:after="0" w:line="259" w:lineRule="auto"/>
        <w:jc w:val="both"/>
        <w:rPr>
          <w:rFonts w:eastAsiaTheme="minorEastAsia" w:cs="Times New Roman"/>
          <w:noProof/>
        </w:rPr>
      </w:pPr>
      <w:r>
        <w:rPr>
          <w:noProof/>
        </w:rPr>
        <w:t>Komponenta prispeva k obravnavi priporočila za državo, izdanega Portugalski za zmanjšanje njene odvisnosti od fosilnih goriv (priporočili za posamezno državo št. 4 2022 in 2023) ter k osredotočanju naložb na nizkoogljični in energetski prehod (priporočilo za posamezno državo št. 3 iz leta 2019) ter na čisto in učinkovito proizvodnjo in uporabo energije (priporočilo za posamezno državo št. 3 2020). Vključuje zlasti ukrepe za pospešitev uvajanja obnovljivih virov energije, poenostavitev izdajanja dovoljenj, razogljičenje prometnega sektorja, izboljšanje energijske učinkovitosti stavb, nadgradnjo prenosnih in distribucijskih omrežij električne energije, povečanje shranjevanja električne energije ter okrepitev pridobivanja zelenih znanj in spretnosti, potrebnih za zeleni prehod.</w:t>
      </w:r>
    </w:p>
    <w:p w14:paraId="68203BCC" w14:textId="77777777" w:rsidR="00F24946" w:rsidRDefault="00613B06">
      <w:pPr>
        <w:pStyle w:val="P68B1DB1-Normal4"/>
        <w:spacing w:before="40" w:after="0" w:line="259" w:lineRule="auto"/>
        <w:jc w:val="both"/>
        <w:rPr>
          <w:rFonts w:cs="Times New Roman"/>
          <w:noProof/>
        </w:rPr>
      </w:pPr>
      <w:r>
        <w:rPr>
          <w:noProof/>
        </w:rPr>
        <w:t>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w:t>
      </w:r>
    </w:p>
    <w:p w14:paraId="40A068BA" w14:textId="77777777" w:rsidR="00F24946" w:rsidRDefault="00F24946">
      <w:pPr>
        <w:keepNext/>
        <w:spacing w:before="40" w:after="0" w:line="259" w:lineRule="auto"/>
        <w:jc w:val="both"/>
        <w:outlineLvl w:val="1"/>
        <w:rPr>
          <w:rFonts w:ascii="Times New Roman" w:eastAsiaTheme="majorEastAsia" w:hAnsi="Times New Roman" w:cs="Times New Roman"/>
          <w:b/>
          <w:noProof/>
          <w:sz w:val="24"/>
          <w:u w:val="single"/>
        </w:rPr>
      </w:pPr>
    </w:p>
    <w:p w14:paraId="3FDCB5A0" w14:textId="4CC2E66E"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U.1. Opis reform in naložb za nepovratno finančno podporo</w:t>
      </w:r>
    </w:p>
    <w:p w14:paraId="1C306676" w14:textId="6845FEE8" w:rsidR="00F24946" w:rsidRDefault="00613B06">
      <w:pPr>
        <w:pStyle w:val="P68B1DB1-Normal5"/>
        <w:spacing w:before="240" w:after="0"/>
        <w:rPr>
          <w:rFonts w:eastAsiaTheme="minorEastAsia" w:cs="Times New Roman"/>
          <w:noProof/>
        </w:rPr>
      </w:pPr>
      <w:bookmarkStart w:id="33" w:name="_Toc137472477"/>
      <w:r>
        <w:rPr>
          <w:noProof/>
        </w:rPr>
        <w:t>Naložba RP-C21-i01: Povečan ukrep: Razogljičenje industrije</w:t>
      </w:r>
      <w:bookmarkEnd w:id="33"/>
    </w:p>
    <w:p w14:paraId="07D772F8" w14:textId="59DEB25F" w:rsidR="00F24946" w:rsidRDefault="00613B06">
      <w:pPr>
        <w:pStyle w:val="P68B1DB1-Normal4"/>
        <w:spacing w:before="40" w:after="0" w:line="259" w:lineRule="auto"/>
        <w:jc w:val="both"/>
        <w:rPr>
          <w:rFonts w:cs="Times New Roman"/>
          <w:noProof/>
        </w:rPr>
      </w:pPr>
      <w:r>
        <w:rPr>
          <w:noProof/>
        </w:rPr>
        <w:t>Cilj tega ukrepa je povečati naložbe TC-C11-i01: Razogljičenje industrije v okviru komponente 11.</w:t>
      </w:r>
    </w:p>
    <w:p w14:paraId="6F624D1D" w14:textId="5DD7C54D" w:rsidR="00F24946" w:rsidRDefault="00613B06">
      <w:pPr>
        <w:pStyle w:val="P68B1DB1-Normal4"/>
        <w:spacing w:before="40" w:after="0" w:line="259" w:lineRule="auto"/>
        <w:jc w:val="both"/>
        <w:rPr>
          <w:rFonts w:cs="Times New Roman"/>
          <w:noProof/>
        </w:rPr>
      </w:pPr>
      <w:r>
        <w:rPr>
          <w:noProof/>
        </w:rPr>
        <w:t>Povečan del ukrepa poveča število podprtih projektov razogljičenja. Podpora za povečani del ukrepa se dodeli 500 malim in srednjim podjetjem za projekte v vrednosti največ 200 000 EUR na podjetje v treh proračunskih letih (v nadaljnjem besedilu: poenostavljeni projekti).</w:t>
      </w:r>
    </w:p>
    <w:p w14:paraId="29353424" w14:textId="77777777" w:rsidR="00F24946" w:rsidRDefault="00613B06">
      <w:pPr>
        <w:pStyle w:val="P68B1DB1-Normal4"/>
        <w:spacing w:before="40" w:after="0" w:line="259" w:lineRule="auto"/>
        <w:jc w:val="both"/>
        <w:rPr>
          <w:rFonts w:cs="Times New Roman"/>
          <w:noProof/>
        </w:rPr>
      </w:pPr>
      <w:r>
        <w:rPr>
          <w:noProof/>
        </w:rPr>
        <w:t>Naložba se izvede do 30. junija 2026.</w:t>
      </w:r>
    </w:p>
    <w:p w14:paraId="579DBFB6" w14:textId="4A98A963" w:rsidR="00F24946" w:rsidRDefault="00613B06">
      <w:pPr>
        <w:pStyle w:val="P68B1DB1-Normal5"/>
        <w:keepNext/>
        <w:spacing w:before="240" w:after="0" w:line="259" w:lineRule="auto"/>
        <w:ind w:left="851"/>
        <w:jc w:val="both"/>
        <w:outlineLvl w:val="2"/>
        <w:rPr>
          <w:rFonts w:eastAsiaTheme="minorEastAsia" w:cs="Times New Roman"/>
          <w:noProof/>
        </w:rPr>
      </w:pPr>
      <w:bookmarkStart w:id="34" w:name="_Toc137472478"/>
      <w:r>
        <w:rPr>
          <w:noProof/>
        </w:rPr>
        <w:t>Naložba RP-C21-i02: Povečan ukrep: Energijska učinkovitost stanovanjskih stavb</w:t>
      </w:r>
      <w:bookmarkEnd w:id="34"/>
    </w:p>
    <w:p w14:paraId="59D08E92" w14:textId="437238A1" w:rsidR="00F24946" w:rsidRDefault="00613B06">
      <w:pPr>
        <w:pStyle w:val="P68B1DB1-Normal4"/>
        <w:spacing w:after="0"/>
        <w:jc w:val="both"/>
        <w:rPr>
          <w:rFonts w:cs="Times New Roman"/>
          <w:noProof/>
        </w:rPr>
      </w:pPr>
      <w:r>
        <w:rPr>
          <w:noProof/>
        </w:rPr>
        <w:t xml:space="preserve">Cilj ukrepa je razširiti ukrep TC-C13-i01: Energijska učinkovitost stanovanjskih stavb v okviru komponente 13. </w:t>
      </w:r>
    </w:p>
    <w:p w14:paraId="5ED787E9" w14:textId="7157997D" w:rsidR="00F24946" w:rsidRDefault="00613B06">
      <w:pPr>
        <w:pStyle w:val="P68B1DB1-Normal4"/>
        <w:spacing w:after="0"/>
        <w:jc w:val="both"/>
        <w:rPr>
          <w:rFonts w:cs="Times New Roman"/>
          <w:noProof/>
        </w:rPr>
      </w:pPr>
      <w:r>
        <w:rPr>
          <w:noProof/>
        </w:rPr>
        <w:t>Razširitveni del ukrepa poveča število prenovljenih stanovanjskih stavb in število proizvodnje energije iz obnovljivih virov za lastno porabo. 60 % tlorisne površine, prenovljene v okviru te naložbe, je v večstanovanjskih stavbah.</w:t>
      </w:r>
    </w:p>
    <w:p w14:paraId="1A06BA32" w14:textId="0369DD0D" w:rsidR="00F24946" w:rsidRDefault="00613B06">
      <w:pPr>
        <w:pStyle w:val="P68B1DB1-Normal4"/>
        <w:spacing w:after="0"/>
        <w:jc w:val="both"/>
        <w:rPr>
          <w:rFonts w:cs="Times New Roman"/>
          <w:noProof/>
        </w:rPr>
      </w:pPr>
      <w:r>
        <w:rPr>
          <w:noProof/>
        </w:rPr>
        <w:t>Naložba se izvede do 30. septembra 2025.</w:t>
      </w:r>
    </w:p>
    <w:p w14:paraId="7450F2F2" w14:textId="64382BF4" w:rsidR="00F24946" w:rsidRDefault="00F24946">
      <w:pPr>
        <w:spacing w:after="0"/>
        <w:jc w:val="both"/>
        <w:rPr>
          <w:rFonts w:ascii="Times New Roman" w:hAnsi="Times New Roman" w:cs="Times New Roman"/>
          <w:noProof/>
          <w:sz w:val="24"/>
        </w:rPr>
      </w:pPr>
    </w:p>
    <w:p w14:paraId="10433ABC" w14:textId="26B19E0B" w:rsidR="00F24946" w:rsidRDefault="00613B06">
      <w:pPr>
        <w:pStyle w:val="P68B1DB1-Normal5"/>
        <w:keepNext/>
        <w:spacing w:before="240" w:after="0" w:line="259" w:lineRule="auto"/>
        <w:ind w:left="851"/>
        <w:jc w:val="both"/>
        <w:outlineLvl w:val="2"/>
        <w:rPr>
          <w:rFonts w:eastAsiaTheme="minorEastAsia" w:cs="Times New Roman"/>
          <w:noProof/>
        </w:rPr>
      </w:pPr>
      <w:bookmarkStart w:id="35" w:name="_Toc137472479"/>
      <w:bookmarkStart w:id="36" w:name="_Hlk140143655"/>
      <w:r>
        <w:rPr>
          <w:noProof/>
        </w:rPr>
        <w:t>Naložba RP-C21-i03: Povečan ukrep: Energijska učinkovitost stavb, ki se uporabljajo v storitvenem sektorju</w:t>
      </w:r>
      <w:bookmarkEnd w:id="35"/>
    </w:p>
    <w:bookmarkEnd w:id="36"/>
    <w:p w14:paraId="7E310686" w14:textId="29A7DFDE" w:rsidR="00F24946" w:rsidRDefault="00613B06">
      <w:pPr>
        <w:pStyle w:val="P68B1DB1-Normal4"/>
        <w:spacing w:after="0"/>
        <w:jc w:val="both"/>
        <w:rPr>
          <w:rFonts w:cs="Times New Roman"/>
          <w:noProof/>
        </w:rPr>
      </w:pPr>
      <w:r>
        <w:rPr>
          <w:noProof/>
        </w:rPr>
        <w:t>Cilj tega ukrepa je razširiti ukrep TC-C13-i03 – Energetska učinkovitost stavb, ki jih uporablja storitveni sektor v okviru komponente 13. S povečanim delom ukrepa se poveča površina obnovljenih zasebnih servisnih stavb.</w:t>
      </w:r>
    </w:p>
    <w:p w14:paraId="39D446C7" w14:textId="77777777" w:rsidR="00F24946" w:rsidRDefault="00613B06">
      <w:pPr>
        <w:pStyle w:val="P68B1DB1-Normal4"/>
        <w:spacing w:after="0"/>
        <w:jc w:val="both"/>
        <w:rPr>
          <w:rFonts w:cs="Times New Roman"/>
          <w:noProof/>
        </w:rPr>
      </w:pPr>
      <w:r>
        <w:rPr>
          <w:noProof/>
        </w:rPr>
        <w:t>Naložba se izvede do 30. junija 2026.</w:t>
      </w:r>
    </w:p>
    <w:p w14:paraId="09DB76BB" w14:textId="795DCBD2" w:rsidR="00F24946" w:rsidRDefault="00613B06">
      <w:pPr>
        <w:pStyle w:val="P68B1DB1-Normal5"/>
        <w:keepNext/>
        <w:spacing w:before="240" w:after="0" w:line="259" w:lineRule="auto"/>
        <w:ind w:left="851"/>
        <w:jc w:val="both"/>
        <w:outlineLvl w:val="2"/>
        <w:rPr>
          <w:rFonts w:eastAsiaTheme="minorEastAsia" w:cs="Times New Roman"/>
          <w:noProof/>
        </w:rPr>
      </w:pPr>
      <w:bookmarkStart w:id="37" w:name="_Toc137472480"/>
      <w:r>
        <w:rPr>
          <w:noProof/>
        </w:rPr>
        <w:t>Naložbe RP-C21-i04-RAM: Energetska učinkovitost javnih stavb</w:t>
      </w:r>
      <w:bookmarkEnd w:id="37"/>
      <w:r>
        <w:rPr>
          <w:noProof/>
        </w:rPr>
        <w:t xml:space="preserve"> na Madeiri</w:t>
      </w:r>
    </w:p>
    <w:p w14:paraId="4366A173" w14:textId="69F8BE3B" w:rsidR="00F24946" w:rsidRDefault="00613B06">
      <w:pPr>
        <w:pStyle w:val="P68B1DB1-Normal4"/>
        <w:spacing w:before="40" w:after="0" w:line="259" w:lineRule="auto"/>
        <w:jc w:val="both"/>
        <w:rPr>
          <w:rFonts w:cs="Times New Roman"/>
          <w:noProof/>
        </w:rPr>
      </w:pPr>
      <w:r>
        <w:rPr>
          <w:noProof/>
        </w:rPr>
        <w:t>Cilj te naložbe je spodbujati energetsko prenovo, spodbujati energetsko učinkovitost in učinkovito rabo virov ter povečati lastno porabo energije iz obnovljivih virov v javnih stavbah na Madeiri.</w:t>
      </w:r>
    </w:p>
    <w:p w14:paraId="534C977C" w14:textId="236F0827" w:rsidR="00F24946" w:rsidRDefault="00613B06">
      <w:pPr>
        <w:pStyle w:val="P68B1DB1-Normal4"/>
        <w:spacing w:before="40" w:after="0" w:line="259" w:lineRule="auto"/>
        <w:jc w:val="both"/>
        <w:rPr>
          <w:rFonts w:cs="Times New Roman"/>
          <w:noProof/>
        </w:rPr>
      </w:pPr>
      <w:r>
        <w:rPr>
          <w:noProof/>
        </w:rPr>
        <w:t xml:space="preserve">Te naložbe zajemajo ukrepe za spodbujanje prenove, energijske učinkovitosti, razogljičenja, učinkovite rabe vode in krožnega gospodarstva v javnih stavbah v avtonomni regiji Madeira, s katerimi se dosežejo srednje temeljite prenove. </w:t>
      </w:r>
    </w:p>
    <w:p w14:paraId="3C5C60AA" w14:textId="77777777" w:rsidR="00F24946" w:rsidRDefault="00613B06">
      <w:pPr>
        <w:pStyle w:val="P68B1DB1-Normal4"/>
        <w:spacing w:before="40" w:after="0" w:line="259" w:lineRule="auto"/>
        <w:jc w:val="both"/>
        <w:rPr>
          <w:rFonts w:cs="Times New Roman"/>
          <w:noProof/>
        </w:rPr>
      </w:pPr>
      <w:r>
        <w:rPr>
          <w:noProof/>
        </w:rPr>
        <w:t xml:space="preserve">Vse stavbe, ki so upravičene do intervencije, so v javni rabi, zlasti na področjih zdravstva, izobraževanja in regionalne javne uprave. </w:t>
      </w:r>
    </w:p>
    <w:p w14:paraId="3EF533D2" w14:textId="5F948B86" w:rsidR="00F24946" w:rsidRDefault="00613B06">
      <w:pPr>
        <w:pStyle w:val="P68B1DB1-Normal4"/>
        <w:spacing w:before="40" w:after="0" w:line="259" w:lineRule="auto"/>
        <w:jc w:val="both"/>
        <w:rPr>
          <w:rFonts w:cs="Times New Roman"/>
          <w:noProof/>
        </w:rPr>
      </w:pPr>
      <w:r>
        <w:rPr>
          <w:noProof/>
        </w:rPr>
        <w:t>Naložba se izvede do 31. decembra 2025.</w:t>
      </w:r>
    </w:p>
    <w:p w14:paraId="5362038B" w14:textId="78F3A9C9" w:rsidR="00F24946" w:rsidRDefault="00613B06">
      <w:pPr>
        <w:pStyle w:val="P68B1DB1-Normal5"/>
        <w:keepNext/>
        <w:spacing w:before="240" w:after="0" w:line="259" w:lineRule="auto"/>
        <w:ind w:left="851"/>
        <w:jc w:val="both"/>
        <w:outlineLvl w:val="2"/>
        <w:rPr>
          <w:rFonts w:eastAsiaTheme="minorEastAsia" w:cs="Times New Roman"/>
          <w:noProof/>
        </w:rPr>
      </w:pPr>
      <w:bookmarkStart w:id="38" w:name="_Toc137472481"/>
      <w:r>
        <w:rPr>
          <w:noProof/>
        </w:rPr>
        <w:t>Reforma RP-C21-r43: Nacionalna opazovalnica za energijsko revščino</w:t>
      </w:r>
      <w:bookmarkEnd w:id="38"/>
      <w:r>
        <w:rPr>
          <w:noProof/>
        </w:rPr>
        <w:t xml:space="preserve"> </w:t>
      </w:r>
    </w:p>
    <w:p w14:paraId="722EBB4B" w14:textId="77777777" w:rsidR="00F24946" w:rsidRDefault="00613B06">
      <w:pPr>
        <w:pStyle w:val="P68B1DB1-Normal4"/>
        <w:spacing w:beforeLines="40" w:before="96" w:after="0" w:line="22" w:lineRule="atLeast"/>
        <w:jc w:val="both"/>
        <w:rPr>
          <w:rFonts w:cs="Times New Roman"/>
          <w:noProof/>
        </w:rPr>
      </w:pPr>
      <w:r>
        <w:rPr>
          <w:noProof/>
        </w:rPr>
        <w:t xml:space="preserve">Cilj te reforme je ustanoviti organ, v katerem bodo nacionalni, regionalni in lokalni organi spremljali stanje energetske revščine ter analizirali in razvili javne politike za njeno izkoreninjenje na Portugalskem. </w:t>
      </w:r>
    </w:p>
    <w:p w14:paraId="05D42E40" w14:textId="672AEEFC" w:rsidR="00F24946" w:rsidRDefault="00613B06">
      <w:pPr>
        <w:pStyle w:val="P68B1DB1-Normal4"/>
        <w:spacing w:beforeLines="40" w:before="96" w:after="0" w:line="22" w:lineRule="atLeast"/>
        <w:jc w:val="both"/>
        <w:rPr>
          <w:rFonts w:eastAsia="MS Mincho" w:cs="Times New Roman"/>
          <w:noProof/>
        </w:rPr>
      </w:pPr>
      <w:r>
        <w:rPr>
          <w:noProof/>
        </w:rPr>
        <w:t xml:space="preserve">Z reformo se vzpostavi nacionalna opazovalnica za energijsko revščino (ONPE), ki je odgovorna za: </w:t>
      </w:r>
    </w:p>
    <w:p w14:paraId="37FF066C" w14:textId="57280600" w:rsidR="00F24946" w:rsidRDefault="00613B06">
      <w:pPr>
        <w:pStyle w:val="ListParagraph"/>
        <w:keepNext w:val="0"/>
        <w:numPr>
          <w:ilvl w:val="0"/>
          <w:numId w:val="86"/>
        </w:numPr>
        <w:spacing w:beforeLines="40" w:before="96" w:after="0" w:line="22" w:lineRule="atLeast"/>
        <w:rPr>
          <w:rFonts w:eastAsia="MS Mincho"/>
          <w:noProof/>
        </w:rPr>
      </w:pPr>
      <w:r>
        <w:rPr>
          <w:noProof/>
        </w:rPr>
        <w:t>Spremljanje, nadzor, usklajevanje in poročanje o izvajanju dolgoročne strategije za energijsko revščino;</w:t>
      </w:r>
    </w:p>
    <w:p w14:paraId="4DA6276A" w14:textId="77777777" w:rsidR="00F24946" w:rsidRDefault="00613B06">
      <w:pPr>
        <w:pStyle w:val="ListParagraph"/>
        <w:keepNext w:val="0"/>
        <w:numPr>
          <w:ilvl w:val="0"/>
          <w:numId w:val="86"/>
        </w:numPr>
        <w:spacing w:beforeLines="40" w:before="96" w:after="0" w:line="22" w:lineRule="atLeast"/>
        <w:rPr>
          <w:noProof/>
        </w:rPr>
      </w:pPr>
      <w:r>
        <w:rPr>
          <w:noProof/>
        </w:rPr>
        <w:t>Usklajevanje dela na področju politike, povezanega z energijsko revščino, v zvezi z zasnovo in izvajanjem nacionalnega energetskega in podnebnega načrta (NEPN) ter nacionalnih socialnih načrtov za podnebje;</w:t>
      </w:r>
    </w:p>
    <w:p w14:paraId="7A42E09A" w14:textId="357B042B" w:rsidR="00F24946" w:rsidRDefault="00613B06">
      <w:pPr>
        <w:pStyle w:val="ListParagraph"/>
        <w:keepNext w:val="0"/>
        <w:numPr>
          <w:ilvl w:val="0"/>
          <w:numId w:val="86"/>
        </w:numPr>
        <w:spacing w:beforeLines="40" w:before="96" w:after="0" w:line="22" w:lineRule="atLeast"/>
        <w:rPr>
          <w:rFonts w:eastAsia="MS Mincho"/>
          <w:noProof/>
        </w:rPr>
      </w:pPr>
      <w:r>
        <w:rPr>
          <w:noProof/>
        </w:rPr>
        <w:t>Predlaganju desetletnih akcijskih načrtov vlade (horizons 2030, 2040 in 2050) ter njihove revizije in revizije ELPPE, in sicer vsaj tri leta oziroma pet let;</w:t>
      </w:r>
    </w:p>
    <w:p w14:paraId="72AF5EA4" w14:textId="77777777" w:rsidR="00F24946" w:rsidRDefault="00613B06">
      <w:pPr>
        <w:pStyle w:val="ListParagraph"/>
        <w:keepNext w:val="0"/>
        <w:numPr>
          <w:ilvl w:val="0"/>
          <w:numId w:val="86"/>
        </w:numPr>
        <w:spacing w:beforeLines="40" w:before="96" w:after="0" w:line="22" w:lineRule="atLeast"/>
        <w:rPr>
          <w:rFonts w:eastAsia="MS Mincho"/>
          <w:noProof/>
        </w:rPr>
      </w:pPr>
      <w:r>
        <w:rPr>
          <w:noProof/>
        </w:rPr>
        <w:t>Izvajanje ukrepov za krepitev zmogljivosti za javne in zasebne, nacionalne, regionalne in lokalne akterje, vključene v izvajanje dolgoročne strategije za energijsko revščino;</w:t>
      </w:r>
    </w:p>
    <w:p w14:paraId="4CCEAC98" w14:textId="77777777" w:rsidR="00F24946" w:rsidRDefault="00613B06">
      <w:pPr>
        <w:pStyle w:val="ListParagraph"/>
        <w:keepNext w:val="0"/>
        <w:numPr>
          <w:ilvl w:val="0"/>
          <w:numId w:val="86"/>
        </w:numPr>
        <w:spacing w:beforeLines="40" w:before="96" w:after="0" w:line="22" w:lineRule="atLeast"/>
        <w:rPr>
          <w:noProof/>
        </w:rPr>
      </w:pPr>
      <w:r>
        <w:rPr>
          <w:noProof/>
        </w:rPr>
        <w:t>Opredelitev in spremljanje energijsko revnih gospodinjstev z vzpostavitvijo in izvajanjem orodja za redne raziskave;</w:t>
      </w:r>
    </w:p>
    <w:p w14:paraId="2FC0162A" w14:textId="77777777" w:rsidR="00F24946" w:rsidRDefault="00613B06">
      <w:pPr>
        <w:pStyle w:val="ListParagraph"/>
        <w:keepNext w:val="0"/>
        <w:numPr>
          <w:ilvl w:val="0"/>
          <w:numId w:val="86"/>
        </w:numPr>
        <w:spacing w:beforeLines="40" w:before="96" w:after="0" w:line="22" w:lineRule="atLeast"/>
        <w:rPr>
          <w:rFonts w:eastAsia="MS Mincho"/>
          <w:noProof/>
        </w:rPr>
      </w:pPr>
      <w:r>
        <w:rPr>
          <w:noProof/>
        </w:rPr>
        <w:t>Predlaganje finančnega (ali fiskalnega) instrumenta za ukrepe za energijsko učinkovitost, namenjenega energijsko revnim gospodinjstvom;</w:t>
      </w:r>
    </w:p>
    <w:p w14:paraId="771F2604" w14:textId="77777777" w:rsidR="00F24946" w:rsidRDefault="00613B06">
      <w:pPr>
        <w:pStyle w:val="ListParagraph"/>
        <w:keepNext w:val="0"/>
        <w:numPr>
          <w:ilvl w:val="0"/>
          <w:numId w:val="86"/>
        </w:numPr>
        <w:spacing w:beforeLines="40" w:before="96" w:after="0" w:line="22" w:lineRule="atLeast"/>
        <w:rPr>
          <w:rFonts w:eastAsia="MS Mincho"/>
          <w:noProof/>
        </w:rPr>
      </w:pPr>
      <w:r>
        <w:rPr>
          <w:noProof/>
        </w:rPr>
        <w:t>Razvoj gradiv in kampanj za povečanje energetske pismenosti, ki ustreza profilu energijsko revnih gospodinjstev;</w:t>
      </w:r>
    </w:p>
    <w:p w14:paraId="010262B7" w14:textId="77777777" w:rsidR="00F24946" w:rsidRDefault="00613B06">
      <w:pPr>
        <w:pStyle w:val="ListParagraph"/>
        <w:keepNext w:val="0"/>
        <w:numPr>
          <w:ilvl w:val="0"/>
          <w:numId w:val="86"/>
        </w:numPr>
        <w:spacing w:beforeLines="40" w:before="96" w:after="0" w:line="22" w:lineRule="atLeast"/>
        <w:rPr>
          <w:rFonts w:eastAsia="MS Mincho"/>
          <w:noProof/>
        </w:rPr>
      </w:pPr>
      <w:r>
        <w:rPr>
          <w:noProof/>
        </w:rPr>
        <w:t xml:space="preserve">Spodbujanje in razširjanje dela, povezanega s pojavom energijske revščine, vključno z vzpostavitvijo mreže subjektov in zainteresiranih akterjev za obravnavo tega vprašanja. </w:t>
      </w:r>
    </w:p>
    <w:p w14:paraId="5391B250" w14:textId="270C4ECC" w:rsidR="00F24946" w:rsidRDefault="00613B06">
      <w:pPr>
        <w:pStyle w:val="P68B1DB1-Normal4"/>
        <w:spacing w:beforeLines="40" w:before="96" w:after="0" w:line="22" w:lineRule="atLeast"/>
        <w:jc w:val="both"/>
        <w:rPr>
          <w:rFonts w:eastAsia="@MS Mincho" w:cs="Times New Roman"/>
          <w:noProof/>
        </w:rPr>
      </w:pPr>
      <w:r>
        <w:rPr>
          <w:noProof/>
        </w:rPr>
        <w:t xml:space="preserve">ONPE v svojo strukturo upravljanja vključi: i) upravljavsko enoto, ki je odgovorna za operativno upravljanje ONPE, ii) strateški odbor, ki ga vodi ministrstvo za okolje in podnebne ukrepe ter vključuje člane z ustreznih vladnih področij (kot so stanovanja, socialna varnost, zdravje, finance, izobraževanje, teritorialna kohezija), in iii) svetovalni odbor, vključno z uveljavljenimi deležniki, kot so univerze, občine, lokalne agencije za energijo, nevladne organizacije, vključene v ukrepe za izkoreninjenje energetske revščine, upravljavci energetskih omrežij, združenja potrošnikov in nepremičnin, sektorska združenja in zasebni finančni subjekti. Reforma zagotavlja, da ti organi sodelujejo in imajo jasno vlogo pri uresničevanju ciljev, določenih v mandatu ONPE. Za zbiranje podatkov se zagotovi sodelovanje med ONPE in portugalskimi statističnimi organi. </w:t>
      </w:r>
    </w:p>
    <w:p w14:paraId="17728ADF" w14:textId="315EB82E" w:rsidR="00F24946" w:rsidRDefault="00613B06">
      <w:pPr>
        <w:pStyle w:val="P68B1DB1-Normal4"/>
        <w:spacing w:beforeLines="40" w:before="96" w:after="0" w:line="22" w:lineRule="atLeast"/>
        <w:jc w:val="both"/>
        <w:rPr>
          <w:rFonts w:cs="Times New Roman"/>
          <w:noProof/>
        </w:rPr>
      </w:pPr>
      <w:r>
        <w:rPr>
          <w:noProof/>
        </w:rPr>
        <w:t>Z reformo se zagotovi tudi vzpostavitev instrumenta financiranja za ukrepe za energetsko učinkovitost v stanovanjskem sektorju za boj proti energijski revščini za opredeljene profile gospodinjstev, ki je bil sprejet z začetkom veljavnosti zakona ali sprejetjem sklepa ustrezne finančne institucije.</w:t>
      </w:r>
    </w:p>
    <w:p w14:paraId="204649DB" w14:textId="77777777" w:rsidR="00F24946" w:rsidRDefault="00613B06">
      <w:pPr>
        <w:pStyle w:val="P68B1DB1-Normal4"/>
        <w:spacing w:beforeLines="40" w:before="96" w:after="0" w:line="22" w:lineRule="atLeast"/>
        <w:jc w:val="both"/>
        <w:rPr>
          <w:rFonts w:cs="Times New Roman"/>
          <w:noProof/>
        </w:rPr>
      </w:pPr>
      <w:r>
        <w:rPr>
          <w:noProof/>
        </w:rPr>
        <w:t xml:space="preserve">Ta reforma se izvede do 31. marca 2025.  </w:t>
      </w:r>
    </w:p>
    <w:p w14:paraId="6F25AA6D" w14:textId="339B7EBE" w:rsidR="00F24946" w:rsidRDefault="00613B06">
      <w:pPr>
        <w:pStyle w:val="P68B1DB1-Normal5"/>
        <w:keepNext/>
        <w:spacing w:before="240" w:after="0" w:line="259" w:lineRule="auto"/>
        <w:ind w:left="851"/>
        <w:jc w:val="both"/>
        <w:outlineLvl w:val="2"/>
        <w:rPr>
          <w:rFonts w:eastAsiaTheme="minorEastAsia" w:cs="Times New Roman"/>
          <w:noProof/>
        </w:rPr>
      </w:pPr>
      <w:bookmarkStart w:id="39" w:name="_Toc137472482"/>
      <w:r>
        <w:rPr>
          <w:noProof/>
        </w:rPr>
        <w:t xml:space="preserve">Reforma RP-C21-r44: Razvoj točk „vse na enem mestu“ za energetsko učinkovitost za državljane (energetski prostori za državljane) </w:t>
      </w:r>
      <w:bookmarkEnd w:id="39"/>
    </w:p>
    <w:p w14:paraId="13080FDC" w14:textId="77777777" w:rsidR="00F24946" w:rsidRDefault="00613B06">
      <w:pPr>
        <w:pStyle w:val="P68B1DB1-Normal4"/>
        <w:spacing w:beforeLines="40" w:before="96" w:after="0" w:line="22" w:lineRule="atLeast"/>
        <w:jc w:val="both"/>
        <w:rPr>
          <w:rFonts w:cs="Times New Roman"/>
          <w:noProof/>
        </w:rPr>
      </w:pPr>
      <w:r>
        <w:rPr>
          <w:noProof/>
        </w:rPr>
        <w:t xml:space="preserve">Cilj te reforme je z večjo energetsko pismenostjo podpreti državljane pri pripravi in izvajanju ukrepov za energetsko učinkovitost in obnovljive vire energije ter sprejeti trajnostno ravnanje v zvezi z rabo energije. </w:t>
      </w:r>
    </w:p>
    <w:p w14:paraId="375532EE" w14:textId="046F8E8A" w:rsidR="00F24946" w:rsidRDefault="00613B06">
      <w:pPr>
        <w:pStyle w:val="P68B1DB1-Normal4"/>
        <w:spacing w:beforeLines="40" w:before="96" w:after="0" w:line="22" w:lineRule="atLeast"/>
        <w:jc w:val="both"/>
        <w:rPr>
          <w:rFonts w:cs="Times New Roman"/>
          <w:noProof/>
        </w:rPr>
      </w:pPr>
      <w:r>
        <w:rPr>
          <w:noProof/>
        </w:rPr>
        <w:t>Reforma bo na podlagi pilotnega projekta, razvitega v okviru naložbe TC-C-C13-I01.01, vzpostavila točke „vse na enem mestu“ za energijsko učinkovitost za državljane (energetski prostori za državljane</w:t>
      </w:r>
      <w:r>
        <w:rPr>
          <w:i/>
          <w:noProof/>
        </w:rPr>
        <w:t xml:space="preserve"> </w:t>
      </w:r>
      <w:r>
        <w:rPr>
          <w:noProof/>
        </w:rPr>
        <w:t xml:space="preserve">– </w:t>
      </w:r>
      <w:r>
        <w:rPr>
          <w:i/>
          <w:noProof/>
        </w:rPr>
        <w:t>Espaços Cidadão Energia</w:t>
      </w:r>
      <w:r>
        <w:rPr>
          <w:noProof/>
        </w:rPr>
        <w:t>), ki jih vzpostavijo lokalni ali regionalni organi ali drugi lokalni subjekti in ki bodo vključeni v občinske podnebne akcijske načrte v skladu z zakonom št. 98/2021, prebivalcem pa bodo ponujali vrsto storitev, kot so:</w:t>
      </w:r>
    </w:p>
    <w:p w14:paraId="5A8F9D4A" w14:textId="77777777" w:rsidR="00F24946" w:rsidRDefault="00613B06">
      <w:pPr>
        <w:pStyle w:val="ListParagraph"/>
        <w:keepNext w:val="0"/>
        <w:numPr>
          <w:ilvl w:val="0"/>
          <w:numId w:val="87"/>
        </w:numPr>
        <w:spacing w:beforeLines="40" w:before="96" w:after="0" w:line="22" w:lineRule="atLeast"/>
        <w:rPr>
          <w:noProof/>
        </w:rPr>
      </w:pPr>
      <w:r>
        <w:rPr>
          <w:noProof/>
        </w:rPr>
        <w:t>Zagotavljanje informacij in tehnične podpore, od razlage računov za energijo do trajnostne rabe energije in pravic potrošnikov;</w:t>
      </w:r>
    </w:p>
    <w:p w14:paraId="52920F00" w14:textId="77777777" w:rsidR="00F24946" w:rsidRDefault="00613B06">
      <w:pPr>
        <w:pStyle w:val="ListParagraph"/>
        <w:keepNext w:val="0"/>
        <w:numPr>
          <w:ilvl w:val="0"/>
          <w:numId w:val="87"/>
        </w:numPr>
        <w:spacing w:beforeLines="40" w:before="96" w:after="0" w:line="22" w:lineRule="atLeast"/>
        <w:rPr>
          <w:noProof/>
        </w:rPr>
      </w:pPr>
      <w:r>
        <w:rPr>
          <w:noProof/>
        </w:rPr>
        <w:t>Svetovanje, tudi za nabavo energije, nakup opreme, izbiro rešitev za energijsko učinkovitost in obnovljive vire energije, izbiro komercialnih ponudb za izvajanje rešitev;</w:t>
      </w:r>
    </w:p>
    <w:p w14:paraId="48565B26" w14:textId="77777777" w:rsidR="00F24946" w:rsidRDefault="00613B06">
      <w:pPr>
        <w:pStyle w:val="ListParagraph"/>
        <w:keepNext w:val="0"/>
        <w:numPr>
          <w:ilvl w:val="0"/>
          <w:numId w:val="87"/>
        </w:numPr>
        <w:spacing w:beforeLines="40" w:before="96" w:after="0" w:line="22" w:lineRule="atLeast"/>
        <w:rPr>
          <w:noProof/>
        </w:rPr>
      </w:pPr>
      <w:r>
        <w:rPr>
          <w:noProof/>
        </w:rPr>
        <w:t>Energetska ocena stanovanj in predlogi naložb za povečanje toplotnega udobja in zmanjšanje računov za energijo;</w:t>
      </w:r>
    </w:p>
    <w:p w14:paraId="33F3AD14" w14:textId="77777777" w:rsidR="00F24946" w:rsidRDefault="00613B06">
      <w:pPr>
        <w:pStyle w:val="ListParagraph"/>
        <w:keepNext w:val="0"/>
        <w:numPr>
          <w:ilvl w:val="0"/>
          <w:numId w:val="87"/>
        </w:numPr>
        <w:spacing w:beforeLines="40" w:before="96" w:after="0" w:line="22" w:lineRule="atLeast"/>
        <w:rPr>
          <w:noProof/>
        </w:rPr>
      </w:pPr>
      <w:r>
        <w:rPr>
          <w:noProof/>
        </w:rPr>
        <w:t>Svetovanje o dostopu do spodbud in finančnih instrumentov, javnih in zasebnih, nacionalnih in lokalnih;</w:t>
      </w:r>
    </w:p>
    <w:p w14:paraId="26439DCD" w14:textId="77777777" w:rsidR="00F24946" w:rsidRDefault="00613B06">
      <w:pPr>
        <w:pStyle w:val="ListParagraph"/>
        <w:keepNext w:val="0"/>
        <w:numPr>
          <w:ilvl w:val="0"/>
          <w:numId w:val="87"/>
        </w:numPr>
        <w:spacing w:beforeLines="40" w:before="96" w:after="0" w:line="22" w:lineRule="atLeast"/>
        <w:rPr>
          <w:noProof/>
        </w:rPr>
      </w:pPr>
      <w:r>
        <w:rPr>
          <w:noProof/>
        </w:rPr>
        <w:t>Zbiranje podatkov o uporabnikih, ki jih je treba deliti z nacionalno opazovalnico za energijsko revščino.</w:t>
      </w:r>
    </w:p>
    <w:p w14:paraId="0B098A88" w14:textId="214DA97F" w:rsidR="00F24946" w:rsidRDefault="00613B06">
      <w:pPr>
        <w:pStyle w:val="P68B1DB1-Normal4"/>
        <w:spacing w:beforeLines="40" w:before="96" w:after="0" w:line="22" w:lineRule="atLeast"/>
        <w:jc w:val="both"/>
        <w:rPr>
          <w:rFonts w:cs="Times New Roman"/>
          <w:i/>
          <w:noProof/>
        </w:rPr>
      </w:pPr>
      <w:r>
        <w:rPr>
          <w:noProof/>
        </w:rPr>
        <w:t>Sprejmejo se ukrepi za krepitev zmogljivosti, s katerimi se zagotovi, da je vsaj tristo ljudi usposobljenih za delovanje energetskih prostorov državljanov</w:t>
      </w:r>
      <w:r>
        <w:rPr>
          <w:i/>
          <w:noProof/>
        </w:rPr>
        <w:t>.</w:t>
      </w:r>
    </w:p>
    <w:p w14:paraId="08143AB5" w14:textId="77777777" w:rsidR="00F24946" w:rsidRDefault="00613B06">
      <w:pPr>
        <w:pStyle w:val="P68B1DB1-Normal4"/>
        <w:spacing w:beforeLines="40" w:before="96" w:after="0" w:line="22" w:lineRule="atLeast"/>
        <w:jc w:val="both"/>
        <w:rPr>
          <w:rFonts w:cs="Times New Roman"/>
          <w:noProof/>
        </w:rPr>
      </w:pPr>
      <w:r>
        <w:rPr>
          <w:noProof/>
        </w:rPr>
        <w:t xml:space="preserve">Ta reforma se izvede do 31. marca 2025. </w:t>
      </w:r>
    </w:p>
    <w:p w14:paraId="52B18F1E" w14:textId="4BD6F41C" w:rsidR="00F24946" w:rsidRDefault="00613B06">
      <w:pPr>
        <w:pStyle w:val="P68B1DB1-Normal5"/>
        <w:keepNext/>
        <w:spacing w:before="240" w:after="0" w:line="259" w:lineRule="auto"/>
        <w:ind w:left="851"/>
        <w:jc w:val="both"/>
        <w:outlineLvl w:val="2"/>
        <w:rPr>
          <w:rFonts w:eastAsiaTheme="minorEastAsia" w:cs="Times New Roman"/>
          <w:noProof/>
        </w:rPr>
      </w:pPr>
      <w:bookmarkStart w:id="40" w:name="_Toc137472487"/>
      <w:r>
        <w:rPr>
          <w:noProof/>
        </w:rPr>
        <w:t>Naložba RP-C21-i05: Podpora razvoju zelene industrije</w:t>
      </w:r>
    </w:p>
    <w:bookmarkEnd w:id="40"/>
    <w:p w14:paraId="00CC59FA" w14:textId="4B5BBB1D" w:rsidR="00F24946" w:rsidRDefault="00613B06">
      <w:pPr>
        <w:pStyle w:val="P68B1DB1-Normal4"/>
        <w:spacing w:beforeLines="40" w:before="96" w:after="0" w:line="22" w:lineRule="atLeast"/>
        <w:jc w:val="both"/>
        <w:rPr>
          <w:rFonts w:cs="Times New Roman"/>
          <w:noProof/>
          <w:highlight w:val="yellow"/>
        </w:rPr>
      </w:pPr>
      <w:r>
        <w:rPr>
          <w:noProof/>
        </w:rPr>
        <w:t>Cilj te naložbe, namenjene podjetjem, je povečati proizvodno zmogljivost tehnologij za energijo iz obnovljivih virov, razogljičenje in energijsko učinkovitost v skladu s cilji nacionalnega energetskega in podnebnega načrta za leto 2030 in industrijskim načrtom v okviru evropskega zelenega dogovora (COM(2023) 62 final).</w:t>
      </w:r>
    </w:p>
    <w:p w14:paraId="556C247F" w14:textId="1E2A984E" w:rsidR="00F24946" w:rsidRDefault="00613B06">
      <w:pPr>
        <w:pStyle w:val="P68B1DB1-Normal4"/>
        <w:spacing w:beforeLines="40" w:before="96" w:after="0" w:line="22" w:lineRule="atLeast"/>
        <w:jc w:val="both"/>
        <w:rPr>
          <w:rFonts w:cs="Times New Roman"/>
          <w:noProof/>
        </w:rPr>
      </w:pPr>
      <w:r>
        <w:rPr>
          <w:noProof/>
        </w:rPr>
        <w:t xml:space="preserve">Naložba je sestavljena iz nepovratnih sredstev, namenjenih posameznim podjetjem ali projektom, in podpira industrijske naložbe v proizvodnjo strateških tehnologij za podnebni prehod, ki so neposredno povezane s solarno fotovoltaično in sončno toplotno energijo, elektrolizatorji in gorivnimi celicami, vetrno energijo na kopnem in obnovljivimi viri energije na morju, trajnostnim bioplinom/biometanom, baterijami in shranjevanjem, zajemanjem in shranjevanjem ogljika, toplotnimi črpalkami, energijsko učinkovitostjo, geotermalno energijo ali omrežnimi rešitvami.  </w:t>
      </w:r>
    </w:p>
    <w:p w14:paraId="30C0F048" w14:textId="78A9077F" w:rsidR="00F24946" w:rsidRDefault="00613B06">
      <w:pPr>
        <w:pStyle w:val="P68B1DB1-Normal4"/>
        <w:spacing w:beforeLines="40" w:before="96" w:after="0" w:line="22" w:lineRule="atLeast"/>
        <w:jc w:val="both"/>
        <w:rPr>
          <w:rFonts w:cs="Times New Roman"/>
          <w:noProof/>
        </w:rPr>
      </w:pPr>
      <w:r>
        <w:rPr>
          <w:noProof/>
        </w:rPr>
        <w:t>Za zagotovitev, da je ukrep skladen z načelom, da se ne škoduje bistveno, v okviru mehanizma za okrevanje in odpornost, kot je določeno v tehničnih smernicah, da se ne škoduje bistveno (2021/C58/01), so merila za upravičenost iz opisa prihodnjih razpisov za projekte:</w:t>
      </w:r>
    </w:p>
    <w:p w14:paraId="74CED351" w14:textId="01F86180" w:rsidR="00F24946" w:rsidRDefault="00613B06">
      <w:pPr>
        <w:pStyle w:val="ListParagraph"/>
        <w:keepNext w:val="0"/>
        <w:numPr>
          <w:ilvl w:val="0"/>
          <w:numId w:val="118"/>
        </w:numPr>
        <w:spacing w:line="240" w:lineRule="auto"/>
        <w:rPr>
          <w:noProof/>
        </w:rPr>
      </w:pPr>
      <w:r>
        <w:rPr>
          <w:noProof/>
        </w:rPr>
        <w:t>iz upravičenosti izključi naslednji seznam dejavnosti in sredstev: (I) dejavnosti in sredstva, povezana s fosilnimi gorivi, vključno z nadaljnjo uporabo</w:t>
      </w:r>
      <w:r>
        <w:rPr>
          <w:rStyle w:val="FootnoteReference"/>
          <w:noProof/>
        </w:rPr>
        <w:footnoteReference w:id="78"/>
      </w:r>
      <w:r>
        <w:rPr>
          <w:noProof/>
        </w:rPr>
        <w:t>; (II) dejavnosti in sredstva v okviru sistema EU za trgovanje z emisijami (ETS), s katerimi se dosegajo predvidene emisije toplogrednih plinov, ki niso nižje od ustreznih referenčnih vrednosti,</w:t>
      </w:r>
      <w:r>
        <w:rPr>
          <w:rStyle w:val="FootnoteReference"/>
          <w:noProof/>
        </w:rPr>
        <w:footnoteReference w:id="79"/>
      </w:r>
      <w:r>
        <w:rPr>
          <w:noProof/>
        </w:rPr>
        <w:t xml:space="preserve"> in mehanske biološke čistilne naprave</w:t>
      </w:r>
      <w:r>
        <w:rPr>
          <w:rStyle w:val="FootnoteReference"/>
          <w:noProof/>
        </w:rPr>
        <w:footnoteReference w:id="80"/>
      </w:r>
      <w:r>
        <w:rPr>
          <w:noProof/>
        </w:rPr>
        <w:t>; (III) dejavnosti in sredstva, povezana z odlagališči odpadkov, sežigalnicami</w:t>
      </w:r>
      <w:r>
        <w:rPr>
          <w:rStyle w:val="FootnoteReference"/>
          <w:noProof/>
        </w:rPr>
        <w:footnoteReference w:id="81"/>
      </w:r>
      <w:r>
        <w:rPr>
          <w:noProof/>
        </w:rPr>
        <w:t xml:space="preserve"> in napravami za mehansko-biološko obdelavo</w:t>
      </w:r>
      <w:r>
        <w:rPr>
          <w:rStyle w:val="FootnoteReference"/>
          <w:noProof/>
        </w:rPr>
        <w:footnoteReference w:id="82"/>
      </w:r>
      <w:r>
        <w:rPr>
          <w:noProof/>
        </w:rPr>
        <w:t xml:space="preserve">; in </w:t>
      </w:r>
    </w:p>
    <w:p w14:paraId="3D8DD079" w14:textId="77777777" w:rsidR="00F24946" w:rsidRDefault="00613B06">
      <w:pPr>
        <w:pStyle w:val="ListParagraph"/>
        <w:numPr>
          <w:ilvl w:val="0"/>
          <w:numId w:val="74"/>
        </w:numPr>
        <w:spacing w:beforeLines="40" w:before="96" w:after="0" w:line="240" w:lineRule="auto"/>
        <w:rPr>
          <w:noProof/>
        </w:rPr>
      </w:pPr>
      <w:r>
        <w:rPr>
          <w:noProof/>
        </w:rPr>
        <w:t>zahtevati skladnost prejemnika z ustrezno okoljsko zakonodajo EU in nacionalno okoljsko zakonodajo.</w:t>
      </w:r>
    </w:p>
    <w:p w14:paraId="04838A27" w14:textId="77777777" w:rsidR="00F24946" w:rsidRDefault="00613B06">
      <w:pPr>
        <w:pStyle w:val="P68B1DB1-Normal4"/>
        <w:spacing w:beforeLines="40" w:before="96" w:after="0" w:line="22" w:lineRule="atLeast"/>
        <w:jc w:val="both"/>
        <w:rPr>
          <w:rFonts w:eastAsia="MS Mincho" w:cs="Times New Roman"/>
          <w:noProof/>
        </w:rPr>
      </w:pPr>
      <w:r>
        <w:rPr>
          <w:noProof/>
        </w:rPr>
        <w:t xml:space="preserve">Ta naložba se izvede do 30. junija 2026.  </w:t>
      </w:r>
    </w:p>
    <w:p w14:paraId="2F9D54F1" w14:textId="2C2676E2"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RP-C21-r45: Zelena znanja in spretnosti</w:t>
      </w:r>
    </w:p>
    <w:p w14:paraId="41D07A31" w14:textId="03311566" w:rsidR="00F24946" w:rsidRDefault="00613B06">
      <w:pPr>
        <w:pStyle w:val="P68B1DB1-Normal4"/>
        <w:spacing w:beforeLines="40" w:before="96" w:after="0" w:line="22" w:lineRule="atLeast"/>
        <w:jc w:val="both"/>
        <w:rPr>
          <w:rFonts w:cs="Times New Roman"/>
          <w:noProof/>
        </w:rPr>
      </w:pPr>
      <w:r>
        <w:rPr>
          <w:noProof/>
        </w:rPr>
        <w:t xml:space="preserve">Cilj te reforme je ustvariti ponudbo za dolgoročno poklicno usposabljanje za razvoj, priznavanje, potrjevanje in certificiranje zelenih znanj in spretnosti, da bi preprečili tveganje brezposelnosti, spodbudili ohranjanje delovnih mest in ustvarjanje novih delovnih mest. </w:t>
      </w:r>
    </w:p>
    <w:p w14:paraId="75EC7F11" w14:textId="0661E934" w:rsidR="00F24946" w:rsidRDefault="00613B06">
      <w:pPr>
        <w:pStyle w:val="P68B1DB1-Normal4"/>
        <w:spacing w:beforeLines="40" w:before="96" w:after="0" w:line="22" w:lineRule="atLeast"/>
        <w:jc w:val="both"/>
        <w:rPr>
          <w:rFonts w:cs="Times New Roman"/>
          <w:noProof/>
        </w:rPr>
      </w:pPr>
      <w:r>
        <w:rPr>
          <w:noProof/>
        </w:rPr>
        <w:t>Reformo sestavljajo:</w:t>
      </w:r>
    </w:p>
    <w:p w14:paraId="0CD3A424" w14:textId="41E7B03D" w:rsidR="00F24946" w:rsidRDefault="00613B06">
      <w:pPr>
        <w:pStyle w:val="ListParagraph"/>
        <w:keepNext w:val="0"/>
        <w:numPr>
          <w:ilvl w:val="0"/>
          <w:numId w:val="88"/>
        </w:numPr>
        <w:spacing w:beforeLines="40" w:before="96" w:after="0" w:line="22" w:lineRule="atLeast"/>
        <w:rPr>
          <w:noProof/>
        </w:rPr>
      </w:pPr>
      <w:r>
        <w:rPr>
          <w:noProof/>
        </w:rPr>
        <w:t>Program za zeleno delo ter znanja in spretnosti: zagotoviti poklicno usposabljanje in preusposabljanje 12500 delavcem, vključenim v procese energetskega prehoda njihovih delodajalcev, delavcem, ki jim grozi brezposelnost zaradi zaprtja industrije fosilnih goriv, in brezposelnim osebam. Izvaja ga Inštitut za zaposlovanje in poklicno usposabljanje s kratko- in srednjetrajnimi usposabljanji, osredotočati pa se mora na razvoj zelenih znanj in spretnosti.</w:t>
      </w:r>
    </w:p>
    <w:p w14:paraId="480A983D" w14:textId="34B135A1" w:rsidR="00F24946" w:rsidRDefault="00613B06">
      <w:pPr>
        <w:pStyle w:val="ListParagraph"/>
        <w:keepNext w:val="0"/>
        <w:numPr>
          <w:ilvl w:val="0"/>
          <w:numId w:val="88"/>
        </w:numPr>
        <w:spacing w:beforeLines="40" w:before="96" w:after="0" w:line="22" w:lineRule="atLeast"/>
        <w:rPr>
          <w:noProof/>
        </w:rPr>
      </w:pPr>
      <w:r>
        <w:rPr>
          <w:noProof/>
        </w:rPr>
        <w:t xml:space="preserve">Tečaji v centru za usposabljanje za energetski prehod: zagotavljanje dolgoročnega usposabljanja za dodatnih 12500 oseb na področju energetskega prehoda in podnebnih ukrepov, vključno z energijo iz obnovljivih virov, zelenim vodikom, sintetičnimi nebiološkimi gorivi in energijsko učinkovitostjo. </w:t>
      </w:r>
    </w:p>
    <w:p w14:paraId="492E8053" w14:textId="095C1539" w:rsidR="00F24946" w:rsidRDefault="00613B06">
      <w:pPr>
        <w:pStyle w:val="P68B1DB1-Normal4"/>
        <w:spacing w:beforeLines="40" w:before="96" w:after="0" w:line="22" w:lineRule="atLeast"/>
        <w:jc w:val="both"/>
        <w:rPr>
          <w:noProof/>
        </w:rPr>
      </w:pPr>
      <w:r>
        <w:rPr>
          <w:noProof/>
        </w:rPr>
        <w:t xml:space="preserve">Poleg upravičencev programa za zeleno delo ter znanja in spretnosti imajo prednost tisti upravičenci, ki so pripravljeni pridobiti znanja in spretnosti, ki so opredeljeni kot ključni za izvajanje projektov na področju obnovljivih virov energije (vključno z vodikom) in energetske učinkovitosti. </w:t>
      </w:r>
    </w:p>
    <w:p w14:paraId="2E4CC163" w14:textId="3B761BEC" w:rsidR="00F24946" w:rsidRDefault="00613B06">
      <w:pPr>
        <w:pStyle w:val="P68B1DB1-Normal4"/>
        <w:spacing w:beforeLines="40" w:before="96" w:after="0" w:line="22" w:lineRule="atLeast"/>
        <w:jc w:val="both"/>
        <w:rPr>
          <w:rFonts w:eastAsiaTheme="minorEastAsia" w:cs="Times New Roman"/>
          <w:noProof/>
        </w:rPr>
      </w:pPr>
      <w:r>
        <w:rPr>
          <w:noProof/>
        </w:rPr>
        <w:t xml:space="preserve">Poti usposabljanja se razvijejo v skladu s potrebami, ki jih opredelijo tržna in industrijska združenja. Akterji na področju energije iz obnovljivih virov in energetske učinkovitosti opredelijo, katera znanja in spretnosti se štejejo za ključne glede na povpraševanje na trgu dela. Vsebina usposabljanja odraža te potrebe. Ponudbo usposabljanja pripravi center za usposabljanje za energetski prehod. </w:t>
      </w:r>
      <w:bookmarkStart w:id="41" w:name="_Int_OV5GmRrb"/>
      <w:bookmarkStart w:id="42" w:name="_Int_knsy2AsN"/>
      <w:bookmarkEnd w:id="41"/>
      <w:bookmarkEnd w:id="42"/>
    </w:p>
    <w:p w14:paraId="1A64A2BF" w14:textId="77777777" w:rsidR="00F24946" w:rsidRDefault="00613B06">
      <w:pPr>
        <w:pStyle w:val="P68B1DB1-Normal4"/>
        <w:spacing w:beforeLines="40" w:before="96" w:after="0" w:line="22" w:lineRule="atLeast"/>
        <w:jc w:val="both"/>
        <w:rPr>
          <w:rFonts w:cs="Times New Roman"/>
          <w:noProof/>
        </w:rPr>
      </w:pPr>
      <w:r>
        <w:rPr>
          <w:noProof/>
        </w:rPr>
        <w:t xml:space="preserve">Reforma se izvede do 31. decembra 2025.  </w:t>
      </w:r>
    </w:p>
    <w:p w14:paraId="52BA1BAC" w14:textId="753C1FAF"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RP-C21-r46: Regulativni okvir za obnovljivi vodik</w:t>
      </w:r>
    </w:p>
    <w:p w14:paraId="48C489B3" w14:textId="77777777" w:rsidR="00F24946" w:rsidRDefault="00613B06">
      <w:pPr>
        <w:pStyle w:val="P68B1DB1-Normal4"/>
        <w:spacing w:before="40" w:after="0" w:line="259" w:lineRule="auto"/>
        <w:jc w:val="both"/>
        <w:rPr>
          <w:rFonts w:cs="Times New Roman"/>
          <w:noProof/>
        </w:rPr>
      </w:pPr>
      <w:r>
        <w:rPr>
          <w:noProof/>
        </w:rPr>
        <w:t>Cilj te reforme je spodbujati spodbujanje obnovljivega vodika v okviru celovitejše strategije prehoda na razogljičeno gospodarstvo. Cilj te reforme je tudi ustvariti pogoje za razogljičenje omrežja zemeljskega plina in pomagati pri razvoju vrednostne verige obnovljivega vodika.</w:t>
      </w:r>
    </w:p>
    <w:p w14:paraId="36E3674D" w14:textId="1E98692D" w:rsidR="00F24946" w:rsidRDefault="00613B06">
      <w:pPr>
        <w:pStyle w:val="P68B1DB1-Normal4"/>
        <w:spacing w:before="40" w:after="0" w:line="259" w:lineRule="auto"/>
        <w:jc w:val="both"/>
        <w:rPr>
          <w:rFonts w:cs="Times New Roman"/>
          <w:noProof/>
        </w:rPr>
      </w:pPr>
      <w:r>
        <w:rPr>
          <w:noProof/>
        </w:rPr>
        <w:t xml:space="preserve">Reforma zajema revizijo uredbe o nacionalnem omrežju za prenos plina in uredbe o nacionalnem omrežju za distribucijo plina, ki jo odobri Generalni direktorat za energijo in geologijo (odredba št. 806-B/2022 in odlok št. 806-C/2022). V obeh spremenjenih uredbah se določijo tehnična merila in operativni vidiki za proizvodnjo obnovljivega vodika, certificiranje, prenos, shranjevanje, izogibanje puščanju in po potrebi za vbrizgavanje v plinsko omrežje, pri čemer se opredeli subjekt, odgovoren za upravljanje vbrizga, in določijo merila za to, da se ne preseže najvišja dovoljena koncentracija vodika v plinskem omrežju (v skladu z revidirano portugalsko nacionalno strategijo za vodik). Opredelijo tudi končne uporabnike obnovljivega vodika v skladu s strategijo EU za vodik, ki se osredotočajo na uporabe, ki jih je težko razogljičiti v industrijskem in prometnem sektorju, ter pravila za zagotavljanje preglednosti sistema obračunavanja, zmogljivosti ogrevanja in kakovosti plina (kot so bruto kalorična vrednost (GCV), Wobbejev indeks (kazalnik kakovosti zgorevanja) in prisotnost dodatnih sestavnih delov (kot so CO2, ogljikovodik, H2O, žveplo itd.).  </w:t>
      </w:r>
    </w:p>
    <w:p w14:paraId="4CFED58E" w14:textId="3EFE5584" w:rsidR="00F24946" w:rsidRDefault="00613B06">
      <w:pPr>
        <w:pStyle w:val="P68B1DB1-Normal4"/>
        <w:spacing w:before="40" w:after="0" w:line="259" w:lineRule="auto"/>
        <w:jc w:val="both"/>
        <w:rPr>
          <w:rFonts w:cs="Times New Roman"/>
          <w:noProof/>
        </w:rPr>
      </w:pPr>
      <w:r>
        <w:rPr>
          <w:noProof/>
        </w:rPr>
        <w:t>Poleg tega se v Uradnem listu Diário da República objavi upravni ali pravni akt, ki začne veljati in v katerem je določeno, da se samo industrijske enote, ki izpolnjujejo zahteve direktive o energiji iz obnovljivih virov in njenih delegiranih aktov (2018/2001/EU), štejejo za obrate za proizvodnjo vodika iz obnovljivih virov. V aktu se določi tudi postopek, ki ga morajo upoštevati prosilci za dovoljenja za proizvodnjo plinov iz obnovljivih virov, pri čemer se od prosilcev zahteva, da predložijo izjavo o prevzemu zaveze glede izpolnjevanja zahtev za uporabo energije iz obnovljivih virov, kot so določene v direktivi o energiji iz obnovljivih virov in njenih delegiranih aktih (2018/2001/EU), ter zagotavljanju obnovljivega izvora proizvedenega vodika.</w:t>
      </w:r>
    </w:p>
    <w:p w14:paraId="67538798" w14:textId="16C7329E" w:rsidR="00F24946" w:rsidRDefault="00613B06">
      <w:pPr>
        <w:pStyle w:val="P68B1DB1-Normal4"/>
        <w:spacing w:before="40" w:after="0" w:line="259" w:lineRule="auto"/>
        <w:jc w:val="both"/>
        <w:rPr>
          <w:rFonts w:cs="Times New Roman"/>
          <w:noProof/>
        </w:rPr>
      </w:pPr>
      <w:r>
        <w:rPr>
          <w:noProof/>
        </w:rPr>
        <w:t>V zgoraj navedenem upravnem ali pravnem aktu se zahteva tudi, da mora vlagatelj pred začetkom proizvodnje obnovljivega vodika za pridobitev „dovoljenja za postavitev in obratovanje industrijskega obrata“ predložiti končno pogodbo za nakup energije iz obnovljivih virov, ki jo porabi v proizvodnem procesu, in informacije, potrebne za dokazovanje, da so bile zaveze iz izjave izpolnjene.</w:t>
      </w:r>
    </w:p>
    <w:p w14:paraId="0A85B859" w14:textId="77777777" w:rsidR="00F24946" w:rsidRDefault="00613B06">
      <w:pPr>
        <w:pStyle w:val="P68B1DB1-Normal4"/>
        <w:spacing w:before="40" w:after="0" w:line="259" w:lineRule="auto"/>
        <w:jc w:val="both"/>
        <w:rPr>
          <w:rFonts w:eastAsiaTheme="minorEastAsia" w:cs="Times New Roman"/>
          <w:noProof/>
        </w:rPr>
      </w:pPr>
      <w:r>
        <w:rPr>
          <w:noProof/>
        </w:rPr>
        <w:t>Reforma se izvede do 30. junija 2024.</w:t>
      </w:r>
    </w:p>
    <w:p w14:paraId="6FC4D499" w14:textId="16F151BF" w:rsidR="00F24946" w:rsidRDefault="00613B06">
      <w:pPr>
        <w:pStyle w:val="P68B1DB1-Normal5"/>
        <w:keepNext/>
        <w:spacing w:before="240" w:after="0" w:line="259" w:lineRule="auto"/>
        <w:ind w:left="851"/>
        <w:jc w:val="both"/>
        <w:outlineLvl w:val="2"/>
        <w:rPr>
          <w:rFonts w:eastAsiaTheme="minorEastAsia"/>
          <w:noProof/>
        </w:rPr>
      </w:pPr>
      <w:bookmarkStart w:id="43" w:name="bookmark30"/>
      <w:r>
        <w:rPr>
          <w:noProof/>
        </w:rPr>
        <w:t>Reforma RP-C21-r47: Prva dražba za trajnostni biometan</w:t>
      </w:r>
      <w:bookmarkEnd w:id="43"/>
      <w:r>
        <w:rPr>
          <w:noProof/>
        </w:rPr>
        <w:t xml:space="preserve"> in akcijski načrt za biometan</w:t>
      </w:r>
    </w:p>
    <w:p w14:paraId="6D1CD5D5" w14:textId="1350F59D" w:rsidR="00F24946" w:rsidRDefault="00613B06">
      <w:pPr>
        <w:pStyle w:val="P68B1DB1-Normal4"/>
        <w:spacing w:before="40" w:after="0" w:line="259" w:lineRule="auto"/>
        <w:jc w:val="both"/>
        <w:rPr>
          <w:rFonts w:cs="Times New Roman"/>
          <w:noProof/>
        </w:rPr>
      </w:pPr>
      <w:r>
        <w:rPr>
          <w:noProof/>
        </w:rPr>
        <w:t xml:space="preserve">Cilj te reforme je spodbujati in povečati proizvodnjo in porabo trajnostnega biometana ter ustvariti potrebne pogoje za razvoj gospodarstva biometana na Portugalskem. </w:t>
      </w:r>
    </w:p>
    <w:p w14:paraId="06444E15" w14:textId="479A0C14" w:rsidR="00F24946" w:rsidRDefault="00613B06">
      <w:pPr>
        <w:pStyle w:val="P68B1DB1-Normal4"/>
        <w:spacing w:before="40" w:after="0" w:line="259" w:lineRule="auto"/>
        <w:jc w:val="both"/>
        <w:rPr>
          <w:rFonts w:cs="Times New Roman"/>
          <w:noProof/>
        </w:rPr>
      </w:pPr>
      <w:r>
        <w:rPr>
          <w:noProof/>
        </w:rPr>
        <w:t>Reforma vključuje začetek prve dražbe za centraliziran nakup trajnostnega biometana s strani družbe Wholesale Last Resort Marketer (CURg) v skladu z vladnim odlokom št. 15/2023 z dne 4. januarja 2023. Cilj dražbe je nakup 150 GWh/leto biometana za vbrizgavanje v nacionalno plinsko omrežje. Reforma vključuje tudi sprejetje akcijskega načrta za biometan, ki določa strategijo za razvoj biometana na Portugalskem. V akcijskem načrtu so predlagani ukrepi za zagotovitev ugodnega regulativnega okvira, skupaj s sklopom javnih politik, ki podpirajo oblikovanje notranjega trga za biometan, tako za podporo proizvodnji kot za spodbujanje potrošnje.</w:t>
      </w:r>
    </w:p>
    <w:p w14:paraId="05743F4B" w14:textId="77777777" w:rsidR="00F24946" w:rsidRDefault="00613B06">
      <w:pPr>
        <w:pStyle w:val="P68B1DB1-Normal4"/>
        <w:spacing w:before="40" w:after="0" w:line="259" w:lineRule="auto"/>
        <w:jc w:val="both"/>
        <w:rPr>
          <w:rFonts w:eastAsiaTheme="minorEastAsia" w:cs="Times New Roman"/>
          <w:noProof/>
        </w:rPr>
      </w:pPr>
      <w:r>
        <w:rPr>
          <w:noProof/>
        </w:rPr>
        <w:t>Reforma se izvede do 31. marca 2024.</w:t>
      </w:r>
    </w:p>
    <w:p w14:paraId="69A70CF0" w14:textId="37012EB1"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RP-C21-r48: Poenostavitev pravnega in regulativnega okvira, ki se uporablja za projekte na področju energije iz obnovljivih virov</w:t>
      </w:r>
    </w:p>
    <w:p w14:paraId="48A84454" w14:textId="77777777" w:rsidR="00F24946" w:rsidRDefault="00613B06">
      <w:pPr>
        <w:pStyle w:val="P68B1DB1-Bodytext2020"/>
        <w:spacing w:before="40" w:after="0" w:line="259" w:lineRule="auto"/>
        <w:ind w:firstLine="0"/>
        <w:jc w:val="both"/>
        <w:rPr>
          <w:rFonts w:cs="Times New Roman"/>
          <w:b/>
          <w:noProof/>
        </w:rPr>
      </w:pPr>
      <w:r>
        <w:rPr>
          <w:noProof/>
        </w:rPr>
        <w:t xml:space="preserve">Cilj te reforme je spodbujati projekte na področju energije iz obnovljivih virov s poenostavitvijo pravnega in regulativnega okvira v zvezi z izdajanjem dovoljenj za energijo iz obnovljivih virov ter usposabljanjem tistih, ki se ukvarjajo z izdajanjem dovoljenj in vključenim digitalnim orodjem. </w:t>
      </w:r>
    </w:p>
    <w:p w14:paraId="7A522EFE" w14:textId="77777777" w:rsidR="00F24946" w:rsidRDefault="00613B06">
      <w:pPr>
        <w:pStyle w:val="P68B1DB1-Bodytext2020"/>
        <w:spacing w:before="40" w:after="0" w:line="259" w:lineRule="auto"/>
        <w:ind w:firstLine="0"/>
        <w:jc w:val="both"/>
        <w:rPr>
          <w:rFonts w:cs="Times New Roman"/>
          <w:b/>
          <w:noProof/>
        </w:rPr>
      </w:pPr>
      <w:r>
        <w:rPr>
          <w:noProof/>
        </w:rPr>
        <w:t>Reforma vključuje:</w:t>
      </w:r>
    </w:p>
    <w:p w14:paraId="3DE1B65E" w14:textId="44219824" w:rsidR="00F24946" w:rsidRDefault="00613B06">
      <w:pPr>
        <w:pStyle w:val="ListParagraph"/>
        <w:keepNext w:val="0"/>
        <w:numPr>
          <w:ilvl w:val="0"/>
          <w:numId w:val="89"/>
        </w:numPr>
        <w:spacing w:before="40" w:after="0" w:line="259" w:lineRule="auto"/>
        <w:rPr>
          <w:noProof/>
        </w:rPr>
      </w:pPr>
      <w:r>
        <w:rPr>
          <w:noProof/>
        </w:rPr>
        <w:t>Začetek veljavnosti zakonodajnega akta o ustanovitvi enote misije za licenciranje projektov na področju energije iz obnovljivih virov do leta 2030 (do leta 2030). Naloga umere 2030 je med drugim:</w:t>
      </w:r>
    </w:p>
    <w:p w14:paraId="171E03CD" w14:textId="77777777" w:rsidR="00F24946" w:rsidRDefault="00613B06">
      <w:pPr>
        <w:pStyle w:val="ListParagraph"/>
        <w:keepNext w:val="0"/>
        <w:numPr>
          <w:ilvl w:val="1"/>
          <w:numId w:val="89"/>
        </w:numPr>
        <w:spacing w:before="40" w:after="0" w:line="259" w:lineRule="auto"/>
        <w:rPr>
          <w:noProof/>
        </w:rPr>
      </w:pPr>
      <w:r>
        <w:rPr>
          <w:noProof/>
        </w:rPr>
        <w:t>Zagotoviti izpolnjevanje ciljev revidiranega nacionalnega energetskega in podnebnega načrta za leto 2030 ter pospešiti izvajanje projektov na področju energije iz obnovljivih virov na Portugalskem;</w:t>
      </w:r>
    </w:p>
    <w:p w14:paraId="7584862B" w14:textId="77777777" w:rsidR="00F24946" w:rsidRDefault="00613B06">
      <w:pPr>
        <w:pStyle w:val="ListParagraph"/>
        <w:keepNext w:val="0"/>
        <w:numPr>
          <w:ilvl w:val="1"/>
          <w:numId w:val="89"/>
        </w:numPr>
        <w:spacing w:before="40" w:after="0" w:line="259" w:lineRule="auto"/>
        <w:rPr>
          <w:noProof/>
        </w:rPr>
      </w:pPr>
      <w:r>
        <w:rPr>
          <w:noProof/>
        </w:rPr>
        <w:t xml:space="preserve">Pripraviti priročnik postopkov za podporo in poenostavitev postopka izdaje dovoljenj za samoporabo in skupnosti na področju energije iz obnovljivih virov; </w:t>
      </w:r>
    </w:p>
    <w:p w14:paraId="781C1063" w14:textId="77777777" w:rsidR="00F24946" w:rsidRDefault="00613B06">
      <w:pPr>
        <w:pStyle w:val="ListParagraph"/>
        <w:keepNext w:val="0"/>
        <w:numPr>
          <w:ilvl w:val="1"/>
          <w:numId w:val="89"/>
        </w:numPr>
        <w:spacing w:before="40" w:after="0" w:line="259" w:lineRule="auto"/>
        <w:rPr>
          <w:noProof/>
        </w:rPr>
      </w:pPr>
      <w:r>
        <w:rPr>
          <w:noProof/>
        </w:rPr>
        <w:t xml:space="preserve">Razvoj, izvajanje in upravljanje točke </w:t>
      </w:r>
      <w:r>
        <w:rPr>
          <w:i/>
          <w:noProof/>
        </w:rPr>
        <w:t>„vse na enem mestu“</w:t>
      </w:r>
      <w:r>
        <w:rPr>
          <w:noProof/>
        </w:rPr>
        <w:t xml:space="preserve"> za licenciranje in spremljanje projektov na področju energije iz obnovljivih virov (RP-C14-i02);</w:t>
      </w:r>
    </w:p>
    <w:p w14:paraId="67AD8E0A" w14:textId="77777777" w:rsidR="00F24946" w:rsidRDefault="00613B06">
      <w:pPr>
        <w:pStyle w:val="ListParagraph"/>
        <w:keepNext w:val="0"/>
        <w:numPr>
          <w:ilvl w:val="1"/>
          <w:numId w:val="89"/>
        </w:numPr>
        <w:spacing w:before="40" w:after="0" w:line="259" w:lineRule="auto"/>
        <w:rPr>
          <w:noProof/>
        </w:rPr>
      </w:pPr>
      <w:r>
        <w:rPr>
          <w:noProof/>
        </w:rPr>
        <w:t>Pripravi predlog sektorskega programa za cilje glede obnovljivih virov energije;</w:t>
      </w:r>
    </w:p>
    <w:p w14:paraId="082EFB04" w14:textId="77777777" w:rsidR="00F24946" w:rsidRDefault="00613B06">
      <w:pPr>
        <w:pStyle w:val="ListParagraph"/>
        <w:keepNext w:val="0"/>
        <w:numPr>
          <w:ilvl w:val="1"/>
          <w:numId w:val="89"/>
        </w:numPr>
        <w:spacing w:before="40" w:after="0" w:line="259" w:lineRule="auto"/>
        <w:rPr>
          <w:noProof/>
        </w:rPr>
      </w:pPr>
      <w:r>
        <w:rPr>
          <w:noProof/>
        </w:rPr>
        <w:t>Utrditi pravni in regulativni okvir, ki se uporablja za izdajanje dovoljenj za električno in okoljsko energijo za projekte obnovljivih virov energije in shranjevanja.</w:t>
      </w:r>
    </w:p>
    <w:p w14:paraId="0D6072B7" w14:textId="77777777" w:rsidR="00F24946" w:rsidRDefault="00613B06">
      <w:pPr>
        <w:pStyle w:val="P68B1DB1-Bodytext2020"/>
        <w:widowControl/>
        <w:numPr>
          <w:ilvl w:val="0"/>
          <w:numId w:val="89"/>
        </w:numPr>
        <w:shd w:val="clear" w:color="auto" w:fill="auto"/>
        <w:spacing w:before="40" w:after="0" w:line="259" w:lineRule="auto"/>
        <w:jc w:val="both"/>
        <w:rPr>
          <w:rFonts w:eastAsiaTheme="minorEastAsia" w:cs="Times New Roman"/>
          <w:b/>
          <w:noProof/>
        </w:rPr>
      </w:pPr>
      <w:r>
        <w:rPr>
          <w:noProof/>
        </w:rPr>
        <w:t>Reforma vključuje tudi uvedbo uredbe o občinskem podeljevanju licenc za projekte na področju energije iz obnovljivih virov in shranjevanja, in sicer s spremembo ministrskega odloka št. 113/2015, ki opredeljuje ustrezne elemente, ki jih je treba predložiti za občinski postopek izdaje dovoljenj za projekte na področju energije iz obnovljivih virov.</w:t>
      </w:r>
    </w:p>
    <w:p w14:paraId="481D9B0A" w14:textId="77777777" w:rsidR="00F24946" w:rsidRDefault="00613B06">
      <w:pPr>
        <w:pStyle w:val="P68B1DB1-Bodytext2020"/>
        <w:widowControl/>
        <w:numPr>
          <w:ilvl w:val="0"/>
          <w:numId w:val="89"/>
        </w:numPr>
        <w:shd w:val="clear" w:color="auto" w:fill="auto"/>
        <w:spacing w:before="40" w:after="0" w:line="259" w:lineRule="auto"/>
        <w:jc w:val="both"/>
        <w:rPr>
          <w:rFonts w:cs="Times New Roman"/>
          <w:b/>
          <w:noProof/>
        </w:rPr>
      </w:pPr>
      <w:r>
        <w:rPr>
          <w:noProof/>
        </w:rPr>
        <w:t>Z reformo se določi tudi časovni razpored za dodelitev novih zmogljivosti za energijo iz obnovljivih virov, s posebnim poudarkom na geografskih območjih, ki izhajajo iz sektorskega programa „Obnovljivi cilji“.</w:t>
      </w:r>
    </w:p>
    <w:p w14:paraId="32D1B031" w14:textId="77777777" w:rsidR="00F24946" w:rsidRDefault="00613B06">
      <w:pPr>
        <w:pStyle w:val="P68B1DB1-Bodytext2020"/>
        <w:widowControl/>
        <w:numPr>
          <w:ilvl w:val="0"/>
          <w:numId w:val="89"/>
        </w:numPr>
        <w:shd w:val="clear" w:color="auto" w:fill="auto"/>
        <w:spacing w:before="40" w:after="0" w:line="259" w:lineRule="auto"/>
        <w:jc w:val="both"/>
        <w:rPr>
          <w:rFonts w:cs="Times New Roman"/>
          <w:b/>
          <w:noProof/>
        </w:rPr>
      </w:pPr>
      <w:r>
        <w:rPr>
          <w:noProof/>
        </w:rPr>
        <w:t xml:space="preserve">Reforma vključuje tudi usposabljanje 500 vodstvenih delavcev in tehnikov centralne, regionalne in lokalne javne uprave v zvezi s postopki izdaje dovoljenj za projekte na področju energije iz obnovljivih virov in shranjevanje energije. </w:t>
      </w:r>
    </w:p>
    <w:p w14:paraId="31610E4F" w14:textId="77777777" w:rsidR="00F24946" w:rsidRDefault="00613B06">
      <w:pPr>
        <w:pStyle w:val="P68B1DB1-Normal4"/>
        <w:spacing w:before="40" w:after="0" w:line="259" w:lineRule="auto"/>
        <w:jc w:val="both"/>
        <w:rPr>
          <w:rFonts w:cs="Times New Roman"/>
          <w:noProof/>
        </w:rPr>
      </w:pPr>
      <w:r>
        <w:rPr>
          <w:noProof/>
        </w:rPr>
        <w:t>Reforma se izvede do 30. junija 2024.</w:t>
      </w:r>
    </w:p>
    <w:p w14:paraId="2D61E7C0" w14:textId="436900C9" w:rsidR="00F24946" w:rsidRDefault="00613B06">
      <w:pPr>
        <w:pStyle w:val="P68B1DB1-Normal5"/>
        <w:keepNext/>
        <w:spacing w:before="240" w:after="0" w:line="259" w:lineRule="auto"/>
        <w:ind w:left="851"/>
        <w:jc w:val="both"/>
        <w:outlineLvl w:val="2"/>
        <w:rPr>
          <w:rFonts w:eastAsiaTheme="minorEastAsia" w:cs="Times New Roman"/>
          <w:noProof/>
        </w:rPr>
      </w:pPr>
      <w:bookmarkStart w:id="44" w:name="_Hlk140157845"/>
      <w:r>
        <w:rPr>
          <w:noProof/>
        </w:rPr>
        <w:t xml:space="preserve">Naložba RP-C21- </w:t>
      </w:r>
      <w:bookmarkEnd w:id="44"/>
      <w:r>
        <w:rPr>
          <w:noProof/>
        </w:rPr>
        <w:t>i06 Ukrepi za povečanje: Vodik in obnovljivi plini</w:t>
      </w:r>
    </w:p>
    <w:p w14:paraId="20046906" w14:textId="77777777" w:rsidR="00F24946" w:rsidRDefault="00613B06">
      <w:pPr>
        <w:pStyle w:val="P68B1DB1-Normal4"/>
        <w:spacing w:before="40" w:after="0" w:line="259" w:lineRule="auto"/>
        <w:jc w:val="both"/>
        <w:rPr>
          <w:rFonts w:cs="Times New Roman"/>
          <w:noProof/>
        </w:rPr>
      </w:pPr>
      <w:r>
        <w:rPr>
          <w:noProof/>
        </w:rPr>
        <w:t xml:space="preserve">Cilj te naložbe je povečati obstoječo naložbo C14 </w:t>
      </w:r>
      <w:r>
        <w:rPr>
          <w:i/>
          <w:noProof/>
        </w:rPr>
        <w:t xml:space="preserve">-i01: Vodik in obnovljivi plini </w:t>
      </w:r>
      <w:r>
        <w:rPr>
          <w:noProof/>
        </w:rPr>
        <w:t>iz komponente 14.</w:t>
      </w:r>
    </w:p>
    <w:p w14:paraId="643DCE77"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Povečani del ukrepa poveča proizvodno zmogljivost obnovljivega vodika in obnovljivega plina. Ukrep zajema ukrepe za spodbujanje proizvodnje, shranjevanja, prevoza in distribucije obnovljivih plinov, katerih cilj je povečati prispevek obnovljivih plinov k porabi energije, zmanjšati emisije toplogrednih plinov, zmanjšati energetsko odvisnost in izboljšati zanesljivost oskrbe z energijo.</w:t>
      </w:r>
    </w:p>
    <w:p w14:paraId="3226896B"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 xml:space="preserve">Podpirajo se različne uporabe, kot sta uporaba obnovljivih plinov za prevoz in dovajanje plinov iz obnovljivih virov v omrežje zemeljskega plina. </w:t>
      </w:r>
    </w:p>
    <w:p w14:paraId="0B728DB7"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 xml:space="preserve">Za proizvodnjo obnovljivega vodika se uporablja samo elektroliza. </w:t>
      </w:r>
    </w:p>
    <w:p w14:paraId="44B34FAA"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 xml:space="preserve">Za proizvodnjo drugih plinov obnovljivega izvora se uporabljajo druge tehnologije: a) termokemični in hidrotermalni procesi (izključno za proizvodnjo trajnostnega biometana); b) biološki procesi (biofoliza in fermentacija); c) obogatitev bioplina z anaerobno razgradnjo materialov iz biomase se uporablja izključno za proizvodnjo trajnostnega biometana (proizvodnja bioplina se lahko podpre, če vključuje tudi nadgradnjo bioplina v trajnostni biometan); in d) metanacija se proizvaja samo iz bioloških odpadkov. </w:t>
      </w:r>
    </w:p>
    <w:p w14:paraId="2E0410B7" w14:textId="77C7C6FA" w:rsidR="00F24946" w:rsidRDefault="00613B06">
      <w:pPr>
        <w:pStyle w:val="P68B1DB1-Bodytext2020"/>
        <w:spacing w:before="40" w:after="0" w:line="259" w:lineRule="auto"/>
        <w:ind w:firstLine="0"/>
        <w:jc w:val="both"/>
        <w:rPr>
          <w:rFonts w:eastAsiaTheme="minorEastAsia" w:cs="Times New Roman"/>
          <w:b/>
          <w:noProof/>
        </w:rPr>
      </w:pPr>
      <w:r>
        <w:rPr>
          <w:noProof/>
        </w:rPr>
        <w:t xml:space="preserve">Proizvodnja obnovljivega vodika drugih plinov obnovljivega izvora mora biti skladna z direktivo o energiji iz obnovljivih virov in njenimi delegiranimi akti (2018/2001/EU). </w:t>
      </w:r>
    </w:p>
    <w:p w14:paraId="6D01FBCB" w14:textId="34B7C01C" w:rsidR="00F24946" w:rsidRDefault="00613B06">
      <w:pPr>
        <w:pStyle w:val="P68B1DB1-Bodytext2020"/>
        <w:spacing w:before="40" w:after="0" w:line="259" w:lineRule="auto"/>
        <w:ind w:firstLine="0"/>
        <w:jc w:val="both"/>
        <w:rPr>
          <w:rFonts w:eastAsiaTheme="minorEastAsia" w:cs="Times New Roman"/>
          <w:b/>
          <w:noProof/>
        </w:rPr>
      </w:pPr>
      <w:r>
        <w:rPr>
          <w:noProof/>
        </w:rPr>
        <w:t xml:space="preserve">Naložbe imajo zelo poseben poudarek in so namenjene povečanju inštalirane zmogljivosti za proizvodnjo obnovljivega vodika in drugih obnovljivih plinov, vključno z nameščeno zmogljivostjo v elektrolizatorjih za proizvodnjo obnovljivega vodika. Projekt se izvaja z odprtim razpisom za zbiranje ponudb, da se podprejo projekti z največ 15 000 000 EUR na projekt. </w:t>
      </w:r>
    </w:p>
    <w:p w14:paraId="0025873F"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Ta ukrep podpira zrele tehnologije (TRL &gt; 8), ki spodbujajo ne le proizvodnjo obnovljivega vodika, temveč tudi proizvodnjo drugih obnovljivih plinov z energetsko predelavo organskih sestavin komunalnih odpadkov, blata iz čistilnih naprav, kmetijskih in industrijskih odplak (razen plastičnih odpadkov). Proizvodnja recikliranih ogljičnih goriv ni predvidena kot del te naložbe.</w:t>
      </w:r>
    </w:p>
    <w:p w14:paraId="46B6D36C" w14:textId="77777777" w:rsidR="00F24946" w:rsidRDefault="00613B06">
      <w:pPr>
        <w:pStyle w:val="P68B1DB1-Bodytext2020"/>
        <w:spacing w:before="40" w:after="0" w:line="259" w:lineRule="auto"/>
        <w:ind w:firstLine="0"/>
        <w:jc w:val="both"/>
        <w:rPr>
          <w:rFonts w:eastAsiaTheme="minorEastAsia" w:cs="Times New Roman"/>
          <w:b/>
          <w:noProof/>
        </w:rPr>
      </w:pPr>
      <w:r>
        <w:rPr>
          <w:noProof/>
        </w:rPr>
        <w:t>Naložba se izvede do 30. junija 2026.</w:t>
      </w:r>
    </w:p>
    <w:p w14:paraId="1D5BE002" w14:textId="08876800" w:rsidR="00F24946" w:rsidRDefault="00613B06">
      <w:pPr>
        <w:pStyle w:val="P68B1DB1-Normal5"/>
        <w:keepNext/>
        <w:spacing w:before="240" w:after="0" w:line="259" w:lineRule="auto"/>
        <w:ind w:left="851"/>
        <w:jc w:val="both"/>
        <w:outlineLvl w:val="2"/>
        <w:rPr>
          <w:rFonts w:eastAsiaTheme="minorEastAsia" w:cs="Times New Roman"/>
          <w:noProof/>
        </w:rPr>
      </w:pPr>
      <w:bookmarkStart w:id="45" w:name="bookmark45"/>
      <w:r>
        <w:rPr>
          <w:noProof/>
        </w:rPr>
        <w:t>Naložba RP-C21-i07: Tehnične študije o potencialu energije na morju</w:t>
      </w:r>
      <w:bookmarkEnd w:id="45"/>
    </w:p>
    <w:p w14:paraId="68AD5D6E" w14:textId="77777777" w:rsidR="00F24946" w:rsidRDefault="00613B06">
      <w:pPr>
        <w:pStyle w:val="P68B1DB1-Bodytext2020"/>
        <w:spacing w:before="40" w:after="0" w:line="259" w:lineRule="auto"/>
        <w:ind w:firstLine="0"/>
        <w:jc w:val="both"/>
        <w:rPr>
          <w:rFonts w:eastAsiaTheme="minorEastAsia" w:cs="Times New Roman"/>
          <w:noProof/>
        </w:rPr>
      </w:pPr>
      <w:bookmarkStart w:id="46" w:name="_Hlk137476371"/>
      <w:r>
        <w:rPr>
          <w:noProof/>
        </w:rPr>
        <w:t xml:space="preserve">Cilj te naložbe je portugalski državi omogočiti izvedbo konkurenčnih razpisnih postopkov za postavitev plavajočih vetrnih elektrarn na morju. </w:t>
      </w:r>
    </w:p>
    <w:p w14:paraId="023D26BD" w14:textId="77777777" w:rsidR="00F24946" w:rsidRDefault="00613B06">
      <w:pPr>
        <w:pStyle w:val="P68B1DB1-Bodytext2020"/>
        <w:spacing w:before="40" w:after="0" w:line="259" w:lineRule="auto"/>
        <w:ind w:firstLine="0"/>
        <w:jc w:val="both"/>
        <w:rPr>
          <w:rFonts w:eastAsiaTheme="minorEastAsia" w:cs="Times New Roman"/>
          <w:noProof/>
        </w:rPr>
      </w:pPr>
      <w:r>
        <w:rPr>
          <w:noProof/>
        </w:rPr>
        <w:t xml:space="preserve">Naložba zajema razvoj geofizikalnih, geotehničnih, vetrovnih in tekočih študij visoke ločljivosti na območju najmanj 2 000 km² v Atlantskem oceanu. Študije so po njihovem zaključku podlaga za začetek nadaljnjih dražb za priobalna območja, navedena v nacionalnem načrtu razmer v pomorskem prostorskem načrtovanju (PSOEM). </w:t>
      </w:r>
    </w:p>
    <w:p w14:paraId="609A2BBF" w14:textId="28DEB11B" w:rsidR="00F24946" w:rsidRDefault="00613B06">
      <w:pPr>
        <w:pStyle w:val="P68B1DB1-Bodytext2020"/>
        <w:spacing w:before="40" w:after="0" w:line="259" w:lineRule="auto"/>
        <w:ind w:firstLine="0"/>
        <w:jc w:val="both"/>
        <w:rPr>
          <w:rFonts w:eastAsiaTheme="minorEastAsia" w:cs="Times New Roman"/>
          <w:noProof/>
        </w:rPr>
      </w:pPr>
      <w:r>
        <w:rPr>
          <w:noProof/>
        </w:rPr>
        <w:t xml:space="preserve">Naložba se izvede do 30. junija 2026. </w:t>
      </w:r>
    </w:p>
    <w:bookmarkEnd w:id="46"/>
    <w:p w14:paraId="42F0CC47" w14:textId="36768B60"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RP-C21-i08: Prožnost in shranjevanje omrežja</w:t>
      </w:r>
    </w:p>
    <w:p w14:paraId="2AD9942A" w14:textId="77777777" w:rsidR="00F24946" w:rsidRDefault="00613B06">
      <w:pPr>
        <w:pStyle w:val="P68B1DB1-Bodytext2020"/>
        <w:spacing w:before="40" w:after="0" w:line="259" w:lineRule="auto"/>
        <w:ind w:firstLine="0"/>
        <w:jc w:val="both"/>
        <w:rPr>
          <w:rFonts w:eastAsiaTheme="minorEastAsia" w:cs="Times New Roman"/>
          <w:noProof/>
        </w:rPr>
      </w:pPr>
      <w:r>
        <w:rPr>
          <w:noProof/>
        </w:rPr>
        <w:t xml:space="preserve">Cilj te naložbe je povečati prožnost v javnem elektroenergetskem omrežju, kar bo omogočilo optimizacijo in prožno upravljanje elektroenergetskega sistema, tudi glede na pričakovano povečanje proizvodnje in porabe električne energije iz obnovljivih virov. </w:t>
      </w:r>
    </w:p>
    <w:p w14:paraId="7815D6F6" w14:textId="0347E7C2" w:rsidR="00F24946" w:rsidRDefault="00613B06">
      <w:pPr>
        <w:pStyle w:val="P68B1DB1-Bodytext2020"/>
        <w:spacing w:before="40" w:after="0" w:line="259" w:lineRule="auto"/>
        <w:ind w:firstLine="0"/>
        <w:jc w:val="both"/>
        <w:rPr>
          <w:rFonts w:eastAsiaTheme="minorEastAsia" w:cs="Times New Roman"/>
          <w:noProof/>
        </w:rPr>
      </w:pPr>
      <w:r>
        <w:rPr>
          <w:noProof/>
        </w:rPr>
        <w:t>Naložba vključuje podporo za namestitev vsaj 500 MW zmogljivosti za shranjevanje energije v elektroenergetskem omrežju (na ravni prenosa in distribucije). Skladiščna zmogljivost se dodeli na podlagi predhodne opredelitve območij, ki najbolj potrebujejo pomoč, kot so območja z največjimi omejitvami v omrežju ali z največjim prodorom energije iz obnovljivih virov. Projekti se podprejo v višini do 20 % upravičenih stroškov.</w:t>
      </w:r>
    </w:p>
    <w:p w14:paraId="78E4950C" w14:textId="77777777" w:rsidR="00F24946" w:rsidRDefault="00613B06">
      <w:pPr>
        <w:pStyle w:val="P68B1DB1-Bodytext2020"/>
        <w:spacing w:before="40" w:after="0" w:line="259" w:lineRule="auto"/>
        <w:ind w:firstLine="0"/>
        <w:jc w:val="both"/>
        <w:rPr>
          <w:rFonts w:eastAsiaTheme="minorEastAsia" w:cs="Times New Roman"/>
          <w:noProof/>
        </w:rPr>
      </w:pPr>
      <w:r>
        <w:rPr>
          <w:noProof/>
        </w:rPr>
        <w:t>Ta naložba se izvede do 31. decembra 2025.</w:t>
      </w:r>
    </w:p>
    <w:p w14:paraId="60EBD781" w14:textId="7CCDA1C9" w:rsidR="00F24946" w:rsidRDefault="00613B06">
      <w:pPr>
        <w:pStyle w:val="P68B1DB1-Normal5"/>
        <w:keepNext/>
        <w:spacing w:before="240" w:after="0" w:line="259" w:lineRule="auto"/>
        <w:ind w:left="851"/>
        <w:jc w:val="both"/>
        <w:outlineLvl w:val="2"/>
        <w:rPr>
          <w:rFonts w:eastAsiaTheme="minorEastAsia" w:cs="Times New Roman"/>
          <w:noProof/>
        </w:rPr>
      </w:pPr>
      <w:bookmarkStart w:id="47" w:name="_Toc137472488"/>
      <w:r>
        <w:rPr>
          <w:noProof/>
        </w:rPr>
        <w:t xml:space="preserve">Naložba RP-C21-i09: Točka „vse na enem mestu“ za izdajanje dovoljenj in spremljanje projektov na </w:t>
      </w:r>
      <w:bookmarkEnd w:id="47"/>
      <w:r>
        <w:rPr>
          <w:noProof/>
        </w:rPr>
        <w:t>področju energije iz obnovljivih virov</w:t>
      </w:r>
    </w:p>
    <w:p w14:paraId="52B75311" w14:textId="7CBD5A8C" w:rsidR="00F24946" w:rsidRDefault="00613B06">
      <w:pPr>
        <w:pStyle w:val="P68B1DB1-Normal4"/>
        <w:spacing w:beforeLines="40" w:before="96" w:after="0" w:line="22" w:lineRule="atLeast"/>
        <w:jc w:val="both"/>
        <w:rPr>
          <w:rFonts w:cs="Times New Roman"/>
          <w:noProof/>
        </w:rPr>
      </w:pPr>
      <w:r>
        <w:rPr>
          <w:noProof/>
        </w:rPr>
        <w:t xml:space="preserve">Cilj te naložbe je olajšati razvoj projektov na področju energije iz obnovljivih virov z razvojem digitalne platforme „vse na enem mestu“ za izdajanje dovoljenj in spremljanje projektov na področju energije iz obnovljivih virov. </w:t>
      </w:r>
    </w:p>
    <w:p w14:paraId="5DFA9FE5" w14:textId="6B59B56A" w:rsidR="00F24946" w:rsidRDefault="00613B06">
      <w:pPr>
        <w:pStyle w:val="P68B1DB1-Normal4"/>
        <w:spacing w:beforeLines="40" w:before="96" w:after="0" w:line="22" w:lineRule="atLeast"/>
        <w:jc w:val="both"/>
        <w:rPr>
          <w:rFonts w:cs="Times New Roman"/>
          <w:noProof/>
        </w:rPr>
      </w:pPr>
      <w:r>
        <w:rPr>
          <w:noProof/>
        </w:rPr>
        <w:t>Naložba zajema razvoj in vzpostavitev digitalne platforme „vse na enem mestu“. Platforma vključuje naslednje funkcije:</w:t>
      </w:r>
    </w:p>
    <w:p w14:paraId="72D50388" w14:textId="364D295F" w:rsidR="00F24946" w:rsidRDefault="00613B06">
      <w:pPr>
        <w:pStyle w:val="ListParagraph"/>
        <w:keepNext w:val="0"/>
        <w:numPr>
          <w:ilvl w:val="0"/>
          <w:numId w:val="91"/>
        </w:numPr>
        <w:spacing w:beforeLines="40" w:before="96" w:after="0" w:line="22" w:lineRule="atLeast"/>
        <w:rPr>
          <w:rFonts w:eastAsia="MS Mincho"/>
          <w:noProof/>
        </w:rPr>
      </w:pPr>
      <w:r>
        <w:rPr>
          <w:noProof/>
        </w:rPr>
        <w:t>Modul za izdajanje dovoljenj za projekte lastne porabe in skupnosti na področju energije iz obnovljivih virov ter za shranjevanje v sistemih za merjenjem;</w:t>
      </w:r>
    </w:p>
    <w:p w14:paraId="70F57575" w14:textId="53348937" w:rsidR="00F24946" w:rsidRDefault="00613B06">
      <w:pPr>
        <w:pStyle w:val="ListParagraph"/>
        <w:keepNext w:val="0"/>
        <w:numPr>
          <w:ilvl w:val="0"/>
          <w:numId w:val="91"/>
        </w:numPr>
        <w:spacing w:beforeLines="40" w:before="96" w:after="0" w:line="22" w:lineRule="atLeast"/>
        <w:rPr>
          <w:rFonts w:eastAsia="MS Mincho"/>
          <w:noProof/>
        </w:rPr>
      </w:pPr>
      <w:r>
        <w:rPr>
          <w:noProof/>
        </w:rPr>
        <w:t>Modul za izdajanje dovoljenj za centralizirane projekte na področju energije iz obnovljivih virov, ki so namenjeni izključno omrežju, in za shranjevanje v sistemih za merjenjem;</w:t>
      </w:r>
    </w:p>
    <w:p w14:paraId="13A80FDA" w14:textId="77777777" w:rsidR="00F24946" w:rsidRDefault="00613B06">
      <w:pPr>
        <w:pStyle w:val="ListParagraph"/>
        <w:keepNext w:val="0"/>
        <w:numPr>
          <w:ilvl w:val="0"/>
          <w:numId w:val="91"/>
        </w:numPr>
        <w:spacing w:beforeLines="40" w:before="96" w:after="0" w:line="22" w:lineRule="atLeast"/>
        <w:rPr>
          <w:rFonts w:eastAsia="MS Mincho"/>
          <w:noProof/>
        </w:rPr>
      </w:pPr>
      <w:r>
        <w:rPr>
          <w:noProof/>
        </w:rPr>
        <w:t xml:space="preserve">Modul za izdajanje dovoljenj za projekte, namenjene samo skladiščenju; </w:t>
      </w:r>
    </w:p>
    <w:p w14:paraId="3174EBE6" w14:textId="31F04ED3" w:rsidR="00F24946" w:rsidRDefault="00613B06">
      <w:pPr>
        <w:pStyle w:val="ListParagraph"/>
        <w:keepNext w:val="0"/>
        <w:numPr>
          <w:ilvl w:val="0"/>
          <w:numId w:val="91"/>
        </w:numPr>
        <w:spacing w:beforeLines="40" w:before="96" w:after="0" w:line="22" w:lineRule="atLeast"/>
        <w:rPr>
          <w:rFonts w:eastAsia="MS Mincho"/>
          <w:noProof/>
        </w:rPr>
      </w:pPr>
      <w:r>
        <w:rPr>
          <w:noProof/>
        </w:rPr>
        <w:t>Opaznost in statistični modul za projekte na področju energije iz obnovljivih virov.</w:t>
      </w:r>
    </w:p>
    <w:p w14:paraId="6D8A97E4" w14:textId="33FAB76E" w:rsidR="00F24946" w:rsidRDefault="00613B06">
      <w:pPr>
        <w:pStyle w:val="P68B1DB1-Normal4"/>
        <w:spacing w:beforeLines="40" w:before="96" w:after="0" w:line="22" w:lineRule="atLeast"/>
        <w:jc w:val="both"/>
        <w:rPr>
          <w:rFonts w:eastAsia="MS Mincho" w:cs="Times New Roman"/>
          <w:noProof/>
        </w:rPr>
      </w:pPr>
      <w:r>
        <w:rPr>
          <w:noProof/>
        </w:rPr>
        <w:t xml:space="preserve">Točka „vse na enem mestu“ se razvije v dveh fazah: </w:t>
      </w:r>
    </w:p>
    <w:p w14:paraId="78F1EEA6" w14:textId="77777777" w:rsidR="00F24946" w:rsidRDefault="00613B06">
      <w:pPr>
        <w:pStyle w:val="ListParagraph"/>
        <w:keepNext w:val="0"/>
        <w:numPr>
          <w:ilvl w:val="0"/>
          <w:numId w:val="92"/>
        </w:numPr>
        <w:spacing w:beforeLines="40" w:before="96" w:after="0" w:line="22" w:lineRule="atLeast"/>
        <w:rPr>
          <w:rFonts w:eastAsia="MS Mincho"/>
          <w:noProof/>
        </w:rPr>
      </w:pPr>
      <w:r>
        <w:rPr>
          <w:noProof/>
        </w:rPr>
        <w:t xml:space="preserve">V prvi fazi ima digitalna platforma delujoče tri module licenciranja, ki uporabnikom omogočajo spremljanje različnih faz postopka licenciranja (vključno s fazami razvoja, začetka obratovanja, preskušanja in zagona). Platforma predstavi zahteve in roke v zvezi z licenciranjem projektov, povezanih z energijo iz obnovljivih virov. </w:t>
      </w:r>
    </w:p>
    <w:p w14:paraId="745D5B00" w14:textId="77777777" w:rsidR="00F24946" w:rsidRDefault="00613B06">
      <w:pPr>
        <w:pStyle w:val="ListParagraph"/>
        <w:keepNext w:val="0"/>
        <w:numPr>
          <w:ilvl w:val="0"/>
          <w:numId w:val="92"/>
        </w:numPr>
        <w:spacing w:beforeLines="40" w:before="96" w:after="0" w:line="22" w:lineRule="atLeast"/>
        <w:rPr>
          <w:noProof/>
        </w:rPr>
      </w:pPr>
      <w:r>
        <w:rPr>
          <w:noProof/>
        </w:rPr>
        <w:t xml:space="preserve">V drugi fazi ima digitalna platforma delujoče tudi opazovalne in statistične module, ki uporabnikom omogočajo vnos podatkov in izmenjavo dokumentov v zvezi s postopki licenciranja in izvajanjem licenčnega projekta. Platforma vključuje funkcije opazovanja na daljavo (satelitsko slikanje), da se izboljša spremljanje izvajanja projektov s strani javnih organov. </w:t>
      </w:r>
    </w:p>
    <w:p w14:paraId="3C790337" w14:textId="0383A6A5" w:rsidR="00F24946" w:rsidRDefault="00613B06">
      <w:pPr>
        <w:pStyle w:val="P68B1DB1-Normal4"/>
        <w:spacing w:beforeLines="40" w:before="96" w:after="0" w:line="22" w:lineRule="atLeast"/>
        <w:jc w:val="both"/>
        <w:rPr>
          <w:rFonts w:eastAsiaTheme="minorEastAsia" w:cs="Times New Roman"/>
          <w:noProof/>
        </w:rPr>
      </w:pPr>
      <w:r>
        <w:rPr>
          <w:noProof/>
        </w:rPr>
        <w:t xml:space="preserve">Poleg tega naložba vključuje dematerializacijo (digitalizacijo, arhiviranje in odstranjevanje) obstoječih dokumentov za izdajo dovoljenj, kot to določi Generalni direktorat za energetiko in geologijo. </w:t>
      </w:r>
    </w:p>
    <w:p w14:paraId="097D2455" w14:textId="77777777" w:rsidR="00F24946" w:rsidRDefault="00613B06">
      <w:pPr>
        <w:pStyle w:val="P68B1DB1-Normal4"/>
        <w:spacing w:beforeLines="40" w:before="96" w:after="0" w:line="22" w:lineRule="atLeast"/>
        <w:jc w:val="both"/>
        <w:rPr>
          <w:rFonts w:eastAsia="MS Mincho" w:cs="Times New Roman"/>
          <w:noProof/>
        </w:rPr>
      </w:pPr>
      <w:r>
        <w:rPr>
          <w:noProof/>
        </w:rPr>
        <w:t>Točka „vse na enem mestu“ je skladna z „Evropskim kodeksom ravnanja za energijsko učinkovitost podatkovnih centrov“.</w:t>
      </w:r>
    </w:p>
    <w:p w14:paraId="20E79212" w14:textId="77777777" w:rsidR="00F24946" w:rsidRDefault="00613B06">
      <w:pPr>
        <w:pStyle w:val="P68B1DB1-Normal4"/>
        <w:spacing w:beforeLines="40" w:before="96" w:after="0" w:line="22" w:lineRule="atLeast"/>
        <w:jc w:val="both"/>
        <w:rPr>
          <w:rFonts w:cs="Times New Roman"/>
          <w:noProof/>
        </w:rPr>
      </w:pPr>
      <w:r>
        <w:rPr>
          <w:noProof/>
        </w:rPr>
        <w:t xml:space="preserve">Ta naložba se izvede do 30. junija 2025.    </w:t>
      </w:r>
    </w:p>
    <w:p w14:paraId="359C93E7" w14:textId="1F1F1DB0"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RP-C21-i10-RAA: Sistem spodbud za nakup in namestitev sistemov za shranjevanje energije iz obnovljivih virov na Azorih</w:t>
      </w:r>
    </w:p>
    <w:p w14:paraId="52E2CCD9" w14:textId="77777777" w:rsidR="00F24946" w:rsidRDefault="00613B06">
      <w:pPr>
        <w:pStyle w:val="P68B1DB1-Normal4"/>
        <w:spacing w:before="40" w:after="0" w:line="259" w:lineRule="auto"/>
        <w:jc w:val="both"/>
        <w:rPr>
          <w:rFonts w:cs="Times New Roman"/>
          <w:noProof/>
        </w:rPr>
      </w:pPr>
      <w:r>
        <w:rPr>
          <w:noProof/>
        </w:rPr>
        <w:t xml:space="preserve">Cilj te naložbe je spodbujati energetski prehod na Azorih in tako prispevati k povečanju energetske neodvisnosti otočja. </w:t>
      </w:r>
    </w:p>
    <w:p w14:paraId="61D9890E" w14:textId="77777777" w:rsidR="00F24946" w:rsidRDefault="00613B06">
      <w:pPr>
        <w:pStyle w:val="P68B1DB1-Normal4"/>
        <w:spacing w:before="40" w:after="0" w:line="259" w:lineRule="auto"/>
        <w:jc w:val="both"/>
        <w:rPr>
          <w:rFonts w:cs="Times New Roman"/>
          <w:noProof/>
        </w:rPr>
      </w:pPr>
      <w:r>
        <w:rPr>
          <w:noProof/>
        </w:rPr>
        <w:t xml:space="preserve">Naložba je sestavljena iz sistema spodbud za nakup in namestitev sistemov za shranjevanje električne energije iz obnovljivih virov za lastno porabo gospodinjstev, podjetij, zadrug, neprofitnih organizacij in dobrodelnih ustanov. Naložba je v skladu z regionalno zakonsko uredbo 12/2023/A, s katero je bila uvedena do 85-odstotna spodbuda za nakup in namestitev sistemov za shranjevanje energije, kadar so ti namenjeni dopolnitvi fotonapetostnih sistemov, kupljenih v okviru programa spodbud SOLENERGE, ki se financira iz načrta za okrevanje in odpornost (C14-i03-RAA). </w:t>
      </w:r>
    </w:p>
    <w:p w14:paraId="716BD153" w14:textId="77777777" w:rsidR="00F24946" w:rsidRDefault="00613B06">
      <w:pPr>
        <w:pStyle w:val="P68B1DB1-Normal4"/>
        <w:spacing w:before="40" w:after="0" w:line="259" w:lineRule="auto"/>
        <w:jc w:val="both"/>
        <w:rPr>
          <w:rFonts w:cs="Times New Roman"/>
          <w:noProof/>
        </w:rPr>
      </w:pPr>
      <w:r>
        <w:rPr>
          <w:noProof/>
        </w:rPr>
        <w:t xml:space="preserve">Ta naložba se izvede do 31. decembra 2025.  </w:t>
      </w:r>
    </w:p>
    <w:p w14:paraId="47B7A438" w14:textId="07C2A7E2"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Naložbe RP-C21-i11-RAM: Sistem spodbud za proizvodnjo in shranjevanje energije iz obnovljivih virov na Madeiri in Portu Santu</w:t>
      </w:r>
    </w:p>
    <w:p w14:paraId="6B23E104" w14:textId="3138E54B" w:rsidR="00F24946" w:rsidRDefault="00613B06">
      <w:pPr>
        <w:pStyle w:val="P68B1DB1-Normal4"/>
        <w:spacing w:before="40" w:after="0" w:line="259" w:lineRule="auto"/>
        <w:jc w:val="both"/>
        <w:rPr>
          <w:rFonts w:cs="Times New Roman"/>
          <w:noProof/>
        </w:rPr>
      </w:pPr>
      <w:r>
        <w:rPr>
          <w:noProof/>
        </w:rPr>
        <w:t xml:space="preserve">Cilj te naložbe je spodbujati energetski prehod v avtonomni regiji Madeira, vključno z otokom Porto Santo, in prispevati k povečanju njegove energetske neodvisnosti. </w:t>
      </w:r>
    </w:p>
    <w:p w14:paraId="5A7C4D23" w14:textId="2D9E8807" w:rsidR="00F24946" w:rsidRDefault="00613B06">
      <w:pPr>
        <w:pStyle w:val="P68B1DB1-Normal4"/>
        <w:spacing w:before="40" w:after="0" w:line="259" w:lineRule="auto"/>
        <w:jc w:val="both"/>
        <w:rPr>
          <w:rFonts w:cs="Times New Roman"/>
          <w:noProof/>
        </w:rPr>
      </w:pPr>
      <w:r>
        <w:rPr>
          <w:noProof/>
        </w:rPr>
        <w:t>Naložba je sestavljena iz sistema spodbud za nakup in namestitev sistemov za proizvodnjo in shranjevanje električne energije iz obnovljivih virov za lastno porabo ter za nakup in namestitev opreme za proizvodnjo tople vode in toplote z uporabo obnovljivih virov energije s strani gospodinjstev, mikro, malih in srednjih podjetij ter neprofitnih institucij.</w:t>
      </w:r>
    </w:p>
    <w:p w14:paraId="6DA82D20" w14:textId="77777777" w:rsidR="00F24946" w:rsidRDefault="00613B06">
      <w:pPr>
        <w:pStyle w:val="P68B1DB1-Normal4"/>
        <w:spacing w:before="40" w:after="0" w:line="259" w:lineRule="auto"/>
        <w:jc w:val="both"/>
        <w:rPr>
          <w:rFonts w:cs="Times New Roman"/>
          <w:noProof/>
        </w:rPr>
      </w:pPr>
      <w:r>
        <w:rPr>
          <w:noProof/>
        </w:rPr>
        <w:t>Do dodelitve nepovratnih sredstev so upravičeni vsi posamezniki in pravne osebe, ki imajo v lasti stavbo v avtonomni regiji Madeira, razen avtonomne regionalne uprave, lokalne uprave in neposredne državne uprave.</w:t>
      </w:r>
    </w:p>
    <w:p w14:paraId="67D816AA" w14:textId="77777777" w:rsidR="00F24946" w:rsidRDefault="00613B06">
      <w:pPr>
        <w:pStyle w:val="P68B1DB1-Normal4"/>
        <w:spacing w:before="40" w:after="0" w:line="259" w:lineRule="auto"/>
        <w:jc w:val="both"/>
        <w:rPr>
          <w:rFonts w:cs="Times New Roman"/>
          <w:noProof/>
        </w:rPr>
      </w:pPr>
      <w:r>
        <w:rPr>
          <w:noProof/>
        </w:rPr>
        <w:t xml:space="preserve">Ta naložba se izvede do 31. marca 2026.  </w:t>
      </w:r>
    </w:p>
    <w:p w14:paraId="28B947D6" w14:textId="51AF2C64" w:rsidR="00F24946" w:rsidRDefault="00613B06">
      <w:pPr>
        <w:pStyle w:val="P68B1DB1-Normal5"/>
        <w:keepNext/>
        <w:spacing w:before="240" w:after="0" w:line="259" w:lineRule="auto"/>
        <w:ind w:left="851"/>
        <w:jc w:val="both"/>
        <w:outlineLvl w:val="2"/>
        <w:rPr>
          <w:rFonts w:eastAsiaTheme="minorEastAsia" w:cs="Times New Roman"/>
          <w:noProof/>
        </w:rPr>
      </w:pPr>
      <w:bookmarkStart w:id="48" w:name="_Toc137472490"/>
      <w:r>
        <w:rPr>
          <w:noProof/>
        </w:rPr>
        <w:t>Naložba RP-C21-i12: Povečan ukrep: Razogljičenje javnega prevoza</w:t>
      </w:r>
      <w:bookmarkEnd w:id="48"/>
    </w:p>
    <w:p w14:paraId="6705B588" w14:textId="77777777" w:rsidR="00F24946" w:rsidRDefault="00613B06">
      <w:pPr>
        <w:pStyle w:val="P68B1DB1-Normal4"/>
        <w:spacing w:before="40" w:after="0" w:line="259" w:lineRule="auto"/>
        <w:jc w:val="both"/>
        <w:rPr>
          <w:rFonts w:cs="Times New Roman"/>
          <w:noProof/>
        </w:rPr>
      </w:pPr>
      <w:r>
        <w:rPr>
          <w:noProof/>
        </w:rPr>
        <w:t>Cilj naložbe je povečati TC-C-C15-i05: Razogljičenje javnega prevoza v okviru komponente 15.</w:t>
      </w:r>
    </w:p>
    <w:p w14:paraId="6112059C" w14:textId="168CF149" w:rsidR="00F24946" w:rsidRDefault="00613B06">
      <w:pPr>
        <w:pStyle w:val="P68B1DB1-Normal4"/>
        <w:spacing w:before="40" w:after="0" w:line="259" w:lineRule="auto"/>
        <w:jc w:val="both"/>
        <w:rPr>
          <w:rFonts w:cs="Times New Roman"/>
          <w:noProof/>
        </w:rPr>
      </w:pPr>
      <w:r>
        <w:rPr>
          <w:noProof/>
        </w:rPr>
        <w:t>Povečani del ukrepa poveča število novih brezemisijskih avtobusov, ki se uporabljajo za javni prevoz. Obseg naložbe se razširi z metropolitanskih območij Lizbone in Porta na celotno celinsko portugalsko ozemlje ter vključuje tudi namestitev polnilnih ali oskrbovalnih postaj.</w:t>
      </w:r>
    </w:p>
    <w:p w14:paraId="6ED94F94" w14:textId="381133EB" w:rsidR="00F24946" w:rsidRDefault="00613B06">
      <w:pPr>
        <w:pStyle w:val="P68B1DB1-Normal5"/>
        <w:keepNext/>
        <w:spacing w:before="240" w:after="0" w:line="259" w:lineRule="auto"/>
        <w:ind w:left="851"/>
        <w:jc w:val="both"/>
        <w:outlineLvl w:val="2"/>
        <w:rPr>
          <w:rFonts w:eastAsiaTheme="minorEastAsia" w:cs="Times New Roman"/>
          <w:noProof/>
        </w:rPr>
      </w:pPr>
      <w:bookmarkStart w:id="49" w:name="_Toc137472491"/>
      <w:r>
        <w:rPr>
          <w:noProof/>
        </w:rPr>
        <w:t>Naložba RP-C21-i13-RAM: Razogljičenje prometa</w:t>
      </w:r>
      <w:bookmarkEnd w:id="49"/>
    </w:p>
    <w:p w14:paraId="21CED56E" w14:textId="77777777" w:rsidR="00F24946" w:rsidRDefault="00613B06">
      <w:pPr>
        <w:pStyle w:val="P68B1DB1-Normal4"/>
        <w:spacing w:before="40" w:after="0" w:line="259" w:lineRule="auto"/>
        <w:jc w:val="both"/>
        <w:rPr>
          <w:rFonts w:cs="Times New Roman"/>
          <w:noProof/>
        </w:rPr>
      </w:pPr>
      <w:r>
        <w:rPr>
          <w:noProof/>
        </w:rPr>
        <w:t xml:space="preserve">Cilj tega ukrepa je spodbujati razogljičenje prometa v avtonomni regiji Madeira. </w:t>
      </w:r>
    </w:p>
    <w:p w14:paraId="16DEAFC2" w14:textId="77777777" w:rsidR="00F24946" w:rsidRDefault="00613B06">
      <w:pPr>
        <w:pStyle w:val="P68B1DB1-Normal4"/>
        <w:spacing w:before="40" w:after="0" w:line="259" w:lineRule="auto"/>
        <w:jc w:val="both"/>
        <w:rPr>
          <w:rFonts w:cs="Times New Roman"/>
          <w:noProof/>
        </w:rPr>
      </w:pPr>
      <w:r>
        <w:rPr>
          <w:noProof/>
        </w:rPr>
        <w:t>Naložba vključuje:</w:t>
      </w:r>
    </w:p>
    <w:p w14:paraId="7809744C" w14:textId="065D66D6" w:rsidR="00F24946" w:rsidRDefault="00613B06">
      <w:pPr>
        <w:pStyle w:val="P68B1DB1-Normal4"/>
        <w:spacing w:before="40" w:after="0" w:line="259" w:lineRule="auto"/>
        <w:jc w:val="both"/>
        <w:rPr>
          <w:rFonts w:cs="Times New Roman"/>
          <w:noProof/>
        </w:rPr>
      </w:pPr>
      <w:r>
        <w:rPr>
          <w:noProof/>
        </w:rPr>
        <w:t>(I) Nakup 26 brezemisijskih avtobusov (električnih avtobusov ali avtobusov na vodik) za javni potniški promet in turistične storitve.</w:t>
      </w:r>
    </w:p>
    <w:p w14:paraId="1DBF8B1C" w14:textId="53E2B8FF" w:rsidR="00F24946" w:rsidRDefault="00613B06">
      <w:pPr>
        <w:pStyle w:val="P68B1DB1-Normal4"/>
        <w:spacing w:before="40" w:after="0" w:line="259" w:lineRule="auto"/>
        <w:jc w:val="both"/>
        <w:rPr>
          <w:rFonts w:cs="Times New Roman"/>
          <w:noProof/>
        </w:rPr>
      </w:pPr>
      <w:r>
        <w:rPr>
          <w:noProof/>
        </w:rPr>
        <w:t xml:space="preserve">jajcežerke Namestitev polnilnih mest, potrebnih za delovanje avtobusov. </w:t>
      </w:r>
    </w:p>
    <w:p w14:paraId="5848829E" w14:textId="7927C66D" w:rsidR="00F24946" w:rsidRDefault="00613B06">
      <w:pPr>
        <w:pStyle w:val="P68B1DB1-Normal4"/>
        <w:spacing w:before="40" w:after="0" w:line="259" w:lineRule="auto"/>
        <w:jc w:val="both"/>
        <w:rPr>
          <w:rFonts w:cs="Times New Roman"/>
          <w:noProof/>
        </w:rPr>
      </w:pPr>
      <w:r>
        <w:rPr>
          <w:noProof/>
        </w:rPr>
        <w:t xml:space="preserve">(III) Shemo razreza vozil pod pogojem, da jih nadomesti nakup električnih vozil, z najvišjim finančnim prispevkom 6 000 EUR na razrezano vozilo in spodbudami v skladu z različnimi socialno-ekonomskimi kategorijami. </w:t>
      </w:r>
    </w:p>
    <w:p w14:paraId="70C7D23E" w14:textId="77777777" w:rsidR="00F24946" w:rsidRDefault="00613B06">
      <w:pPr>
        <w:pStyle w:val="P68B1DB1-Normal4"/>
        <w:spacing w:before="40" w:after="0" w:line="259" w:lineRule="auto"/>
        <w:jc w:val="both"/>
        <w:rPr>
          <w:rFonts w:cs="Times New Roman"/>
          <w:noProof/>
        </w:rPr>
      </w:pPr>
      <w:r>
        <w:rPr>
          <w:noProof/>
        </w:rPr>
        <w:t xml:space="preserve">Ta naložba se izvede do 31. marca 2026.  </w:t>
      </w:r>
    </w:p>
    <w:p w14:paraId="1AA9D1E2" w14:textId="05F4472D"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 xml:space="preserve">Naložba RP-C21-i14: Avtobusni hitri tranzit Braga </w:t>
      </w:r>
    </w:p>
    <w:p w14:paraId="7FE597E6" w14:textId="77777777" w:rsidR="00F24946" w:rsidRDefault="00613B06">
      <w:pPr>
        <w:pStyle w:val="P68B1DB1-Normal4"/>
        <w:spacing w:before="40" w:after="0" w:line="259" w:lineRule="auto"/>
        <w:jc w:val="both"/>
        <w:rPr>
          <w:rFonts w:cs="Times New Roman"/>
          <w:noProof/>
        </w:rPr>
      </w:pPr>
      <w:r>
        <w:rPr>
          <w:noProof/>
        </w:rPr>
        <w:t>Cilj te naložbe je izboljšati trajnostni javni prevoz v Bragi.</w:t>
      </w:r>
    </w:p>
    <w:p w14:paraId="260159BA" w14:textId="08272C53" w:rsidR="00F24946" w:rsidRDefault="00613B06">
      <w:pPr>
        <w:pStyle w:val="P68B1DB1-Normal4"/>
        <w:spacing w:before="40" w:after="0" w:line="259" w:lineRule="auto"/>
        <w:jc w:val="both"/>
        <w:rPr>
          <w:rFonts w:cs="Times New Roman"/>
          <w:noProof/>
        </w:rPr>
      </w:pPr>
      <w:r>
        <w:rPr>
          <w:noProof/>
        </w:rPr>
        <w:t>Naložba vključuje vzpostavitev novega avtobusnega sistema hitrega tranzita v mestu Braga. Sistem večinoma deluje na namenskih voznih pasovih in ima samo brezemisijske avtobuse (električne avtobuse ali avtobuse na vodik). Zgrajeni sta dve progi: rumena črta med železniško postajo in Avenida Robert Smith ter rdečo črto med železniško postajo in bolnišnico Braga.</w:t>
      </w:r>
    </w:p>
    <w:p w14:paraId="1CDC0220" w14:textId="36D380BF" w:rsidR="00F24946" w:rsidRDefault="00613B06">
      <w:pPr>
        <w:pStyle w:val="P68B1DB1-Normal4"/>
        <w:spacing w:before="40" w:after="0" w:line="259" w:lineRule="auto"/>
        <w:jc w:val="both"/>
        <w:rPr>
          <w:rFonts w:cs="Times New Roman"/>
          <w:noProof/>
        </w:rPr>
      </w:pPr>
      <w:r>
        <w:rPr>
          <w:noProof/>
        </w:rPr>
        <w:t xml:space="preserve">Naložba vključuje tudi nakup desetih brezemisijskih avtobusov, vključno s polnilnimi postajami, potrebnimi za upravljanje vodov.  </w:t>
      </w:r>
    </w:p>
    <w:p w14:paraId="3F4A3907" w14:textId="77777777" w:rsidR="00F24946" w:rsidRDefault="00613B06">
      <w:pPr>
        <w:pStyle w:val="P68B1DB1-Normal4"/>
        <w:spacing w:before="40" w:after="0" w:line="259" w:lineRule="auto"/>
        <w:jc w:val="both"/>
        <w:rPr>
          <w:rFonts w:cs="Times New Roman"/>
          <w:noProof/>
        </w:rPr>
      </w:pPr>
      <w:r>
        <w:rPr>
          <w:noProof/>
        </w:rPr>
        <w:t xml:space="preserve">Ta naložba se izvede do 30. junija 2026.  </w:t>
      </w:r>
    </w:p>
    <w:p w14:paraId="39CFA3B4" w14:textId="075B3B54" w:rsidR="00F24946" w:rsidRDefault="00613B06">
      <w:pPr>
        <w:pStyle w:val="P68B1DB1-Normal5"/>
        <w:keepNext/>
        <w:spacing w:before="240" w:after="0" w:line="259" w:lineRule="auto"/>
        <w:ind w:left="851"/>
        <w:jc w:val="both"/>
        <w:outlineLvl w:val="2"/>
        <w:rPr>
          <w:rFonts w:eastAsiaTheme="minorEastAsia" w:cs="Times New Roman"/>
          <w:noProof/>
        </w:rPr>
      </w:pPr>
      <w:bookmarkStart w:id="50" w:name="_Toc137472492"/>
      <w:r>
        <w:rPr>
          <w:noProof/>
        </w:rPr>
        <w:t xml:space="preserve">Naložba RP-C21-i15-RAA: Nakup dveh električnih </w:t>
      </w:r>
      <w:bookmarkEnd w:id="50"/>
      <w:r>
        <w:rPr>
          <w:noProof/>
        </w:rPr>
        <w:t>trajektov</w:t>
      </w:r>
    </w:p>
    <w:p w14:paraId="6DC814CB" w14:textId="77777777" w:rsidR="00F24946" w:rsidRDefault="00613B06">
      <w:pPr>
        <w:pStyle w:val="P68B1DB1-Normal4"/>
        <w:spacing w:before="40" w:after="0" w:line="259" w:lineRule="auto"/>
        <w:jc w:val="both"/>
        <w:rPr>
          <w:rFonts w:cs="Times New Roman"/>
          <w:noProof/>
        </w:rPr>
      </w:pPr>
      <w:r>
        <w:rPr>
          <w:noProof/>
        </w:rPr>
        <w:t xml:space="preserve">Cilj te naložbe je spodbuditi razogljičenje prometa in notranjo mobilnost v avtonomni regiji Azori. </w:t>
      </w:r>
    </w:p>
    <w:p w14:paraId="2FD2AFE0" w14:textId="487179FD" w:rsidR="00F24946" w:rsidRDefault="00613B06">
      <w:pPr>
        <w:pStyle w:val="P68B1DB1-Normal4"/>
        <w:spacing w:before="40" w:after="0" w:line="259" w:lineRule="auto"/>
        <w:jc w:val="both"/>
        <w:rPr>
          <w:rFonts w:cs="Times New Roman"/>
          <w:noProof/>
        </w:rPr>
      </w:pPr>
      <w:r>
        <w:rPr>
          <w:noProof/>
        </w:rPr>
        <w:t>Naložba zajema nakup dveh električnih trajektov za javno podjetje Atlanticoline S.A. za prevoz potnikov in vozil med otoki Pico, Faial in São Jorge. Trajekti imajo najmanj 200 in 100 potnikov.</w:t>
      </w:r>
    </w:p>
    <w:p w14:paraId="40B1EF3B" w14:textId="77777777" w:rsidR="00F24946" w:rsidRDefault="00613B06">
      <w:pPr>
        <w:pStyle w:val="P68B1DB1-Normal4"/>
        <w:spacing w:before="40" w:after="0" w:line="259" w:lineRule="auto"/>
        <w:jc w:val="both"/>
        <w:rPr>
          <w:rFonts w:cs="Times New Roman"/>
          <w:noProof/>
        </w:rPr>
      </w:pPr>
      <w:r>
        <w:rPr>
          <w:noProof/>
        </w:rPr>
        <w:t xml:space="preserve">Ta naložba se izvede do 31. decembra 2025. </w:t>
      </w:r>
    </w:p>
    <w:p w14:paraId="72E1DF93" w14:textId="6FEAFE37"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Naložba RP-C21-i16: Nazaré Funicular</w:t>
      </w:r>
    </w:p>
    <w:p w14:paraId="5E4AFA32" w14:textId="77777777" w:rsidR="00F24946" w:rsidRDefault="00613B06">
      <w:pPr>
        <w:pStyle w:val="P68B1DB1-Normal4"/>
        <w:spacing w:before="40" w:after="0" w:line="259" w:lineRule="auto"/>
        <w:jc w:val="both"/>
        <w:rPr>
          <w:rFonts w:cs="Times New Roman"/>
          <w:noProof/>
        </w:rPr>
      </w:pPr>
      <w:r>
        <w:rPr>
          <w:noProof/>
        </w:rPr>
        <w:t xml:space="preserve">Namen te naložbe je zagotoviti trajnostni javni prevoz v Nazaréju. </w:t>
      </w:r>
    </w:p>
    <w:p w14:paraId="7D6D2A4D" w14:textId="77777777" w:rsidR="00F24946" w:rsidRDefault="00613B06">
      <w:pPr>
        <w:pStyle w:val="P68B1DB1-Normal4"/>
        <w:spacing w:before="40" w:after="0" w:line="259" w:lineRule="auto"/>
        <w:jc w:val="both"/>
        <w:rPr>
          <w:rFonts w:cs="Times New Roman"/>
          <w:noProof/>
        </w:rPr>
      </w:pPr>
      <w:r>
        <w:rPr>
          <w:noProof/>
        </w:rPr>
        <w:t>Naložba vključuje uporabo mehanske transportne raztopine (funikularne) dolžine približno 200 metrov med Praio in območjem Pedreneira. Žičnica se vključi v javno prometno omrežje in je dostopna kolesom in osebam z omejeno mobilnostjo.</w:t>
      </w:r>
    </w:p>
    <w:p w14:paraId="39B86464" w14:textId="77777777" w:rsidR="00F24946" w:rsidRDefault="00613B06">
      <w:pPr>
        <w:pStyle w:val="P68B1DB1-Normal4"/>
        <w:spacing w:before="40" w:after="0" w:line="259" w:lineRule="auto"/>
        <w:jc w:val="both"/>
        <w:rPr>
          <w:rFonts w:cs="Times New Roman"/>
          <w:noProof/>
        </w:rPr>
        <w:sectPr w:rsidR="00F24946" w:rsidSect="00E00EDD">
          <w:headerReference w:type="even" r:id="rId368"/>
          <w:headerReference w:type="default" r:id="rId369"/>
          <w:footerReference w:type="even" r:id="rId370"/>
          <w:footerReference w:type="default" r:id="rId371"/>
          <w:headerReference w:type="first" r:id="rId372"/>
          <w:footerReference w:type="first" r:id="rId373"/>
          <w:pgSz w:w="11906" w:h="16838"/>
          <w:pgMar w:top="1134" w:right="1134" w:bottom="1134" w:left="1134" w:header="567" w:footer="567" w:gutter="0"/>
          <w:cols w:space="708"/>
          <w:docGrid w:linePitch="360"/>
        </w:sectPr>
      </w:pPr>
      <w:r>
        <w:rPr>
          <w:noProof/>
        </w:rPr>
        <w:t>Ta naložba se izvede do 31. marca 2026.</w:t>
      </w:r>
    </w:p>
    <w:p w14:paraId="0274D0A2" w14:textId="267B412C"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U.2. Mejniki, cilji, kazalniki in časovni razpored za spremljanje in izvajanje nepovratne finančne podpore Naslednje;</w:t>
      </w:r>
    </w:p>
    <w:p w14:paraId="7DFE2BC4" w14:textId="77777777" w:rsidR="00F24946" w:rsidRDefault="00F24946">
      <w:pPr>
        <w:spacing w:after="0"/>
        <w:jc w:val="both"/>
        <w:rPr>
          <w:rFonts w:ascii="Times New Roman"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F24946" w14:paraId="2FB90E61" w14:textId="77777777">
        <w:trPr>
          <w:trHeight w:val="910"/>
          <w:tblHeader/>
        </w:trPr>
        <w:tc>
          <w:tcPr>
            <w:tcW w:w="1135" w:type="dxa"/>
            <w:vMerge w:val="restart"/>
            <w:shd w:val="clear" w:color="auto" w:fill="BDD6EE"/>
            <w:vAlign w:val="center"/>
            <w:hideMark/>
          </w:tcPr>
          <w:p w14:paraId="6370AB5A"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vAlign w:val="center"/>
            <w:hideMark/>
          </w:tcPr>
          <w:p w14:paraId="746A88F0"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vAlign w:val="center"/>
            <w:hideMark/>
          </w:tcPr>
          <w:p w14:paraId="361458F2"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1701" w:type="dxa"/>
            <w:vMerge w:val="restart"/>
            <w:shd w:val="clear" w:color="auto" w:fill="BDD6EE"/>
            <w:vAlign w:val="center"/>
            <w:hideMark/>
          </w:tcPr>
          <w:p w14:paraId="45A51C32" w14:textId="77777777" w:rsidR="00F24946" w:rsidRDefault="00613B06">
            <w:pPr>
              <w:pStyle w:val="P68B1DB1-Normal6"/>
              <w:spacing w:after="0" w:line="240" w:lineRule="auto"/>
              <w:jc w:val="center"/>
              <w:rPr>
                <w:rFonts w:eastAsia="Times New Roman" w:cs="Times New Roman"/>
                <w:noProof/>
              </w:rPr>
            </w:pPr>
            <w:r>
              <w:rPr>
                <w:noProof/>
              </w:rPr>
              <w:t>Ime</w:t>
            </w:r>
          </w:p>
        </w:tc>
        <w:tc>
          <w:tcPr>
            <w:tcW w:w="1275" w:type="dxa"/>
            <w:vMerge w:val="restart"/>
            <w:shd w:val="clear" w:color="auto" w:fill="BDD6EE"/>
            <w:vAlign w:val="center"/>
            <w:hideMark/>
          </w:tcPr>
          <w:p w14:paraId="6A3793A9"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977" w:type="dxa"/>
            <w:gridSpan w:val="3"/>
            <w:shd w:val="clear" w:color="auto" w:fill="BDD6EE"/>
            <w:vAlign w:val="center"/>
            <w:hideMark/>
          </w:tcPr>
          <w:p w14:paraId="7128B101"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vAlign w:val="center"/>
            <w:hideMark/>
          </w:tcPr>
          <w:p w14:paraId="411B61CF" w14:textId="77777777" w:rsidR="00F24946" w:rsidRDefault="00613B06">
            <w:pPr>
              <w:pStyle w:val="P68B1DB1-Normal6"/>
              <w:spacing w:after="0" w:line="240" w:lineRule="auto"/>
              <w:jc w:val="center"/>
              <w:rPr>
                <w:rFonts w:eastAsia="Times New Roman" w:cs="Times New Roman"/>
                <w:noProof/>
              </w:rPr>
            </w:pPr>
            <w:r>
              <w:rPr>
                <w:noProof/>
              </w:rPr>
              <w:t>Okvirni časovni razpored za dokončanje</w:t>
            </w:r>
          </w:p>
        </w:tc>
        <w:tc>
          <w:tcPr>
            <w:tcW w:w="3969" w:type="dxa"/>
            <w:vMerge w:val="restart"/>
            <w:shd w:val="clear" w:color="auto" w:fill="BDD6EE"/>
            <w:vAlign w:val="center"/>
            <w:hideMark/>
          </w:tcPr>
          <w:p w14:paraId="52841226"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1758BE16" w14:textId="77777777">
        <w:trPr>
          <w:trHeight w:val="470"/>
          <w:tblHeader/>
        </w:trPr>
        <w:tc>
          <w:tcPr>
            <w:tcW w:w="1135" w:type="dxa"/>
            <w:vMerge/>
            <w:vAlign w:val="center"/>
            <w:hideMark/>
          </w:tcPr>
          <w:p w14:paraId="69695928"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098E3D09"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30C82C28" w14:textId="77777777" w:rsidR="00F24946" w:rsidRDefault="00F24946">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0A52C29E" w14:textId="77777777" w:rsidR="00F24946" w:rsidRDefault="00F24946">
            <w:pPr>
              <w:spacing w:after="0" w:line="240" w:lineRule="auto"/>
              <w:jc w:val="center"/>
              <w:rPr>
                <w:rFonts w:ascii="Times New Roman" w:eastAsia="Times New Roman" w:hAnsi="Times New Roman" w:cs="Times New Roman"/>
                <w:b/>
                <w:noProof/>
                <w:sz w:val="18"/>
              </w:rPr>
            </w:pPr>
          </w:p>
        </w:tc>
        <w:tc>
          <w:tcPr>
            <w:tcW w:w="1275" w:type="dxa"/>
            <w:vMerge/>
            <w:vAlign w:val="center"/>
            <w:hideMark/>
          </w:tcPr>
          <w:p w14:paraId="2400D0D6" w14:textId="77777777" w:rsidR="00F24946" w:rsidRDefault="00F24946">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E586660"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vAlign w:val="center"/>
            <w:hideMark/>
          </w:tcPr>
          <w:p w14:paraId="305C5967"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992" w:type="dxa"/>
            <w:shd w:val="clear" w:color="auto" w:fill="BDD6EE"/>
            <w:vAlign w:val="center"/>
            <w:hideMark/>
          </w:tcPr>
          <w:p w14:paraId="61DE86CD"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vAlign w:val="center"/>
            <w:hideMark/>
          </w:tcPr>
          <w:p w14:paraId="30E66421"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19C10EB" w14:textId="77777777" w:rsidR="00F24946" w:rsidRDefault="00613B06">
            <w:pPr>
              <w:pStyle w:val="P68B1DB1-Normal6"/>
              <w:spacing w:after="0" w:line="240" w:lineRule="auto"/>
              <w:jc w:val="center"/>
              <w:rPr>
                <w:rFonts w:eastAsia="Times New Roman" w:cs="Times New Roman"/>
                <w:noProof/>
              </w:rPr>
            </w:pPr>
            <w:r>
              <w:rPr>
                <w:noProof/>
              </w:rPr>
              <w:t>Leto</w:t>
            </w:r>
          </w:p>
        </w:tc>
        <w:tc>
          <w:tcPr>
            <w:tcW w:w="3969" w:type="dxa"/>
            <w:vMerge/>
            <w:vAlign w:val="center"/>
            <w:hideMark/>
          </w:tcPr>
          <w:p w14:paraId="2B41D36D" w14:textId="77777777" w:rsidR="00F24946" w:rsidRDefault="00F24946">
            <w:pPr>
              <w:spacing w:after="0" w:line="240" w:lineRule="auto"/>
              <w:jc w:val="both"/>
              <w:rPr>
                <w:rFonts w:ascii="Times New Roman" w:eastAsia="Times New Roman" w:hAnsi="Times New Roman" w:cs="Times New Roman"/>
                <w:b/>
                <w:noProof/>
                <w:sz w:val="18"/>
              </w:rPr>
            </w:pPr>
          </w:p>
        </w:tc>
      </w:tr>
      <w:tr w:rsidR="00F24946" w14:paraId="1B415B45" w14:textId="77777777">
        <w:trPr>
          <w:trHeight w:val="430"/>
        </w:trPr>
        <w:tc>
          <w:tcPr>
            <w:tcW w:w="1135" w:type="dxa"/>
            <w:shd w:val="clear" w:color="auto" w:fill="C4EFCE"/>
            <w:vAlign w:val="center"/>
          </w:tcPr>
          <w:p w14:paraId="42812264" w14:textId="024AEF5D" w:rsidR="00F24946" w:rsidRDefault="00613B06">
            <w:pPr>
              <w:pStyle w:val="P68B1DB1-Normal11"/>
              <w:spacing w:after="0" w:line="240" w:lineRule="auto"/>
              <w:jc w:val="center"/>
              <w:rPr>
                <w:rFonts w:eastAsia="Times New Roman" w:cstheme="minorHAnsi"/>
                <w:noProof/>
              </w:rPr>
            </w:pPr>
            <w:r>
              <w:rPr>
                <w:noProof/>
              </w:rPr>
              <w:t>21.1</w:t>
            </w:r>
          </w:p>
        </w:tc>
        <w:tc>
          <w:tcPr>
            <w:tcW w:w="1276" w:type="dxa"/>
            <w:shd w:val="clear" w:color="auto" w:fill="C4EFCE"/>
            <w:noWrap/>
            <w:vAlign w:val="center"/>
          </w:tcPr>
          <w:p w14:paraId="6F112C58" w14:textId="0FCD6E79" w:rsidR="00F24946" w:rsidRDefault="00613B06">
            <w:pPr>
              <w:pStyle w:val="P68B1DB1-Normal12"/>
              <w:spacing w:after="0" w:line="240" w:lineRule="auto"/>
              <w:jc w:val="center"/>
              <w:rPr>
                <w:rFonts w:eastAsia="Times New Roman" w:cstheme="minorHAnsi"/>
                <w:noProof/>
              </w:rPr>
            </w:pPr>
            <w:r>
              <w:rPr>
                <w:noProof/>
              </w:rPr>
              <w:t>RP-C21-i01</w:t>
            </w:r>
          </w:p>
        </w:tc>
        <w:tc>
          <w:tcPr>
            <w:tcW w:w="1134" w:type="dxa"/>
            <w:shd w:val="clear" w:color="auto" w:fill="C4EFCE"/>
            <w:noWrap/>
            <w:vAlign w:val="center"/>
          </w:tcPr>
          <w:p w14:paraId="00DF19E5" w14:textId="5713C776"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9F1054A" w14:textId="2CD7F0DB" w:rsidR="00F24946" w:rsidRDefault="00613B06">
            <w:pPr>
              <w:pStyle w:val="P68B1DB1-Normal12"/>
              <w:spacing w:after="0" w:line="240" w:lineRule="auto"/>
              <w:jc w:val="center"/>
              <w:rPr>
                <w:rFonts w:eastAsia="Times New Roman" w:cstheme="minorHAnsi"/>
                <w:noProof/>
              </w:rPr>
            </w:pPr>
            <w:r>
              <w:rPr>
                <w:noProof/>
              </w:rPr>
              <w:t>Finančna podpora poenostavljenim projektom za razogljičenje industrije</w:t>
            </w:r>
          </w:p>
        </w:tc>
        <w:tc>
          <w:tcPr>
            <w:tcW w:w="1275" w:type="dxa"/>
            <w:shd w:val="clear" w:color="auto" w:fill="C4EFCE"/>
            <w:noWrap/>
            <w:vAlign w:val="center"/>
          </w:tcPr>
          <w:p w14:paraId="7E64A9F8" w14:textId="7B347046"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76D97C60" w14:textId="733FC61D"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1085590D" w14:textId="21F3462D" w:rsidR="00F24946" w:rsidRDefault="00613B06">
            <w:pPr>
              <w:pStyle w:val="P68B1DB1-Normal12"/>
              <w:spacing w:after="0" w:line="240" w:lineRule="auto"/>
              <w:jc w:val="center"/>
              <w:rPr>
                <w:rFonts w:eastAsia="Times New Roman" w:cstheme="minorHAnsi"/>
                <w:noProof/>
              </w:rPr>
            </w:pPr>
            <w:r>
              <w:rPr>
                <w:noProof/>
              </w:rPr>
              <w:t>310</w:t>
            </w:r>
          </w:p>
        </w:tc>
        <w:tc>
          <w:tcPr>
            <w:tcW w:w="992" w:type="dxa"/>
            <w:shd w:val="clear" w:color="auto" w:fill="C4EFCE"/>
            <w:noWrap/>
            <w:vAlign w:val="center"/>
          </w:tcPr>
          <w:p w14:paraId="66B60A08" w14:textId="70EBD20F" w:rsidR="00F24946" w:rsidRDefault="00613B06">
            <w:pPr>
              <w:pStyle w:val="P68B1DB1-Normal12"/>
              <w:spacing w:after="0" w:line="240" w:lineRule="auto"/>
              <w:jc w:val="center"/>
              <w:rPr>
                <w:rFonts w:eastAsia="Times New Roman" w:cstheme="minorHAnsi"/>
                <w:noProof/>
              </w:rPr>
            </w:pPr>
            <w:r>
              <w:rPr>
                <w:noProof/>
              </w:rPr>
              <w:t>810</w:t>
            </w:r>
          </w:p>
        </w:tc>
        <w:tc>
          <w:tcPr>
            <w:tcW w:w="567" w:type="dxa"/>
            <w:shd w:val="clear" w:color="auto" w:fill="C4EFCE"/>
            <w:noWrap/>
            <w:vAlign w:val="center"/>
          </w:tcPr>
          <w:p w14:paraId="70ABCB97" w14:textId="6E42FAD2"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09AE5546" w14:textId="1A9D3DD5"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000A03D3" w14:textId="05550CD8" w:rsidR="00F24946" w:rsidRDefault="00613B06">
            <w:pPr>
              <w:pStyle w:val="P68B1DB1-Normal12"/>
              <w:spacing w:after="0" w:line="240" w:lineRule="auto"/>
              <w:jc w:val="both"/>
              <w:rPr>
                <w:rFonts w:eastAsia="Times New Roman" w:cstheme="minorHAnsi"/>
                <w:noProof/>
              </w:rPr>
            </w:pPr>
            <w:r>
              <w:rPr>
                <w:noProof/>
              </w:rPr>
              <w:t>Število projektov, ki so prejeli finančno podporo za razogljičenje industrije in se nanašajo na vsaj eno od naslednjih področij: nizkoogljični procesi in tehnologije; sprejetje ukrepov za energetsko učinkovitost; ter vključitev energije iz obnovljivih virov in shranjevanja energije. Za podprte industrijske naprave se zagotovita povprečno 30-odstotno zmanjšanje neposrednih in posrednih emisij toplogrednih plinov za projekte, ki ustrezajo področju intervencije 024b, in skladnost s tehničnimi smernicami, da se ne škoduje bistveno (2021/C58/01), tudi za naprave, vključene v sistem EU za trgovanje z emisijami, da se zagotovi, da podprte naprave dosegajo predvidene emisije toplogrednih plinov pod referenčno vrednostjo, določeno za brezplačno dodelitev, kot je določeno v Izvedbeni uredbi Komisije (EU) 2021/447.</w:t>
            </w:r>
          </w:p>
        </w:tc>
      </w:tr>
      <w:tr w:rsidR="00F24946" w14:paraId="2C3FFB3B" w14:textId="77777777">
        <w:trPr>
          <w:trHeight w:val="430"/>
        </w:trPr>
        <w:tc>
          <w:tcPr>
            <w:tcW w:w="1135" w:type="dxa"/>
            <w:shd w:val="clear" w:color="auto" w:fill="C4EFCE"/>
            <w:vAlign w:val="center"/>
          </w:tcPr>
          <w:p w14:paraId="0747785A" w14:textId="48735E30" w:rsidR="00F24946" w:rsidRDefault="00613B06">
            <w:pPr>
              <w:pStyle w:val="P68B1DB1-Normal11"/>
              <w:spacing w:after="0" w:line="240" w:lineRule="auto"/>
              <w:jc w:val="center"/>
              <w:rPr>
                <w:rFonts w:eastAsia="Times New Roman" w:cstheme="minorHAnsi"/>
                <w:noProof/>
              </w:rPr>
            </w:pPr>
            <w:r>
              <w:rPr>
                <w:noProof/>
              </w:rPr>
              <w:t>21.2</w:t>
            </w:r>
          </w:p>
        </w:tc>
        <w:tc>
          <w:tcPr>
            <w:tcW w:w="1276" w:type="dxa"/>
            <w:shd w:val="clear" w:color="auto" w:fill="C4EFCE"/>
            <w:noWrap/>
            <w:vAlign w:val="center"/>
          </w:tcPr>
          <w:p w14:paraId="5BE0D3A2" w14:textId="6FC836BB" w:rsidR="00F24946" w:rsidRDefault="00613B06">
            <w:pPr>
              <w:pStyle w:val="P68B1DB1-Normal12"/>
              <w:spacing w:after="0" w:line="240" w:lineRule="auto"/>
              <w:jc w:val="center"/>
              <w:rPr>
                <w:rFonts w:eastAsia="Times New Roman"/>
                <w:noProof/>
              </w:rPr>
            </w:pPr>
            <w:r>
              <w:rPr>
                <w:noProof/>
              </w:rPr>
              <w:t>RP-C21-i02</w:t>
            </w:r>
          </w:p>
        </w:tc>
        <w:tc>
          <w:tcPr>
            <w:tcW w:w="1134" w:type="dxa"/>
            <w:shd w:val="clear" w:color="auto" w:fill="C4EFCE"/>
            <w:noWrap/>
            <w:vAlign w:val="center"/>
          </w:tcPr>
          <w:p w14:paraId="5B23DDDE" w14:textId="3F052B9B"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A037CB2" w14:textId="4466B745" w:rsidR="00F24946" w:rsidRDefault="00613B06">
            <w:pPr>
              <w:pStyle w:val="P68B1DB1-Normal12"/>
              <w:spacing w:after="0" w:line="240" w:lineRule="auto"/>
              <w:jc w:val="center"/>
              <w:rPr>
                <w:rFonts w:eastAsia="Times New Roman" w:cstheme="minorHAnsi"/>
                <w:noProof/>
              </w:rPr>
            </w:pPr>
            <w:r>
              <w:rPr>
                <w:noProof/>
              </w:rPr>
              <w:t>Energijska prenova zasebnih stanovanjskih stavb</w:t>
            </w:r>
          </w:p>
        </w:tc>
        <w:tc>
          <w:tcPr>
            <w:tcW w:w="1275" w:type="dxa"/>
            <w:shd w:val="clear" w:color="auto" w:fill="C4EFCE"/>
            <w:noWrap/>
            <w:vAlign w:val="center"/>
          </w:tcPr>
          <w:p w14:paraId="42D3737C" w14:textId="3391A35D"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022613" w14:textId="753503B1" w:rsidR="00F24946" w:rsidRDefault="00613B06">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E7B926C" w14:textId="0DDBA67F"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5AD2C2C" w14:textId="1AD9FE5B" w:rsidR="00F24946" w:rsidRDefault="00613B06">
            <w:pPr>
              <w:pStyle w:val="P68B1DB1-Normal12"/>
              <w:spacing w:after="0" w:line="240" w:lineRule="auto"/>
              <w:jc w:val="center"/>
              <w:rPr>
                <w:rFonts w:eastAsia="Times New Roman" w:cstheme="minorHAnsi"/>
                <w:noProof/>
              </w:rPr>
            </w:pPr>
            <w:r>
              <w:rPr>
                <w:noProof/>
              </w:rPr>
              <w:t>6 588 000</w:t>
            </w:r>
          </w:p>
        </w:tc>
        <w:tc>
          <w:tcPr>
            <w:tcW w:w="567" w:type="dxa"/>
            <w:shd w:val="clear" w:color="auto" w:fill="C4EFCE"/>
            <w:noWrap/>
            <w:vAlign w:val="center"/>
          </w:tcPr>
          <w:p w14:paraId="3F848666" w14:textId="13CEF6EA"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5A24DEE7" w14:textId="05E31959"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450107E" w14:textId="77777777" w:rsidR="00F24946" w:rsidRDefault="00613B06">
            <w:pPr>
              <w:pStyle w:val="P68B1DB1-Bodytext1013"/>
              <w:spacing w:after="0" w:line="240" w:lineRule="auto"/>
              <w:jc w:val="both"/>
              <w:rPr>
                <w:rFonts w:cstheme="minorBidi"/>
                <w:noProof/>
              </w:rPr>
            </w:pPr>
            <w:r>
              <w:rPr>
                <w:noProof/>
              </w:rPr>
              <w:t>Območje obnovljenih zasebnih stanovanjskih stavb. Prenove za energijsko učinkovitost v povprečju dosežejo vsaj srednje temeljito prenovo, kot je opredeljena v Priporočilu Komisije o prenovi stavb (EU) 2019/786.</w:t>
            </w:r>
          </w:p>
          <w:p w14:paraId="53883AAE" w14:textId="07B5302D" w:rsidR="00F24946" w:rsidRDefault="00613B06">
            <w:pPr>
              <w:pStyle w:val="P68B1DB1-Normal12"/>
              <w:spacing w:after="0" w:line="240" w:lineRule="auto"/>
              <w:jc w:val="both"/>
              <w:rPr>
                <w:rFonts w:eastAsia="Times New Roman"/>
                <w:noProof/>
              </w:rPr>
            </w:pPr>
            <w:r>
              <w:rPr>
                <w:noProof/>
              </w:rPr>
              <w:t>60 % tlorisne površine, prenovljene v okviru te naložbe, je v večstanovanjskih stavbah.</w:t>
            </w:r>
          </w:p>
        </w:tc>
      </w:tr>
      <w:tr w:rsidR="00F24946" w14:paraId="43A42DC3" w14:textId="77777777">
        <w:trPr>
          <w:trHeight w:val="430"/>
        </w:trPr>
        <w:tc>
          <w:tcPr>
            <w:tcW w:w="1135" w:type="dxa"/>
            <w:shd w:val="clear" w:color="auto" w:fill="C4EFCE"/>
            <w:vAlign w:val="center"/>
          </w:tcPr>
          <w:p w14:paraId="212EC2F2" w14:textId="10638F5D" w:rsidR="00F24946" w:rsidRDefault="00613B06">
            <w:pPr>
              <w:pStyle w:val="P68B1DB1-Normal11"/>
              <w:spacing w:after="0" w:line="240" w:lineRule="auto"/>
              <w:jc w:val="center"/>
              <w:rPr>
                <w:rFonts w:eastAsia="Times New Roman" w:cstheme="minorHAnsi"/>
                <w:noProof/>
              </w:rPr>
            </w:pPr>
            <w:r>
              <w:rPr>
                <w:noProof/>
              </w:rPr>
              <w:t>21.3</w:t>
            </w:r>
          </w:p>
        </w:tc>
        <w:tc>
          <w:tcPr>
            <w:tcW w:w="1276" w:type="dxa"/>
            <w:shd w:val="clear" w:color="auto" w:fill="C4EFCE"/>
            <w:noWrap/>
            <w:vAlign w:val="center"/>
          </w:tcPr>
          <w:p w14:paraId="19F97C7B" w14:textId="567F96C9" w:rsidR="00F24946" w:rsidRDefault="00613B06">
            <w:pPr>
              <w:pStyle w:val="P68B1DB1-Normal12"/>
              <w:spacing w:after="0" w:line="240" w:lineRule="auto"/>
              <w:jc w:val="center"/>
              <w:rPr>
                <w:rFonts w:eastAsia="Times New Roman" w:cstheme="minorHAnsi"/>
                <w:noProof/>
              </w:rPr>
            </w:pPr>
            <w:r>
              <w:rPr>
                <w:noProof/>
              </w:rPr>
              <w:t>RP-C21-i02</w:t>
            </w:r>
          </w:p>
        </w:tc>
        <w:tc>
          <w:tcPr>
            <w:tcW w:w="1134" w:type="dxa"/>
            <w:shd w:val="clear" w:color="auto" w:fill="C4EFCE"/>
            <w:noWrap/>
            <w:vAlign w:val="center"/>
          </w:tcPr>
          <w:p w14:paraId="132947DD" w14:textId="77C8791A"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1B6A035" w14:textId="694C7A54" w:rsidR="00F24946" w:rsidRDefault="00613B06">
            <w:pPr>
              <w:pStyle w:val="P68B1DB1-Normal12"/>
              <w:spacing w:after="0" w:line="240" w:lineRule="auto"/>
              <w:jc w:val="center"/>
              <w:rPr>
                <w:rFonts w:eastAsia="Times New Roman" w:cstheme="minorHAnsi"/>
                <w:noProof/>
              </w:rPr>
            </w:pPr>
            <w:r>
              <w:rPr>
                <w:noProof/>
              </w:rPr>
              <w:t>Dodatne zmogljivosti za proizvodnjo energije iz obnovljivih virov za lastno porabo in za uporabo v zasebnem stanovanjskem sektorju</w:t>
            </w:r>
          </w:p>
        </w:tc>
        <w:tc>
          <w:tcPr>
            <w:tcW w:w="1275" w:type="dxa"/>
            <w:shd w:val="clear" w:color="auto" w:fill="C4EFCE"/>
            <w:noWrap/>
            <w:vAlign w:val="center"/>
          </w:tcPr>
          <w:p w14:paraId="462CF090" w14:textId="485EB454"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159FF3" w14:textId="7438D3FA"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9A60CBC" w14:textId="43291961"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24371DF" w14:textId="1ABF65F2" w:rsidR="00F24946" w:rsidRDefault="00613B06">
            <w:pPr>
              <w:pStyle w:val="P68B1DB1-Normal12"/>
              <w:spacing w:after="0" w:line="240" w:lineRule="auto"/>
              <w:jc w:val="center"/>
              <w:rPr>
                <w:rFonts w:eastAsia="Times New Roman" w:cstheme="minorHAnsi"/>
                <w:noProof/>
              </w:rPr>
            </w:pPr>
            <w:r>
              <w:rPr>
                <w:noProof/>
              </w:rPr>
              <w:t>10</w:t>
            </w:r>
          </w:p>
        </w:tc>
        <w:tc>
          <w:tcPr>
            <w:tcW w:w="567" w:type="dxa"/>
            <w:shd w:val="clear" w:color="auto" w:fill="C4EFCE"/>
            <w:noWrap/>
            <w:vAlign w:val="center"/>
          </w:tcPr>
          <w:p w14:paraId="10744F3B" w14:textId="3BB6C83C"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59104E64" w14:textId="6E2C7F09"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C1262EC" w14:textId="61BF6995" w:rsidR="00F24946" w:rsidRDefault="00613B06">
            <w:pPr>
              <w:pStyle w:val="P68B1DB1-Bodytext1013"/>
              <w:spacing w:after="0" w:line="240" w:lineRule="auto"/>
              <w:jc w:val="both"/>
              <w:rPr>
                <w:rFonts w:cstheme="minorBidi"/>
                <w:noProof/>
              </w:rPr>
            </w:pPr>
            <w:r>
              <w:rPr>
                <w:noProof/>
              </w:rPr>
              <w:t>Dodatna zmogljivost za proizvodnjo energije iz obnovljivih virov (kot so fotonapetostni paneli in baterije, ko ta tehnologija dozori) za lastno porabo in uporabo v zasebnem stanovanjskem sektorju.</w:t>
            </w:r>
          </w:p>
          <w:p w14:paraId="619C48DD" w14:textId="545238A6" w:rsidR="00F24946" w:rsidRDefault="00F24946">
            <w:pPr>
              <w:spacing w:after="0" w:line="240" w:lineRule="auto"/>
              <w:jc w:val="both"/>
              <w:rPr>
                <w:rFonts w:eastAsia="Times New Roman"/>
                <w:noProof/>
                <w:sz w:val="16"/>
              </w:rPr>
            </w:pPr>
          </w:p>
        </w:tc>
      </w:tr>
      <w:tr w:rsidR="00F24946" w14:paraId="73882A16" w14:textId="77777777">
        <w:trPr>
          <w:trHeight w:val="430"/>
        </w:trPr>
        <w:tc>
          <w:tcPr>
            <w:tcW w:w="1135" w:type="dxa"/>
            <w:shd w:val="clear" w:color="auto" w:fill="C4EFCE"/>
            <w:vAlign w:val="center"/>
          </w:tcPr>
          <w:p w14:paraId="15BBD858" w14:textId="5C3A7649" w:rsidR="00F24946" w:rsidRDefault="00613B06">
            <w:pPr>
              <w:pStyle w:val="P68B1DB1-Normal11"/>
              <w:spacing w:after="0" w:line="240" w:lineRule="auto"/>
              <w:jc w:val="center"/>
              <w:rPr>
                <w:rFonts w:eastAsia="Times New Roman" w:cstheme="minorHAnsi"/>
                <w:noProof/>
              </w:rPr>
            </w:pPr>
            <w:r>
              <w:rPr>
                <w:noProof/>
              </w:rPr>
              <w:t>21.4</w:t>
            </w:r>
          </w:p>
        </w:tc>
        <w:tc>
          <w:tcPr>
            <w:tcW w:w="1276" w:type="dxa"/>
            <w:shd w:val="clear" w:color="auto" w:fill="C4EFCE"/>
            <w:noWrap/>
            <w:vAlign w:val="center"/>
          </w:tcPr>
          <w:p w14:paraId="62676A47" w14:textId="49D8AEF4" w:rsidR="00F24946" w:rsidRDefault="00613B06">
            <w:pPr>
              <w:pStyle w:val="P68B1DB1-Normal12"/>
              <w:spacing w:after="0" w:line="240" w:lineRule="auto"/>
              <w:jc w:val="center"/>
              <w:rPr>
                <w:rFonts w:eastAsia="Times New Roman" w:cstheme="minorHAnsi"/>
                <w:noProof/>
              </w:rPr>
            </w:pPr>
            <w:r>
              <w:rPr>
                <w:noProof/>
              </w:rPr>
              <w:t>RP-C21-i03</w:t>
            </w:r>
          </w:p>
        </w:tc>
        <w:tc>
          <w:tcPr>
            <w:tcW w:w="1134" w:type="dxa"/>
            <w:shd w:val="clear" w:color="auto" w:fill="C4EFCE"/>
            <w:noWrap/>
            <w:vAlign w:val="center"/>
          </w:tcPr>
          <w:p w14:paraId="34651C7B" w14:textId="18BC97B7"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60269BC" w14:textId="16150F7D" w:rsidR="00F24946" w:rsidRDefault="00613B06">
            <w:pPr>
              <w:pStyle w:val="P68B1DB1-Normal12"/>
              <w:spacing w:after="0" w:line="240" w:lineRule="auto"/>
              <w:jc w:val="center"/>
              <w:rPr>
                <w:rFonts w:eastAsia="Times New Roman" w:cstheme="minorHAnsi"/>
                <w:noProof/>
              </w:rPr>
            </w:pPr>
            <w:r>
              <w:rPr>
                <w:noProof/>
              </w:rPr>
              <w:t>Energijska prenova storitvenih stavb</w:t>
            </w:r>
          </w:p>
        </w:tc>
        <w:tc>
          <w:tcPr>
            <w:tcW w:w="1275" w:type="dxa"/>
            <w:shd w:val="clear" w:color="auto" w:fill="C4EFCE"/>
            <w:noWrap/>
            <w:vAlign w:val="center"/>
          </w:tcPr>
          <w:p w14:paraId="459F1CF9" w14:textId="40FFF73E"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2767D5" w14:textId="36BCCE48" w:rsidR="00F24946" w:rsidRDefault="00613B06">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6C71504" w14:textId="4B820CEF" w:rsidR="00F24946" w:rsidRDefault="00613B06">
            <w:pPr>
              <w:pStyle w:val="P68B1DB1-Normal12"/>
              <w:spacing w:after="0" w:line="240" w:lineRule="auto"/>
              <w:jc w:val="center"/>
              <w:rPr>
                <w:rFonts w:eastAsia="Times New Roman"/>
                <w:noProof/>
              </w:rPr>
            </w:pPr>
            <w:r>
              <w:rPr>
                <w:noProof/>
              </w:rPr>
              <w:t>360,000</w:t>
            </w:r>
          </w:p>
        </w:tc>
        <w:tc>
          <w:tcPr>
            <w:tcW w:w="992" w:type="dxa"/>
            <w:shd w:val="clear" w:color="auto" w:fill="C4EFCE"/>
            <w:noWrap/>
            <w:vAlign w:val="center"/>
          </w:tcPr>
          <w:p w14:paraId="4E7E34F6" w14:textId="24377808" w:rsidR="00F24946" w:rsidRDefault="00613B06">
            <w:pPr>
              <w:pStyle w:val="P68B1DB1-Normal12"/>
              <w:spacing w:after="0" w:line="240" w:lineRule="auto"/>
              <w:jc w:val="center"/>
              <w:rPr>
                <w:rFonts w:eastAsia="Times New Roman"/>
                <w:noProof/>
              </w:rPr>
            </w:pPr>
            <w:r>
              <w:rPr>
                <w:noProof/>
              </w:rPr>
              <w:t>1 060 000</w:t>
            </w:r>
          </w:p>
        </w:tc>
        <w:tc>
          <w:tcPr>
            <w:tcW w:w="567" w:type="dxa"/>
            <w:shd w:val="clear" w:color="auto" w:fill="C4EFCE"/>
            <w:noWrap/>
            <w:vAlign w:val="center"/>
          </w:tcPr>
          <w:p w14:paraId="5AC29A9B" w14:textId="18572D01"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76B212F5" w14:textId="63663A41"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3D5C6F9" w14:textId="23A297C7" w:rsidR="00F24946" w:rsidRDefault="00613B06">
            <w:pPr>
              <w:pStyle w:val="P68B1DB1-Bodytext1013"/>
              <w:spacing w:after="0" w:line="240" w:lineRule="auto"/>
              <w:jc w:val="both"/>
              <w:rPr>
                <w:rFonts w:cstheme="minorBidi"/>
                <w:noProof/>
              </w:rPr>
            </w:pPr>
            <w:r>
              <w:rPr>
                <w:noProof/>
              </w:rPr>
              <w:t>Skupna površina stavb, ki se uporabljajo v storitvenem sektorju in so predmet prenove za energijsko učinkovitost.</w:t>
            </w:r>
          </w:p>
          <w:p w14:paraId="288E3B5D" w14:textId="3DBE8827" w:rsidR="00F24946" w:rsidRDefault="00613B06">
            <w:pPr>
              <w:pStyle w:val="P68B1DB1-Normal12"/>
              <w:spacing w:after="0" w:line="240" w:lineRule="auto"/>
              <w:jc w:val="both"/>
              <w:rPr>
                <w:rFonts w:eastAsia="Times New Roman" w:cstheme="minorHAnsi"/>
                <w:noProof/>
              </w:rPr>
            </w:pPr>
            <w:r>
              <w:rPr>
                <w:noProof/>
              </w:rPr>
              <w:t>Prenove za energijsko učinkovitost v povprečju dosežejo vsaj srednje temeljito prenovo, kot je opredeljena v Priporočilu Komisije o prenovi stavb (EU) 2019/786.</w:t>
            </w:r>
          </w:p>
        </w:tc>
      </w:tr>
      <w:tr w:rsidR="00F24946" w14:paraId="51B258CA" w14:textId="77777777">
        <w:trPr>
          <w:trHeight w:val="430"/>
        </w:trPr>
        <w:tc>
          <w:tcPr>
            <w:tcW w:w="1135" w:type="dxa"/>
            <w:shd w:val="clear" w:color="auto" w:fill="C4EFCE"/>
            <w:vAlign w:val="center"/>
          </w:tcPr>
          <w:p w14:paraId="2644F217" w14:textId="22F80D52" w:rsidR="00F24946" w:rsidRDefault="00613B06">
            <w:pPr>
              <w:pStyle w:val="P68B1DB1-Normal11"/>
              <w:spacing w:after="0" w:line="240" w:lineRule="auto"/>
              <w:jc w:val="center"/>
              <w:rPr>
                <w:rFonts w:eastAsia="Times New Roman" w:cstheme="minorHAnsi"/>
                <w:noProof/>
              </w:rPr>
            </w:pPr>
            <w:r>
              <w:rPr>
                <w:noProof/>
              </w:rPr>
              <w:t>21.5</w:t>
            </w:r>
          </w:p>
        </w:tc>
        <w:tc>
          <w:tcPr>
            <w:tcW w:w="1276" w:type="dxa"/>
            <w:shd w:val="clear" w:color="auto" w:fill="C4EFCE"/>
            <w:noWrap/>
            <w:vAlign w:val="center"/>
          </w:tcPr>
          <w:p w14:paraId="3E081706" w14:textId="65AC1B46" w:rsidR="00F24946" w:rsidRDefault="00613B06">
            <w:pPr>
              <w:pStyle w:val="P68B1DB1-Bodytext1013"/>
              <w:rPr>
                <w:rFonts w:cstheme="minorHAnsi"/>
                <w:noProof/>
              </w:rPr>
            </w:pPr>
            <w:r>
              <w:rPr>
                <w:noProof/>
              </w:rPr>
              <w:t>RP-21-i04-RAM</w:t>
            </w:r>
          </w:p>
        </w:tc>
        <w:tc>
          <w:tcPr>
            <w:tcW w:w="1134" w:type="dxa"/>
            <w:shd w:val="clear" w:color="auto" w:fill="C4EFCE"/>
            <w:noWrap/>
            <w:vAlign w:val="center"/>
          </w:tcPr>
          <w:p w14:paraId="576823A2" w14:textId="761EF1D1"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12BF19D" w14:textId="12ED4A50" w:rsidR="00F24946" w:rsidRDefault="00613B06">
            <w:pPr>
              <w:pStyle w:val="P68B1DB1-Normal12"/>
              <w:spacing w:after="0" w:line="240" w:lineRule="auto"/>
              <w:jc w:val="center"/>
              <w:rPr>
                <w:rFonts w:eastAsia="Times New Roman"/>
                <w:noProof/>
              </w:rPr>
            </w:pPr>
            <w:r>
              <w:rPr>
                <w:noProof/>
              </w:rPr>
              <w:t>Dodatne zmogljivosti za proizvodnjo energije iz obnovljivih virov za lastno porabo in uporabo energije iz obnovljivih virov v skupnosti v prenovljenih javnih stavbah</w:t>
            </w:r>
          </w:p>
        </w:tc>
        <w:tc>
          <w:tcPr>
            <w:tcW w:w="1275" w:type="dxa"/>
            <w:shd w:val="clear" w:color="auto" w:fill="C4EFCE"/>
            <w:noWrap/>
            <w:vAlign w:val="center"/>
          </w:tcPr>
          <w:p w14:paraId="1DE1063A" w14:textId="66359CB1"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5CB8B204" w14:textId="31C920AC"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34922037" w14:textId="7CAC268A" w:rsidR="00F24946" w:rsidRDefault="00613B06">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64EAB2DF" w14:textId="7012C39E" w:rsidR="00F24946" w:rsidRDefault="00613B06">
            <w:pPr>
              <w:pStyle w:val="P68B1DB1-Normal12"/>
              <w:spacing w:after="0" w:line="240" w:lineRule="auto"/>
              <w:jc w:val="center"/>
              <w:rPr>
                <w:rFonts w:eastAsia="Times New Roman" w:cstheme="minorHAnsi"/>
                <w:noProof/>
              </w:rPr>
            </w:pPr>
            <w:r>
              <w:rPr>
                <w:noProof/>
              </w:rPr>
              <w:t>1.3</w:t>
            </w:r>
          </w:p>
        </w:tc>
        <w:tc>
          <w:tcPr>
            <w:tcW w:w="567" w:type="dxa"/>
            <w:shd w:val="clear" w:color="auto" w:fill="C4EFCE"/>
            <w:noWrap/>
            <w:vAlign w:val="center"/>
          </w:tcPr>
          <w:p w14:paraId="1ADD0D80" w14:textId="19F06FDD"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2D5B9DF9" w14:textId="38003732"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EC83552" w14:textId="34489AEE" w:rsidR="00F24946" w:rsidRDefault="00613B06">
            <w:pPr>
              <w:pStyle w:val="P68B1DB1-Bodytext1013"/>
              <w:spacing w:after="0" w:line="240" w:lineRule="auto"/>
              <w:jc w:val="both"/>
              <w:rPr>
                <w:rFonts w:cstheme="minorBidi"/>
                <w:noProof/>
              </w:rPr>
            </w:pPr>
            <w:r>
              <w:rPr>
                <w:noProof/>
              </w:rPr>
              <w:t>Dodatne zmogljivosti za proizvodnjo energije iz obnovljivih virov za lastno porabo v javnih stavbah.</w:t>
            </w:r>
          </w:p>
        </w:tc>
      </w:tr>
      <w:tr w:rsidR="00F24946" w14:paraId="468840B8" w14:textId="77777777">
        <w:trPr>
          <w:trHeight w:val="1519"/>
        </w:trPr>
        <w:tc>
          <w:tcPr>
            <w:tcW w:w="1135" w:type="dxa"/>
            <w:shd w:val="clear" w:color="auto" w:fill="C4EFCE"/>
            <w:vAlign w:val="center"/>
          </w:tcPr>
          <w:p w14:paraId="48117054" w14:textId="0841057E" w:rsidR="00F24946" w:rsidRDefault="00613B06">
            <w:pPr>
              <w:pStyle w:val="P68B1DB1-Normal11"/>
              <w:spacing w:after="0" w:line="240" w:lineRule="auto"/>
              <w:jc w:val="center"/>
              <w:rPr>
                <w:rFonts w:eastAsia="Times New Roman" w:cstheme="minorHAnsi"/>
                <w:noProof/>
              </w:rPr>
            </w:pPr>
            <w:r>
              <w:rPr>
                <w:noProof/>
              </w:rPr>
              <w:t>21.6</w:t>
            </w:r>
          </w:p>
        </w:tc>
        <w:tc>
          <w:tcPr>
            <w:tcW w:w="1276" w:type="dxa"/>
            <w:shd w:val="clear" w:color="auto" w:fill="C4EFCE"/>
            <w:noWrap/>
            <w:vAlign w:val="center"/>
          </w:tcPr>
          <w:p w14:paraId="600F3363" w14:textId="417C60DB" w:rsidR="00F24946" w:rsidRDefault="00613B06">
            <w:pPr>
              <w:pStyle w:val="P68B1DB1-Normal12"/>
              <w:spacing w:after="0" w:line="240" w:lineRule="auto"/>
              <w:jc w:val="center"/>
              <w:rPr>
                <w:rFonts w:eastAsia="Times New Roman" w:cstheme="minorHAnsi"/>
                <w:noProof/>
              </w:rPr>
            </w:pPr>
            <w:r>
              <w:rPr>
                <w:noProof/>
              </w:rPr>
              <w:t>RP-21-i04-RAM</w:t>
            </w:r>
          </w:p>
        </w:tc>
        <w:tc>
          <w:tcPr>
            <w:tcW w:w="1134" w:type="dxa"/>
            <w:shd w:val="clear" w:color="auto" w:fill="C4EFCE"/>
            <w:noWrap/>
            <w:vAlign w:val="center"/>
          </w:tcPr>
          <w:p w14:paraId="423333E2" w14:textId="5B9C803B"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15A338D" w14:textId="1DF04D00" w:rsidR="00F24946" w:rsidRDefault="00613B06">
            <w:pPr>
              <w:pStyle w:val="P68B1DB1-Normal12"/>
              <w:spacing w:after="0" w:line="240" w:lineRule="auto"/>
              <w:jc w:val="center"/>
              <w:rPr>
                <w:rFonts w:eastAsia="Times New Roman" w:cstheme="minorHAnsi"/>
                <w:noProof/>
              </w:rPr>
            </w:pPr>
            <w:r>
              <w:rPr>
                <w:noProof/>
              </w:rPr>
              <w:t>Energetska prenova stavb v javnih službah</w:t>
            </w:r>
          </w:p>
        </w:tc>
        <w:tc>
          <w:tcPr>
            <w:tcW w:w="1275" w:type="dxa"/>
            <w:shd w:val="clear" w:color="auto" w:fill="C4EFCE"/>
            <w:noWrap/>
            <w:vAlign w:val="center"/>
          </w:tcPr>
          <w:p w14:paraId="3C7888E1" w14:textId="26C6AC41"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72805B6" w14:textId="2ECAF662" w:rsidR="00F24946" w:rsidRDefault="00613B06">
            <w:pPr>
              <w:pStyle w:val="P68B1DB1-Normal12"/>
              <w:spacing w:after="0" w:line="240" w:lineRule="auto"/>
              <w:jc w:val="center"/>
              <w:rPr>
                <w:rFonts w:eastAsia="Times New Roman" w:cstheme="minorHAnsi"/>
                <w:noProof/>
              </w:rPr>
            </w:pPr>
            <w:r>
              <w:rPr>
                <w:noProof/>
              </w:rPr>
              <w:t>M</w:t>
            </w:r>
            <w:r>
              <w:rPr>
                <w:noProof/>
                <w:vertAlign w:val="superscript"/>
              </w:rPr>
              <w:t>2</w:t>
            </w:r>
          </w:p>
        </w:tc>
        <w:tc>
          <w:tcPr>
            <w:tcW w:w="992" w:type="dxa"/>
            <w:shd w:val="clear" w:color="auto" w:fill="C4EFCE"/>
            <w:noWrap/>
            <w:vAlign w:val="center"/>
          </w:tcPr>
          <w:p w14:paraId="55701F7C" w14:textId="5FDE8DB7" w:rsidR="00F24946" w:rsidRDefault="00613B06">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4974C85D" w14:textId="02953CA5" w:rsidR="00F24946" w:rsidRDefault="00613B06">
            <w:pPr>
              <w:pStyle w:val="P68B1DB1-Normal12"/>
              <w:spacing w:after="0" w:line="240" w:lineRule="auto"/>
              <w:jc w:val="center"/>
              <w:rPr>
                <w:rFonts w:eastAsia="Times New Roman" w:cstheme="minorHAnsi"/>
                <w:noProof/>
              </w:rPr>
            </w:pPr>
            <w:r>
              <w:rPr>
                <w:noProof/>
              </w:rPr>
              <w:t xml:space="preserve">105 000 </w:t>
            </w:r>
          </w:p>
        </w:tc>
        <w:tc>
          <w:tcPr>
            <w:tcW w:w="567" w:type="dxa"/>
            <w:shd w:val="clear" w:color="auto" w:fill="C4EFCE"/>
            <w:noWrap/>
            <w:vAlign w:val="center"/>
          </w:tcPr>
          <w:p w14:paraId="20377C57" w14:textId="6049AE31"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0BA9E64F" w14:textId="05AC713C"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4380BFB2" w14:textId="453CB997" w:rsidR="00F24946" w:rsidRDefault="00613B06">
            <w:pPr>
              <w:pStyle w:val="P68B1DB1-CommentText21"/>
              <w:spacing w:line="240" w:lineRule="auto"/>
              <w:rPr>
                <w:rFonts w:cstheme="minorBidi"/>
                <w:noProof/>
              </w:rPr>
            </w:pPr>
            <w:r>
              <w:rPr>
                <w:noProof/>
              </w:rPr>
              <w:t>Na skupni površini 105000 kvadratnih metrov v javnih stavbah se izvedejo prenove za energijsko učinkovitost.</w:t>
            </w:r>
          </w:p>
          <w:p w14:paraId="0FF509DE" w14:textId="5DF839FB" w:rsidR="00F24946" w:rsidRDefault="00613B06">
            <w:pPr>
              <w:pStyle w:val="P68B1DB1-Bodytext1013"/>
              <w:spacing w:after="0" w:line="240" w:lineRule="auto"/>
              <w:jc w:val="both"/>
              <w:rPr>
                <w:rFonts w:cstheme="minorBidi"/>
                <w:noProof/>
              </w:rPr>
            </w:pPr>
            <w:r>
              <w:rPr>
                <w:noProof/>
              </w:rPr>
              <w:t>Prenove za energijsko učinkovitost v povprečju dosežejo vsaj srednje temeljito prenovo, kot je opredeljena v Priporočilu Komisije o prenovi stavb (EU) 2019/786.</w:t>
            </w:r>
          </w:p>
        </w:tc>
      </w:tr>
      <w:tr w:rsidR="00F24946" w14:paraId="58D7856D" w14:textId="77777777">
        <w:trPr>
          <w:trHeight w:val="430"/>
        </w:trPr>
        <w:tc>
          <w:tcPr>
            <w:tcW w:w="1135" w:type="dxa"/>
            <w:shd w:val="clear" w:color="auto" w:fill="C4EFCE"/>
            <w:vAlign w:val="center"/>
          </w:tcPr>
          <w:p w14:paraId="2251B7BA" w14:textId="61C2CEA5" w:rsidR="00F24946" w:rsidRDefault="00613B06">
            <w:pPr>
              <w:pStyle w:val="P68B1DB1-Normal11"/>
              <w:spacing w:after="0" w:line="240" w:lineRule="auto"/>
              <w:jc w:val="center"/>
              <w:rPr>
                <w:rFonts w:eastAsia="Times New Roman" w:cstheme="minorHAnsi"/>
                <w:noProof/>
              </w:rPr>
            </w:pPr>
            <w:r>
              <w:rPr>
                <w:noProof/>
              </w:rPr>
              <w:t>21.7</w:t>
            </w:r>
          </w:p>
        </w:tc>
        <w:tc>
          <w:tcPr>
            <w:tcW w:w="1276" w:type="dxa"/>
            <w:shd w:val="clear" w:color="auto" w:fill="C4EFCE"/>
            <w:noWrap/>
            <w:vAlign w:val="center"/>
          </w:tcPr>
          <w:p w14:paraId="34021876" w14:textId="08C5790C" w:rsidR="00F24946" w:rsidRDefault="00613B06">
            <w:pPr>
              <w:pStyle w:val="P68B1DB1-Bodytext1013"/>
              <w:rPr>
                <w:rFonts w:eastAsia="Times New Roman félkövér" w:cstheme="minorHAnsi"/>
                <w:noProof/>
              </w:rPr>
            </w:pPr>
            <w:r>
              <w:rPr>
                <w:noProof/>
              </w:rPr>
              <w:t>RP-C21-r43</w:t>
            </w:r>
          </w:p>
        </w:tc>
        <w:tc>
          <w:tcPr>
            <w:tcW w:w="1134" w:type="dxa"/>
            <w:shd w:val="clear" w:color="auto" w:fill="C4EFCE"/>
            <w:noWrap/>
            <w:vAlign w:val="center"/>
          </w:tcPr>
          <w:p w14:paraId="4F71420E" w14:textId="56F3F28B"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6FFEF19" w14:textId="67ACAB84" w:rsidR="00F24946" w:rsidRDefault="00613B06">
            <w:pPr>
              <w:pStyle w:val="P68B1DB1-Normal12"/>
              <w:spacing w:after="0" w:line="240" w:lineRule="auto"/>
              <w:jc w:val="center"/>
              <w:rPr>
                <w:rFonts w:eastAsia="Times New Roman" w:cstheme="minorHAnsi"/>
                <w:noProof/>
              </w:rPr>
            </w:pPr>
            <w:r>
              <w:rPr>
                <w:noProof/>
              </w:rPr>
              <w:t>Začetek veljavnosti zakonodaje o ustanovitvi nacionalne opazovalnice za energijsko revščino (ONPE)</w:t>
            </w:r>
          </w:p>
        </w:tc>
        <w:tc>
          <w:tcPr>
            <w:tcW w:w="1275" w:type="dxa"/>
            <w:shd w:val="clear" w:color="auto" w:fill="C4EFCE"/>
            <w:noWrap/>
            <w:vAlign w:val="center"/>
          </w:tcPr>
          <w:p w14:paraId="63846E04" w14:textId="72701C97" w:rsidR="00F24946" w:rsidRDefault="00613B06">
            <w:pPr>
              <w:pStyle w:val="P68B1DB1-Normal12"/>
              <w:spacing w:after="0" w:line="240" w:lineRule="auto"/>
              <w:jc w:val="center"/>
              <w:rPr>
                <w:noProof/>
              </w:rPr>
            </w:pPr>
            <w:r>
              <w:rPr>
                <w:noProof/>
              </w:rPr>
              <w:t xml:space="preserve">Določba v zakonodajnem aktu o začetku veljavnosti zakonodaje </w:t>
            </w:r>
          </w:p>
        </w:tc>
        <w:tc>
          <w:tcPr>
            <w:tcW w:w="993" w:type="dxa"/>
            <w:shd w:val="clear" w:color="auto" w:fill="C4EFCE"/>
            <w:noWrap/>
            <w:vAlign w:val="center"/>
          </w:tcPr>
          <w:p w14:paraId="6A7D8AC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D421A1B" w14:textId="45638A68"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BF07CE4"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73F3ECB3" w14:textId="16C19931"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6FCC7FDE" w14:textId="1C1EA560"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135256C5" w14:textId="58D90D2E" w:rsidR="00F24946" w:rsidRDefault="00613B06">
            <w:pPr>
              <w:pStyle w:val="P68B1DB1-Normal12"/>
              <w:spacing w:after="0" w:line="240" w:lineRule="auto"/>
              <w:jc w:val="both"/>
              <w:rPr>
                <w:rFonts w:eastAsia="Times New Roman"/>
                <w:noProof/>
              </w:rPr>
            </w:pPr>
            <w:r>
              <w:rPr>
                <w:noProof/>
              </w:rPr>
              <w:t>Začetek veljavnosti zakonodaje o ustanovitvi nacionalne opazovalnice za energijsko revščino („ONPE)“, vključno z opredelitvijo upravljanja, odgovornosti in namenov, kot je določeno v opisu ukrepa.</w:t>
            </w:r>
          </w:p>
        </w:tc>
      </w:tr>
      <w:tr w:rsidR="00F24946" w14:paraId="516DA8F8" w14:textId="77777777">
        <w:trPr>
          <w:trHeight w:val="430"/>
        </w:trPr>
        <w:tc>
          <w:tcPr>
            <w:tcW w:w="1135" w:type="dxa"/>
            <w:shd w:val="clear" w:color="auto" w:fill="C4EFCE"/>
            <w:vAlign w:val="center"/>
          </w:tcPr>
          <w:p w14:paraId="34B69183" w14:textId="15D64060" w:rsidR="00F24946" w:rsidRDefault="00613B06">
            <w:pPr>
              <w:pStyle w:val="P68B1DB1-Normal11"/>
              <w:spacing w:after="0" w:line="240" w:lineRule="auto"/>
              <w:jc w:val="center"/>
              <w:rPr>
                <w:rFonts w:eastAsia="Times New Roman" w:cstheme="minorHAnsi"/>
                <w:noProof/>
              </w:rPr>
            </w:pPr>
            <w:r>
              <w:rPr>
                <w:noProof/>
              </w:rPr>
              <w:t>21.8</w:t>
            </w:r>
          </w:p>
        </w:tc>
        <w:tc>
          <w:tcPr>
            <w:tcW w:w="1276" w:type="dxa"/>
            <w:shd w:val="clear" w:color="auto" w:fill="C4EFCE"/>
            <w:noWrap/>
            <w:vAlign w:val="center"/>
          </w:tcPr>
          <w:p w14:paraId="5AF91C70" w14:textId="57FF3B22" w:rsidR="00F24946" w:rsidRDefault="00613B06">
            <w:pPr>
              <w:pStyle w:val="P68B1DB1-Normal12"/>
              <w:spacing w:after="0" w:line="240" w:lineRule="auto"/>
              <w:jc w:val="center"/>
              <w:rPr>
                <w:rFonts w:eastAsia="Times New Roman" w:cstheme="minorHAnsi"/>
                <w:noProof/>
              </w:rPr>
            </w:pPr>
            <w:r>
              <w:rPr>
                <w:noProof/>
              </w:rPr>
              <w:t>RP-C21-r43</w:t>
            </w:r>
          </w:p>
        </w:tc>
        <w:tc>
          <w:tcPr>
            <w:tcW w:w="1134" w:type="dxa"/>
            <w:shd w:val="clear" w:color="auto" w:fill="C4EFCE"/>
            <w:noWrap/>
            <w:vAlign w:val="center"/>
          </w:tcPr>
          <w:p w14:paraId="21C4EA54" w14:textId="0E98EABF"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A5E52BD" w14:textId="730B2BA6" w:rsidR="00F24946" w:rsidRDefault="00613B06">
            <w:pPr>
              <w:pStyle w:val="P68B1DB1-Normal12"/>
              <w:spacing w:after="0" w:line="240" w:lineRule="auto"/>
              <w:jc w:val="center"/>
              <w:rPr>
                <w:rFonts w:eastAsia="Times New Roman"/>
                <w:noProof/>
              </w:rPr>
            </w:pPr>
            <w:r>
              <w:rPr>
                <w:noProof/>
              </w:rPr>
              <w:t>Uvedba instrumenta financiranja za boj proti energijski revščini</w:t>
            </w:r>
          </w:p>
        </w:tc>
        <w:tc>
          <w:tcPr>
            <w:tcW w:w="1275" w:type="dxa"/>
            <w:shd w:val="clear" w:color="auto" w:fill="C4EFCE"/>
            <w:noWrap/>
            <w:vAlign w:val="center"/>
          </w:tcPr>
          <w:p w14:paraId="2F98D54F" w14:textId="6858B98B" w:rsidR="00F24946" w:rsidRDefault="00613B06">
            <w:pPr>
              <w:pStyle w:val="P68B1DB1-Normal12"/>
              <w:spacing w:after="0" w:line="240" w:lineRule="auto"/>
              <w:jc w:val="center"/>
              <w:rPr>
                <w:noProof/>
              </w:rPr>
            </w:pPr>
            <w:r>
              <w:rPr>
                <w:noProof/>
              </w:rPr>
              <w:t>Uvedba instrumenta financiranja za boj proti energijski revščini</w:t>
            </w:r>
          </w:p>
        </w:tc>
        <w:tc>
          <w:tcPr>
            <w:tcW w:w="993" w:type="dxa"/>
            <w:shd w:val="clear" w:color="auto" w:fill="C4EFCE"/>
            <w:noWrap/>
            <w:vAlign w:val="center"/>
          </w:tcPr>
          <w:p w14:paraId="153BF777"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89159D0"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B2F4246"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1F0E5CBC" w14:textId="5963C01D"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050861F5" w14:textId="62CDF1FF"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DA29653" w14:textId="4B8FCA14" w:rsidR="00F24946" w:rsidRDefault="00613B06">
            <w:pPr>
              <w:pStyle w:val="P68B1DB1-Normal12"/>
              <w:spacing w:after="0" w:line="240" w:lineRule="auto"/>
              <w:jc w:val="both"/>
              <w:rPr>
                <w:rFonts w:eastAsia="Times New Roman"/>
                <w:noProof/>
              </w:rPr>
            </w:pPr>
            <w:r>
              <w:rPr>
                <w:noProof/>
              </w:rPr>
              <w:t>Uvedba instrumenta financiranja za ukrepe za energijsko učinkovitost v stanovanjskem sektorju za boj proti energijski revščini za opredeljene profile gospodinjstev. To se sprejme z začetkom veljavnosti ustrezne zakonodaje ali s sprejetjem sklepa finančne institucije.</w:t>
            </w:r>
          </w:p>
        </w:tc>
      </w:tr>
      <w:tr w:rsidR="00F24946" w14:paraId="76ADC491" w14:textId="77777777">
        <w:trPr>
          <w:trHeight w:val="430"/>
        </w:trPr>
        <w:tc>
          <w:tcPr>
            <w:tcW w:w="1135" w:type="dxa"/>
            <w:shd w:val="clear" w:color="auto" w:fill="C4EFCE"/>
            <w:vAlign w:val="center"/>
          </w:tcPr>
          <w:p w14:paraId="624C6CC1" w14:textId="2FA7289B" w:rsidR="00F24946" w:rsidRDefault="00613B06">
            <w:pPr>
              <w:pStyle w:val="P68B1DB1-Normal11"/>
              <w:spacing w:after="0" w:line="240" w:lineRule="auto"/>
              <w:jc w:val="center"/>
              <w:rPr>
                <w:rFonts w:eastAsia="Times New Roman" w:cstheme="minorHAnsi"/>
                <w:noProof/>
              </w:rPr>
            </w:pPr>
            <w:r>
              <w:rPr>
                <w:noProof/>
              </w:rPr>
              <w:t>21.9</w:t>
            </w:r>
          </w:p>
        </w:tc>
        <w:tc>
          <w:tcPr>
            <w:tcW w:w="1276" w:type="dxa"/>
            <w:shd w:val="clear" w:color="auto" w:fill="C4EFCE"/>
            <w:noWrap/>
            <w:vAlign w:val="center"/>
          </w:tcPr>
          <w:p w14:paraId="28F5253F" w14:textId="3B061D31" w:rsidR="00F24946" w:rsidRDefault="00613B06">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FA2A266" w14:textId="7A8ACAE4"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3D0BF3" w14:textId="399683E4" w:rsidR="00F24946" w:rsidRDefault="00613B06">
            <w:pPr>
              <w:pStyle w:val="P68B1DB1-Normal12"/>
              <w:spacing w:after="0" w:line="240" w:lineRule="auto"/>
              <w:jc w:val="center"/>
              <w:rPr>
                <w:rFonts w:eastAsia="Times New Roman" w:cstheme="minorHAnsi"/>
                <w:noProof/>
              </w:rPr>
            </w:pPr>
            <w:r>
              <w:rPr>
                <w:noProof/>
              </w:rPr>
              <w:t>Podpis protokola o sodelovanju</w:t>
            </w:r>
          </w:p>
        </w:tc>
        <w:tc>
          <w:tcPr>
            <w:tcW w:w="1275" w:type="dxa"/>
            <w:shd w:val="clear" w:color="auto" w:fill="C4EFCE"/>
            <w:noWrap/>
            <w:vAlign w:val="center"/>
          </w:tcPr>
          <w:p w14:paraId="2A0074DF" w14:textId="5E4E8D6E" w:rsidR="00F24946" w:rsidRDefault="00613B06">
            <w:pPr>
              <w:pStyle w:val="P68B1DB1-Normal12"/>
              <w:spacing w:after="0" w:line="240" w:lineRule="auto"/>
              <w:jc w:val="center"/>
              <w:rPr>
                <w:rFonts w:eastAsia="Times New Roman" w:cstheme="minorHAnsi"/>
                <w:noProof/>
              </w:rPr>
            </w:pPr>
            <w:r>
              <w:rPr>
                <w:noProof/>
              </w:rPr>
              <w:t>Podpis protokola o sodelovanju</w:t>
            </w:r>
          </w:p>
        </w:tc>
        <w:tc>
          <w:tcPr>
            <w:tcW w:w="993" w:type="dxa"/>
            <w:shd w:val="clear" w:color="auto" w:fill="C4EFCE"/>
            <w:noWrap/>
            <w:vAlign w:val="center"/>
          </w:tcPr>
          <w:p w14:paraId="6E9051C5"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19DECB3" w14:textId="0694995E"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28E6BDE"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7CCCD925" w14:textId="0DCC6DEA"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59B354CE" w14:textId="76A15769"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4FC9401F" w14:textId="75CF6D2B" w:rsidR="00F24946" w:rsidRDefault="00613B06">
            <w:pPr>
              <w:pStyle w:val="P68B1DB1-Normal12"/>
              <w:spacing w:after="0" w:line="240" w:lineRule="auto"/>
              <w:jc w:val="both"/>
              <w:rPr>
                <w:rFonts w:eastAsia="Times New Roman"/>
                <w:noProof/>
              </w:rPr>
            </w:pPr>
            <w:r>
              <w:rPr>
                <w:noProof/>
              </w:rPr>
              <w:t xml:space="preserve">Podpis protokola o sodelovanju med Agência para a Energia (ADENE), Associação Nacional de Freguesias (Anafre) in Rede Nacional de Agências de Energia (RNAE), Associação Nacional de Municípios (ANMP) in Confederação Nacional de Instituições de Solidariedade (CNIS) za ustanovitev </w:t>
            </w:r>
            <w:r>
              <w:rPr>
                <w:i/>
                <w:noProof/>
              </w:rPr>
              <w:t>Espaços Cidadão Energia</w:t>
            </w:r>
            <w:r>
              <w:rPr>
                <w:noProof/>
              </w:rPr>
              <w:t xml:space="preserve"> ter opredelitev njihovih nalog, upravljanja in strukture financiranja. </w:t>
            </w:r>
          </w:p>
        </w:tc>
      </w:tr>
      <w:tr w:rsidR="00F24946" w14:paraId="4405AF92" w14:textId="77777777">
        <w:trPr>
          <w:trHeight w:val="430"/>
        </w:trPr>
        <w:tc>
          <w:tcPr>
            <w:tcW w:w="1135" w:type="dxa"/>
            <w:shd w:val="clear" w:color="auto" w:fill="C4EFCE"/>
            <w:vAlign w:val="center"/>
          </w:tcPr>
          <w:p w14:paraId="6F3D3865" w14:textId="0376A8B8" w:rsidR="00F24946" w:rsidRDefault="00613B06">
            <w:pPr>
              <w:pStyle w:val="P68B1DB1-Normal11"/>
              <w:spacing w:after="0" w:line="240" w:lineRule="auto"/>
              <w:jc w:val="center"/>
              <w:rPr>
                <w:rFonts w:eastAsia="Times New Roman" w:cstheme="minorHAnsi"/>
                <w:noProof/>
              </w:rPr>
            </w:pPr>
            <w:r>
              <w:rPr>
                <w:noProof/>
              </w:rPr>
              <w:t>21.10</w:t>
            </w:r>
          </w:p>
        </w:tc>
        <w:tc>
          <w:tcPr>
            <w:tcW w:w="1276" w:type="dxa"/>
            <w:shd w:val="clear" w:color="auto" w:fill="C4EFCE"/>
            <w:noWrap/>
            <w:vAlign w:val="center"/>
          </w:tcPr>
          <w:p w14:paraId="1AA96F0F" w14:textId="1A78FB1D" w:rsidR="00F24946" w:rsidRDefault="00613B06">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7116495E" w14:textId="1A4294A4"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F09A0D1" w14:textId="2A3C94D4" w:rsidR="00F24946" w:rsidRDefault="00613B06">
            <w:pPr>
              <w:pStyle w:val="P68B1DB1-Normal12"/>
              <w:spacing w:after="0" w:line="240" w:lineRule="auto"/>
              <w:jc w:val="center"/>
              <w:rPr>
                <w:rFonts w:eastAsia="Times New Roman" w:cstheme="minorHAnsi"/>
                <w:noProof/>
              </w:rPr>
            </w:pPr>
            <w:r>
              <w:rPr>
                <w:noProof/>
              </w:rPr>
              <w:t>Ukrepi za krepitev zmogljivosti</w:t>
            </w:r>
          </w:p>
        </w:tc>
        <w:tc>
          <w:tcPr>
            <w:tcW w:w="1275" w:type="dxa"/>
            <w:shd w:val="clear" w:color="auto" w:fill="C4EFCE"/>
            <w:noWrap/>
            <w:vAlign w:val="center"/>
          </w:tcPr>
          <w:p w14:paraId="2F6B73ED" w14:textId="32E45BCB"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84B2AA2" w14:textId="7DA23D0E"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06AF5309" w14:textId="540D38C5" w:rsidR="00F24946" w:rsidRDefault="00613B06">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F112D01" w14:textId="1A47D2FB" w:rsidR="00F24946" w:rsidRDefault="00613B06">
            <w:pPr>
              <w:pStyle w:val="P68B1DB1-Normal12"/>
              <w:spacing w:after="0" w:line="240" w:lineRule="auto"/>
              <w:jc w:val="center"/>
              <w:rPr>
                <w:rFonts w:eastAsia="Times New Roman" w:cstheme="minorHAnsi"/>
                <w:noProof/>
              </w:rPr>
            </w:pPr>
            <w:r>
              <w:rPr>
                <w:noProof/>
              </w:rPr>
              <w:t xml:space="preserve">300 </w:t>
            </w:r>
          </w:p>
        </w:tc>
        <w:tc>
          <w:tcPr>
            <w:tcW w:w="567" w:type="dxa"/>
            <w:shd w:val="clear" w:color="auto" w:fill="C4EFCE"/>
            <w:noWrap/>
            <w:vAlign w:val="center"/>
          </w:tcPr>
          <w:p w14:paraId="20F843B3" w14:textId="5075B2DC"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6F49F6AD" w14:textId="4E5B8D4B"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3894416" w14:textId="77ACECBF" w:rsidR="00F24946" w:rsidRDefault="00613B06">
            <w:pPr>
              <w:pStyle w:val="P68B1DB1-Normal12"/>
              <w:spacing w:after="0" w:line="240" w:lineRule="auto"/>
              <w:jc w:val="both"/>
              <w:rPr>
                <w:rFonts w:eastAsia="Times New Roman"/>
                <w:noProof/>
              </w:rPr>
            </w:pPr>
            <w:r>
              <w:rPr>
                <w:noProof/>
              </w:rPr>
              <w:t xml:space="preserve">300 usposobljenih strokovnjakov je usposobljenih za opravljanje različnih vlog v podjetju </w:t>
            </w:r>
            <w:r>
              <w:rPr>
                <w:i/>
                <w:noProof/>
              </w:rPr>
              <w:t>Espaços Cidadão Energia</w:t>
            </w:r>
            <w:r>
              <w:rPr>
                <w:noProof/>
              </w:rPr>
              <w:t>.</w:t>
            </w:r>
          </w:p>
        </w:tc>
      </w:tr>
      <w:tr w:rsidR="00F24946" w14:paraId="44C003C4" w14:textId="77777777">
        <w:trPr>
          <w:trHeight w:val="430"/>
        </w:trPr>
        <w:tc>
          <w:tcPr>
            <w:tcW w:w="1135" w:type="dxa"/>
            <w:shd w:val="clear" w:color="auto" w:fill="C4EFCE"/>
            <w:vAlign w:val="center"/>
          </w:tcPr>
          <w:p w14:paraId="115B339E" w14:textId="18B4AA3F" w:rsidR="00F24946" w:rsidRDefault="00613B06">
            <w:pPr>
              <w:pStyle w:val="P68B1DB1-Normal11"/>
              <w:spacing w:after="0" w:line="240" w:lineRule="auto"/>
              <w:jc w:val="center"/>
              <w:rPr>
                <w:rFonts w:eastAsia="Times New Roman" w:cstheme="minorHAnsi"/>
                <w:noProof/>
              </w:rPr>
            </w:pPr>
            <w:r>
              <w:rPr>
                <w:noProof/>
              </w:rPr>
              <w:t>21.11</w:t>
            </w:r>
          </w:p>
        </w:tc>
        <w:tc>
          <w:tcPr>
            <w:tcW w:w="1276" w:type="dxa"/>
            <w:shd w:val="clear" w:color="auto" w:fill="C4EFCE"/>
            <w:noWrap/>
            <w:vAlign w:val="center"/>
          </w:tcPr>
          <w:p w14:paraId="72D7DD9B" w14:textId="75022C6C" w:rsidR="00F24946" w:rsidRDefault="00613B06">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E5D7FC3" w14:textId="589740CC"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3FB50CE" w14:textId="3D9DC0A1" w:rsidR="00F24946" w:rsidRDefault="00613B06">
            <w:pPr>
              <w:pStyle w:val="P68B1DB1-Normal12"/>
              <w:spacing w:after="0" w:line="240" w:lineRule="auto"/>
              <w:jc w:val="center"/>
              <w:rPr>
                <w:rFonts w:eastAsia="Times New Roman" w:cstheme="minorHAnsi"/>
                <w:noProof/>
              </w:rPr>
            </w:pPr>
            <w:r>
              <w:rPr>
                <w:noProof/>
              </w:rPr>
              <w:t>Začetek delovanja podjetja Espaços Cidadão Energia</w:t>
            </w:r>
          </w:p>
        </w:tc>
        <w:tc>
          <w:tcPr>
            <w:tcW w:w="1275" w:type="dxa"/>
            <w:shd w:val="clear" w:color="auto" w:fill="C4EFCE"/>
            <w:noWrap/>
            <w:vAlign w:val="center"/>
          </w:tcPr>
          <w:p w14:paraId="1B57B712"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0F16E4EA" w14:textId="67F3B741"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7C58A166" w14:textId="0BCA1F7E"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F34AF54" w14:textId="6426E74F" w:rsidR="00F24946" w:rsidRDefault="00613B06">
            <w:pPr>
              <w:pStyle w:val="P68B1DB1-Normal12"/>
              <w:spacing w:after="0" w:line="240" w:lineRule="auto"/>
              <w:jc w:val="center"/>
              <w:rPr>
                <w:rFonts w:eastAsia="Times New Roman" w:cstheme="minorHAnsi"/>
                <w:noProof/>
              </w:rPr>
            </w:pPr>
            <w:r>
              <w:rPr>
                <w:noProof/>
              </w:rPr>
              <w:t>50</w:t>
            </w:r>
          </w:p>
        </w:tc>
        <w:tc>
          <w:tcPr>
            <w:tcW w:w="567" w:type="dxa"/>
            <w:shd w:val="clear" w:color="auto" w:fill="C4EFCE"/>
            <w:noWrap/>
            <w:vAlign w:val="center"/>
          </w:tcPr>
          <w:p w14:paraId="53370B4C" w14:textId="4384A6ED"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01B93E1A" w14:textId="5304BB25"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A90169B" w14:textId="4CB3EEB6" w:rsidR="00F24946" w:rsidRDefault="00613B06">
            <w:pPr>
              <w:pStyle w:val="P68B1DB1-Bodytext1013"/>
              <w:spacing w:after="0" w:line="240" w:lineRule="auto"/>
              <w:jc w:val="both"/>
              <w:rPr>
                <w:rFonts w:cstheme="minorBidi"/>
                <w:noProof/>
              </w:rPr>
            </w:pPr>
            <w:r>
              <w:rPr>
                <w:noProof/>
              </w:rPr>
              <w:t xml:space="preserve">50 fizičnih </w:t>
            </w:r>
            <w:r>
              <w:rPr>
                <w:i/>
                <w:noProof/>
              </w:rPr>
              <w:t xml:space="preserve">Espaços Cidadão Energia </w:t>
            </w:r>
            <w:r>
              <w:rPr>
                <w:noProof/>
              </w:rPr>
              <w:t>deluje in je odprto za državljane.</w:t>
            </w:r>
          </w:p>
        </w:tc>
      </w:tr>
      <w:tr w:rsidR="00F24946" w14:paraId="7A001E81" w14:textId="77777777">
        <w:trPr>
          <w:trHeight w:val="430"/>
        </w:trPr>
        <w:tc>
          <w:tcPr>
            <w:tcW w:w="1135" w:type="dxa"/>
            <w:shd w:val="clear" w:color="auto" w:fill="C4EFCE"/>
            <w:vAlign w:val="center"/>
          </w:tcPr>
          <w:p w14:paraId="02453CBA" w14:textId="7EC4B509" w:rsidR="00F24946" w:rsidRDefault="00613B06">
            <w:pPr>
              <w:pStyle w:val="P68B1DB1-Normal11"/>
              <w:spacing w:after="0" w:line="240" w:lineRule="auto"/>
              <w:jc w:val="center"/>
              <w:rPr>
                <w:rFonts w:eastAsia="Times New Roman" w:cstheme="minorHAnsi"/>
                <w:noProof/>
              </w:rPr>
            </w:pPr>
            <w:r>
              <w:rPr>
                <w:noProof/>
              </w:rPr>
              <w:t>21.12</w:t>
            </w:r>
          </w:p>
        </w:tc>
        <w:tc>
          <w:tcPr>
            <w:tcW w:w="1276" w:type="dxa"/>
            <w:shd w:val="clear" w:color="auto" w:fill="C4EFCE"/>
            <w:noWrap/>
            <w:vAlign w:val="center"/>
          </w:tcPr>
          <w:p w14:paraId="35376737" w14:textId="5B6224D0" w:rsidR="00F24946" w:rsidRDefault="00613B06">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297F72F0" w14:textId="5F2B13DB"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9693662" w14:textId="12A59FAA" w:rsidR="00F24946" w:rsidRDefault="00613B06">
            <w:pPr>
              <w:pStyle w:val="P68B1DB1-Normal12"/>
              <w:spacing w:after="0" w:line="240" w:lineRule="auto"/>
              <w:jc w:val="center"/>
              <w:rPr>
                <w:rFonts w:eastAsia="Times New Roman" w:cstheme="minorHAnsi"/>
                <w:noProof/>
              </w:rPr>
            </w:pPr>
            <w:r>
              <w:rPr>
                <w:noProof/>
              </w:rPr>
              <w:t>Podpis pogojev odobritve za izvajanje industrijskih projektov</w:t>
            </w:r>
          </w:p>
        </w:tc>
        <w:tc>
          <w:tcPr>
            <w:tcW w:w="1275" w:type="dxa"/>
            <w:shd w:val="clear" w:color="auto" w:fill="C4EFCE"/>
            <w:noWrap/>
            <w:vAlign w:val="center"/>
          </w:tcPr>
          <w:p w14:paraId="7458153B" w14:textId="76EAEDD5" w:rsidR="00F24946" w:rsidRDefault="00613B06">
            <w:pPr>
              <w:pStyle w:val="P68B1DB1-Normal12"/>
              <w:spacing w:after="0" w:line="240" w:lineRule="auto"/>
              <w:jc w:val="center"/>
              <w:rPr>
                <w:rFonts w:eastAsia="Times New Roman" w:cstheme="minorHAnsi"/>
                <w:noProof/>
              </w:rPr>
            </w:pPr>
            <w:r>
              <w:rPr>
                <w:noProof/>
              </w:rPr>
              <w:t>Podpis pogojev odobritve za izvajanje industrijskih projektov.</w:t>
            </w:r>
          </w:p>
        </w:tc>
        <w:tc>
          <w:tcPr>
            <w:tcW w:w="993" w:type="dxa"/>
            <w:shd w:val="clear" w:color="auto" w:fill="C4EFCE"/>
            <w:noWrap/>
            <w:vAlign w:val="center"/>
          </w:tcPr>
          <w:p w14:paraId="72336B25"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9A26E3E" w14:textId="2DB3039C"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276C077B"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7667D40B" w14:textId="479E3BA2"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083EAC73" w14:textId="1C628607"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7BE0AFF3" w14:textId="19DB74A1" w:rsidR="00F24946" w:rsidRDefault="00613B06">
            <w:pPr>
              <w:pStyle w:val="P68B1DB1-Bodytext1013"/>
              <w:spacing w:after="0" w:line="240" w:lineRule="auto"/>
              <w:jc w:val="both"/>
              <w:rPr>
                <w:rFonts w:cstheme="minorBidi"/>
                <w:noProof/>
              </w:rPr>
            </w:pPr>
            <w:r>
              <w:rPr>
                <w:noProof/>
              </w:rPr>
              <w:t>Pogoji sprejetja se podpišejo za izvajanje industrijskih projektov, ki se izberejo na podlagi konkurenčnih razpisov, povezanih s strateškimi tehnologijami za podnebni prehod, kot je določeno v opisu ukrepa.</w:t>
            </w:r>
          </w:p>
          <w:p w14:paraId="676A7464" w14:textId="75CAE7E6" w:rsidR="00F24946" w:rsidRDefault="00613B06">
            <w:pPr>
              <w:pStyle w:val="P68B1DB1-Normal12"/>
              <w:spacing w:after="0" w:line="240" w:lineRule="auto"/>
              <w:jc w:val="both"/>
              <w:rPr>
                <w:rFonts w:eastAsia="Times New Roman" w:cstheme="minorHAnsi"/>
                <w:noProof/>
              </w:rPr>
            </w:pPr>
            <w:r>
              <w:rPr>
                <w:noProof/>
              </w:rPr>
              <w:t>Pogoji sprejetja zagotavljajo skladnost s tehničnimi smernicami „da se ne škoduje bistveno“ (2021/C58/01) podprtih transakcij v okviru tega ukrepa z uporabo seznama za izključitev ter zahtevo po skladnosti z ustrezno okoljsko zakonodajo EU in nacionalno okoljsko zakonodajo.</w:t>
            </w:r>
          </w:p>
        </w:tc>
      </w:tr>
      <w:tr w:rsidR="00F24946" w14:paraId="38C0F350" w14:textId="77777777">
        <w:trPr>
          <w:trHeight w:val="430"/>
        </w:trPr>
        <w:tc>
          <w:tcPr>
            <w:tcW w:w="1135" w:type="dxa"/>
            <w:shd w:val="clear" w:color="auto" w:fill="C4EFCE"/>
            <w:vAlign w:val="center"/>
          </w:tcPr>
          <w:p w14:paraId="2822A641" w14:textId="17EAD665" w:rsidR="00F24946" w:rsidRDefault="00613B06">
            <w:pPr>
              <w:pStyle w:val="P68B1DB1-Normal11"/>
              <w:spacing w:after="0" w:line="240" w:lineRule="auto"/>
              <w:jc w:val="center"/>
              <w:rPr>
                <w:rFonts w:eastAsia="Times New Roman" w:cstheme="minorHAnsi"/>
                <w:noProof/>
              </w:rPr>
            </w:pPr>
            <w:r>
              <w:rPr>
                <w:noProof/>
              </w:rPr>
              <w:t>21.13</w:t>
            </w:r>
          </w:p>
        </w:tc>
        <w:tc>
          <w:tcPr>
            <w:tcW w:w="1276" w:type="dxa"/>
            <w:shd w:val="clear" w:color="auto" w:fill="C4EFCE"/>
            <w:noWrap/>
            <w:vAlign w:val="center"/>
          </w:tcPr>
          <w:p w14:paraId="5450DE1C" w14:textId="272FA70D" w:rsidR="00F24946" w:rsidRDefault="00613B06">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3D65B17D" w14:textId="6A2866B3"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156CFAC" w14:textId="2AF8DE16" w:rsidR="00F24946" w:rsidRDefault="00613B06">
            <w:pPr>
              <w:pStyle w:val="P68B1DB1-Normal12"/>
              <w:spacing w:after="0" w:line="240" w:lineRule="auto"/>
              <w:jc w:val="center"/>
              <w:rPr>
                <w:rFonts w:eastAsia="Times New Roman" w:cstheme="minorHAnsi"/>
                <w:noProof/>
              </w:rPr>
            </w:pPr>
            <w:r>
              <w:rPr>
                <w:noProof/>
              </w:rPr>
              <w:t>Zaključek petih industrijskih projektov na področju strateških tehnologij za podnebni prehod</w:t>
            </w:r>
          </w:p>
        </w:tc>
        <w:tc>
          <w:tcPr>
            <w:tcW w:w="1275" w:type="dxa"/>
            <w:shd w:val="clear" w:color="auto" w:fill="C4EFCE"/>
            <w:noWrap/>
            <w:vAlign w:val="center"/>
          </w:tcPr>
          <w:p w14:paraId="7A69A2FE"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419EDC3E" w14:textId="286CAB8A"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0674002F" w14:textId="6BFD93CA"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B37AD65" w14:textId="7A1B913C" w:rsidR="00F24946" w:rsidRDefault="00613B06">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1203B683" w14:textId="0E9F9785"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337D899F" w14:textId="1B849260"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2155DEB" w14:textId="7B97BD38" w:rsidR="00F24946" w:rsidRDefault="00613B06">
            <w:pPr>
              <w:pStyle w:val="P68B1DB1-Normal12"/>
              <w:spacing w:after="0" w:line="240" w:lineRule="auto"/>
              <w:jc w:val="both"/>
              <w:rPr>
                <w:rFonts w:eastAsia="Times New Roman"/>
                <w:noProof/>
              </w:rPr>
            </w:pPr>
            <w:r>
              <w:rPr>
                <w:noProof/>
              </w:rPr>
              <w:t>Zaključek vsaj petih projektov industrijske tehnologije, katerih raven tehnološke pripravljenosti je enaka ali višja od sedmih, povezanih s strateškimi tehnologijami za podnebni prehod, kot je določeno v opisu ukrepa.</w:t>
            </w:r>
          </w:p>
        </w:tc>
      </w:tr>
      <w:tr w:rsidR="00F24946" w14:paraId="5A219778" w14:textId="77777777">
        <w:trPr>
          <w:trHeight w:val="430"/>
        </w:trPr>
        <w:tc>
          <w:tcPr>
            <w:tcW w:w="1135" w:type="dxa"/>
            <w:shd w:val="clear" w:color="auto" w:fill="C4EFCE"/>
            <w:vAlign w:val="center"/>
          </w:tcPr>
          <w:p w14:paraId="748E9E6F" w14:textId="3FC7C9E1" w:rsidR="00F24946" w:rsidRDefault="00613B06">
            <w:pPr>
              <w:pStyle w:val="P68B1DB1-Normal11"/>
              <w:spacing w:after="0" w:line="240" w:lineRule="auto"/>
              <w:jc w:val="center"/>
              <w:rPr>
                <w:rFonts w:eastAsia="Times New Roman" w:cstheme="minorHAnsi"/>
                <w:noProof/>
              </w:rPr>
            </w:pPr>
            <w:r>
              <w:rPr>
                <w:noProof/>
              </w:rPr>
              <w:t>21.14</w:t>
            </w:r>
          </w:p>
        </w:tc>
        <w:tc>
          <w:tcPr>
            <w:tcW w:w="1276" w:type="dxa"/>
            <w:shd w:val="clear" w:color="auto" w:fill="C4EFCE"/>
            <w:noWrap/>
            <w:vAlign w:val="center"/>
          </w:tcPr>
          <w:p w14:paraId="1E60F546" w14:textId="66482F0A" w:rsidR="00F24946" w:rsidRDefault="00613B06">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08AE361B" w14:textId="6D1DB139"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1E5E5BB7" w14:textId="2724C1E2" w:rsidR="00F24946" w:rsidRDefault="00613B06">
            <w:pPr>
              <w:pStyle w:val="P68B1DB1-Normal12"/>
              <w:spacing w:after="0" w:line="240" w:lineRule="auto"/>
              <w:jc w:val="center"/>
              <w:rPr>
                <w:rFonts w:eastAsia="Times New Roman" w:cstheme="minorHAnsi"/>
                <w:noProof/>
              </w:rPr>
            </w:pPr>
            <w:r>
              <w:rPr>
                <w:noProof/>
              </w:rPr>
              <w:t>Ukrepi za usposabljanje na področju zelenih znanj in spretnosti</w:t>
            </w:r>
          </w:p>
        </w:tc>
        <w:tc>
          <w:tcPr>
            <w:tcW w:w="1275" w:type="dxa"/>
            <w:shd w:val="clear" w:color="auto" w:fill="C4EFCE"/>
            <w:noWrap/>
            <w:vAlign w:val="center"/>
          </w:tcPr>
          <w:p w14:paraId="24F12DE9"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537B007C" w14:textId="482EBD6A"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30CE81C5" w14:textId="44255BD5" w:rsidR="00F24946" w:rsidRDefault="00613B06">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7D552B8B" w14:textId="6840C96D" w:rsidR="00F24946" w:rsidRDefault="00613B06">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4774708D" w14:textId="187C4CA4"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590EB134" w14:textId="7394F496"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3B10BE2" w14:textId="3478037F" w:rsidR="00F24946" w:rsidRDefault="00613B06">
            <w:pPr>
              <w:pStyle w:val="P68B1DB1-Normal12"/>
              <w:spacing w:after="0" w:line="240" w:lineRule="auto"/>
              <w:jc w:val="both"/>
              <w:rPr>
                <w:rFonts w:eastAsia="Times New Roman" w:cstheme="minorHAnsi"/>
                <w:noProof/>
              </w:rPr>
            </w:pPr>
            <w:r>
              <w:rPr>
                <w:noProof/>
              </w:rPr>
              <w:t xml:space="preserve">Število usposobljenih oseb v programu za zeleno delo ter znanja in spretnosti ali tečajih v centru za usposabljanje za energetski prehod.   </w:t>
            </w:r>
          </w:p>
        </w:tc>
      </w:tr>
      <w:tr w:rsidR="00F24946" w14:paraId="6B1F2C06" w14:textId="77777777">
        <w:trPr>
          <w:trHeight w:val="430"/>
        </w:trPr>
        <w:tc>
          <w:tcPr>
            <w:tcW w:w="1135" w:type="dxa"/>
            <w:shd w:val="clear" w:color="auto" w:fill="C4EFCE"/>
            <w:vAlign w:val="center"/>
          </w:tcPr>
          <w:p w14:paraId="01B3604D" w14:textId="7B2AF347" w:rsidR="00F24946" w:rsidRDefault="00613B06">
            <w:pPr>
              <w:pStyle w:val="P68B1DB1-Normal11"/>
              <w:spacing w:after="0" w:line="240" w:lineRule="auto"/>
              <w:jc w:val="center"/>
              <w:rPr>
                <w:rFonts w:eastAsia="Times New Roman" w:cstheme="minorHAnsi"/>
                <w:noProof/>
              </w:rPr>
            </w:pPr>
            <w:r>
              <w:rPr>
                <w:noProof/>
              </w:rPr>
              <w:t>21.15</w:t>
            </w:r>
          </w:p>
        </w:tc>
        <w:tc>
          <w:tcPr>
            <w:tcW w:w="1276" w:type="dxa"/>
            <w:shd w:val="clear" w:color="auto" w:fill="C4EFCE"/>
            <w:noWrap/>
            <w:vAlign w:val="center"/>
          </w:tcPr>
          <w:p w14:paraId="59821F78" w14:textId="3E0A4BAD" w:rsidR="00F24946" w:rsidRDefault="00613B06">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6FFE32F5" w14:textId="2C012BA0"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5F5D539" w14:textId="43F358D0" w:rsidR="00F24946" w:rsidRDefault="00613B06">
            <w:pPr>
              <w:pStyle w:val="P68B1DB1-Normal12"/>
              <w:spacing w:after="0" w:line="240" w:lineRule="auto"/>
              <w:jc w:val="center"/>
              <w:rPr>
                <w:rFonts w:eastAsia="Times New Roman" w:cstheme="minorHAnsi"/>
                <w:noProof/>
              </w:rPr>
            </w:pPr>
            <w:r>
              <w:rPr>
                <w:noProof/>
              </w:rPr>
              <w:t>Ukrepi za usposabljanje na področju zelenih znanj in spretnosti</w:t>
            </w:r>
          </w:p>
        </w:tc>
        <w:tc>
          <w:tcPr>
            <w:tcW w:w="1275" w:type="dxa"/>
            <w:shd w:val="clear" w:color="auto" w:fill="C4EFCE"/>
            <w:noWrap/>
            <w:vAlign w:val="center"/>
          </w:tcPr>
          <w:p w14:paraId="430194B1"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2EB231DA" w14:textId="69A30C89"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052F5316" w14:textId="2F24CFF8" w:rsidR="00F24946" w:rsidRDefault="00613B06">
            <w:pPr>
              <w:pStyle w:val="P68B1DB1-Normal12"/>
              <w:spacing w:after="0" w:line="240" w:lineRule="auto"/>
              <w:jc w:val="center"/>
              <w:rPr>
                <w:rFonts w:eastAsia="Times New Roman" w:cstheme="minorHAnsi"/>
                <w:noProof/>
              </w:rPr>
            </w:pPr>
            <w:r>
              <w:rPr>
                <w:noProof/>
              </w:rPr>
              <w:t>12 500</w:t>
            </w:r>
          </w:p>
        </w:tc>
        <w:tc>
          <w:tcPr>
            <w:tcW w:w="992" w:type="dxa"/>
            <w:shd w:val="clear" w:color="auto" w:fill="C4EFCE"/>
            <w:noWrap/>
            <w:vAlign w:val="center"/>
          </w:tcPr>
          <w:p w14:paraId="03933323" w14:textId="324B1BA9" w:rsidR="00F24946" w:rsidRDefault="00613B06">
            <w:pPr>
              <w:pStyle w:val="P68B1DB1-Normal12"/>
              <w:spacing w:after="0" w:line="240" w:lineRule="auto"/>
              <w:jc w:val="center"/>
              <w:rPr>
                <w:rFonts w:eastAsia="Times New Roman" w:cstheme="minorHAnsi"/>
                <w:noProof/>
              </w:rPr>
            </w:pPr>
            <w:r>
              <w:rPr>
                <w:noProof/>
              </w:rPr>
              <w:t>25 000</w:t>
            </w:r>
          </w:p>
        </w:tc>
        <w:tc>
          <w:tcPr>
            <w:tcW w:w="567" w:type="dxa"/>
            <w:shd w:val="clear" w:color="auto" w:fill="C4EFCE"/>
            <w:noWrap/>
            <w:vAlign w:val="center"/>
          </w:tcPr>
          <w:p w14:paraId="411D6569" w14:textId="0670EF93"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1FC8409E" w14:textId="35A39153"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63AE36" w14:textId="5F0AFC76" w:rsidR="00F24946" w:rsidRDefault="00613B06">
            <w:pPr>
              <w:pStyle w:val="P68B1DB1-Normal12"/>
              <w:spacing w:after="0" w:line="240" w:lineRule="auto"/>
              <w:jc w:val="both"/>
              <w:rPr>
                <w:rFonts w:eastAsia="Times New Roman" w:cstheme="minorHAnsi"/>
                <w:noProof/>
              </w:rPr>
            </w:pPr>
            <w:r>
              <w:rPr>
                <w:noProof/>
              </w:rPr>
              <w:t xml:space="preserve">Število usposobljenih oseb v programu za zeleno delo ter znanja in spretnosti ali tečajih v centru za usposabljanje za energetski prehod. V centru za usposabljanje za energetski prehod se usposablja vsaj 12500 oseb. </w:t>
            </w:r>
          </w:p>
        </w:tc>
      </w:tr>
      <w:tr w:rsidR="00F24946" w14:paraId="01B2B8AD" w14:textId="77777777">
        <w:trPr>
          <w:trHeight w:val="430"/>
        </w:trPr>
        <w:tc>
          <w:tcPr>
            <w:tcW w:w="1135" w:type="dxa"/>
            <w:shd w:val="clear" w:color="auto" w:fill="C4EFCE"/>
            <w:vAlign w:val="center"/>
          </w:tcPr>
          <w:p w14:paraId="56013C8B" w14:textId="37C588C6" w:rsidR="00F24946" w:rsidRDefault="00613B06">
            <w:pPr>
              <w:pStyle w:val="P68B1DB1-Normal11"/>
              <w:spacing w:after="0" w:line="240" w:lineRule="auto"/>
              <w:jc w:val="center"/>
              <w:rPr>
                <w:rFonts w:eastAsia="Times New Roman" w:cstheme="minorHAnsi"/>
                <w:noProof/>
              </w:rPr>
            </w:pPr>
            <w:r>
              <w:rPr>
                <w:noProof/>
              </w:rPr>
              <w:t>21.16</w:t>
            </w:r>
          </w:p>
        </w:tc>
        <w:tc>
          <w:tcPr>
            <w:tcW w:w="1276" w:type="dxa"/>
            <w:shd w:val="clear" w:color="auto" w:fill="C4EFCE"/>
            <w:noWrap/>
            <w:vAlign w:val="center"/>
          </w:tcPr>
          <w:p w14:paraId="087C73AC" w14:textId="2C060A7C" w:rsidR="00F24946" w:rsidRDefault="00613B06">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296E326D" w14:textId="5E900A9F"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3914822" w14:textId="4E6DAE08" w:rsidR="00F24946" w:rsidRDefault="00613B06">
            <w:pPr>
              <w:pStyle w:val="P68B1DB1-Bodytext1013"/>
              <w:spacing w:line="240" w:lineRule="auto"/>
              <w:jc w:val="center"/>
              <w:rPr>
                <w:rFonts w:cstheme="minorHAnsi"/>
                <w:noProof/>
              </w:rPr>
            </w:pPr>
            <w:r>
              <w:rPr>
                <w:noProof/>
              </w:rPr>
              <w:t>Začetek veljavnosti upravnega ali pravnega akta o obnovljivem vodiku</w:t>
            </w:r>
          </w:p>
        </w:tc>
        <w:tc>
          <w:tcPr>
            <w:tcW w:w="1275" w:type="dxa"/>
            <w:shd w:val="clear" w:color="auto" w:fill="C4EFCE"/>
            <w:noWrap/>
            <w:vAlign w:val="center"/>
          </w:tcPr>
          <w:p w14:paraId="7788ED3B" w14:textId="253DA9A9" w:rsidR="00F24946" w:rsidRDefault="00613B06">
            <w:pPr>
              <w:pStyle w:val="P68B1DB1-Normal12"/>
              <w:spacing w:after="0" w:line="240" w:lineRule="auto"/>
              <w:jc w:val="center"/>
              <w:rPr>
                <w:rFonts w:eastAsia="Times New Roman" w:cstheme="minorHAnsi"/>
                <w:noProof/>
              </w:rPr>
            </w:pPr>
            <w:r>
              <w:rPr>
                <w:noProof/>
              </w:rPr>
              <w:t>Določba v upravnem ali pravnem aktu, ki označuje začetek njegove veljavnosti</w:t>
            </w:r>
          </w:p>
        </w:tc>
        <w:tc>
          <w:tcPr>
            <w:tcW w:w="993" w:type="dxa"/>
            <w:shd w:val="clear" w:color="auto" w:fill="C4EFCE"/>
            <w:noWrap/>
            <w:vAlign w:val="center"/>
          </w:tcPr>
          <w:p w14:paraId="5B01E91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3571C1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FDDCCA3"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2B00763D" w14:textId="56911041"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4BC4C0BA" w14:textId="16296F8C"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56226CBF" w14:textId="2224A00D" w:rsidR="00F24946" w:rsidRDefault="00613B06">
            <w:pPr>
              <w:pStyle w:val="P68B1DB1-Bodytext1013"/>
              <w:spacing w:after="0" w:line="240" w:lineRule="auto"/>
              <w:jc w:val="both"/>
              <w:rPr>
                <w:rFonts w:cstheme="minorHAnsi"/>
                <w:noProof/>
              </w:rPr>
            </w:pPr>
            <w:r>
              <w:rPr>
                <w:noProof/>
              </w:rPr>
              <w:t>Začetek veljavnosti upravnega ali pravnega akta o obnovljivem vodiku, ki določa, da se samo obrati, ki izpolnjujejo zahteve iz direktive o energiji iz obnovljivih virov in njenih delegiranih aktov (2018/2001/EU), štejejo za obrate za proizvodnjo vodika iz obnovljivih virov.</w:t>
            </w:r>
          </w:p>
        </w:tc>
      </w:tr>
      <w:tr w:rsidR="00F24946" w14:paraId="7A0E7FBC" w14:textId="77777777">
        <w:trPr>
          <w:trHeight w:val="430"/>
        </w:trPr>
        <w:tc>
          <w:tcPr>
            <w:tcW w:w="1135" w:type="dxa"/>
            <w:shd w:val="clear" w:color="auto" w:fill="C4EFCE"/>
            <w:vAlign w:val="center"/>
          </w:tcPr>
          <w:p w14:paraId="3D1E7654" w14:textId="46F81725" w:rsidR="00F24946" w:rsidRDefault="00613B06">
            <w:pPr>
              <w:pStyle w:val="P68B1DB1-Normal11"/>
              <w:spacing w:after="0" w:line="240" w:lineRule="auto"/>
              <w:jc w:val="center"/>
              <w:rPr>
                <w:rFonts w:eastAsia="Times New Roman" w:cstheme="minorHAnsi"/>
                <w:noProof/>
              </w:rPr>
            </w:pPr>
            <w:r>
              <w:rPr>
                <w:noProof/>
              </w:rPr>
              <w:t>21.17</w:t>
            </w:r>
          </w:p>
        </w:tc>
        <w:tc>
          <w:tcPr>
            <w:tcW w:w="1276" w:type="dxa"/>
            <w:shd w:val="clear" w:color="auto" w:fill="C4EFCE"/>
            <w:noWrap/>
            <w:vAlign w:val="center"/>
          </w:tcPr>
          <w:p w14:paraId="54AE443D" w14:textId="7ECCFA54" w:rsidR="00F24946" w:rsidRDefault="00613B06">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3C7CBC31" w14:textId="351C4C41"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84C6A16" w14:textId="19A6254B" w:rsidR="00F24946" w:rsidRDefault="00613B06">
            <w:pPr>
              <w:pStyle w:val="P68B1DB1-Normal12"/>
              <w:spacing w:after="0" w:line="240" w:lineRule="auto"/>
              <w:jc w:val="center"/>
              <w:rPr>
                <w:rFonts w:eastAsia="Times New Roman" w:cstheme="minorHAnsi"/>
                <w:noProof/>
              </w:rPr>
            </w:pPr>
            <w:r>
              <w:rPr>
                <w:noProof/>
              </w:rPr>
              <w:t>Začetek veljavnosti revidirane uredbe o nacionalnem omrežju za prenos plina in uredbe o nacionalnem omrežju za distribucijo plina</w:t>
            </w:r>
          </w:p>
        </w:tc>
        <w:tc>
          <w:tcPr>
            <w:tcW w:w="1275" w:type="dxa"/>
            <w:shd w:val="clear" w:color="auto" w:fill="C4EFCE"/>
            <w:noWrap/>
            <w:vAlign w:val="center"/>
          </w:tcPr>
          <w:p w14:paraId="468E9001" w14:textId="5D32AEED" w:rsidR="00F24946" w:rsidRDefault="00613B06">
            <w:pPr>
              <w:pStyle w:val="P68B1DB1-Normal12"/>
              <w:spacing w:after="0" w:line="240" w:lineRule="auto"/>
              <w:jc w:val="center"/>
              <w:rPr>
                <w:rFonts w:eastAsia="Times New Roman" w:cstheme="minorHAnsi"/>
                <w:noProof/>
              </w:rPr>
            </w:pPr>
            <w:r>
              <w:rPr>
                <w:noProof/>
              </w:rPr>
              <w:t xml:space="preserve">Določba v uredbah o začetku veljavnosti uredbe </w:t>
            </w:r>
          </w:p>
        </w:tc>
        <w:tc>
          <w:tcPr>
            <w:tcW w:w="993" w:type="dxa"/>
            <w:shd w:val="clear" w:color="auto" w:fill="C4EFCE"/>
            <w:noWrap/>
            <w:vAlign w:val="center"/>
          </w:tcPr>
          <w:p w14:paraId="6637512D"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3320AE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1D84A47"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41A67F67" w14:textId="6ADF699D"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2B7264B1" w14:textId="17E3A68C"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8D9EB5" w14:textId="1378FBBD" w:rsidR="00F24946" w:rsidRDefault="00613B06">
            <w:pPr>
              <w:pStyle w:val="P68B1DB1-Normal12"/>
              <w:spacing w:after="0" w:line="240" w:lineRule="auto"/>
              <w:jc w:val="both"/>
              <w:rPr>
                <w:rFonts w:eastAsia="Times New Roman" w:cstheme="minorHAnsi"/>
                <w:noProof/>
              </w:rPr>
            </w:pPr>
            <w:r>
              <w:rPr>
                <w:noProof/>
              </w:rPr>
              <w:t>Začetek veljavnosti revidirane uredbe o nacionalnem omrežju za prenos plina in uredbe o nacionalnem omrežju za distribucijo plina, v katerih so določena merila za dovajanje obnovljivega vodika v plinsko omrežje.</w:t>
            </w:r>
          </w:p>
        </w:tc>
      </w:tr>
      <w:tr w:rsidR="00F24946" w14:paraId="605D9DEB" w14:textId="77777777">
        <w:trPr>
          <w:trHeight w:val="430"/>
        </w:trPr>
        <w:tc>
          <w:tcPr>
            <w:tcW w:w="1135" w:type="dxa"/>
            <w:shd w:val="clear" w:color="auto" w:fill="C4EFCE"/>
            <w:vAlign w:val="center"/>
          </w:tcPr>
          <w:p w14:paraId="79442355" w14:textId="47ECB25B" w:rsidR="00F24946" w:rsidRDefault="00613B06">
            <w:pPr>
              <w:pStyle w:val="P68B1DB1-Normal11"/>
              <w:spacing w:after="0" w:line="240" w:lineRule="auto"/>
              <w:jc w:val="center"/>
              <w:rPr>
                <w:rFonts w:eastAsia="Times New Roman" w:cstheme="minorHAnsi"/>
                <w:noProof/>
              </w:rPr>
            </w:pPr>
            <w:r>
              <w:rPr>
                <w:noProof/>
              </w:rPr>
              <w:t>21.18</w:t>
            </w:r>
          </w:p>
        </w:tc>
        <w:tc>
          <w:tcPr>
            <w:tcW w:w="1276" w:type="dxa"/>
            <w:shd w:val="clear" w:color="auto" w:fill="C4EFCE"/>
            <w:noWrap/>
            <w:vAlign w:val="center"/>
          </w:tcPr>
          <w:p w14:paraId="460C67CB" w14:textId="18AC6D11" w:rsidR="00F24946" w:rsidRDefault="00613B06">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4F6B095" w14:textId="68DF9292"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6E13C29" w14:textId="6406C986" w:rsidR="00F24946" w:rsidRDefault="00613B06">
            <w:pPr>
              <w:pStyle w:val="P68B1DB1-Normal12"/>
              <w:spacing w:after="0" w:line="240" w:lineRule="auto"/>
              <w:jc w:val="center"/>
              <w:rPr>
                <w:rFonts w:eastAsia="Times New Roman" w:cstheme="minorHAnsi"/>
                <w:noProof/>
              </w:rPr>
            </w:pPr>
            <w:r>
              <w:rPr>
                <w:noProof/>
              </w:rPr>
              <w:t>Začetek prve dražbe centraliziranega nakupa trajnostnega biometana</w:t>
            </w:r>
          </w:p>
        </w:tc>
        <w:tc>
          <w:tcPr>
            <w:tcW w:w="1275" w:type="dxa"/>
            <w:shd w:val="clear" w:color="auto" w:fill="C4EFCE"/>
            <w:noWrap/>
            <w:vAlign w:val="center"/>
          </w:tcPr>
          <w:p w14:paraId="69CDF0A5" w14:textId="736DF564" w:rsidR="00F24946" w:rsidRDefault="00613B06">
            <w:pPr>
              <w:pStyle w:val="P68B1DB1-Normal12"/>
              <w:spacing w:after="0" w:line="240" w:lineRule="auto"/>
              <w:jc w:val="center"/>
              <w:rPr>
                <w:rFonts w:eastAsia="Times New Roman" w:cstheme="minorHAnsi"/>
                <w:noProof/>
              </w:rPr>
            </w:pPr>
            <w:r>
              <w:rPr>
                <w:noProof/>
              </w:rPr>
              <w:t>Začetek prve dražbe centraliziranega nakupa trajnostnega biometana</w:t>
            </w:r>
          </w:p>
        </w:tc>
        <w:tc>
          <w:tcPr>
            <w:tcW w:w="993" w:type="dxa"/>
            <w:shd w:val="clear" w:color="auto" w:fill="C4EFCE"/>
            <w:noWrap/>
            <w:vAlign w:val="center"/>
          </w:tcPr>
          <w:p w14:paraId="5C6BE3C1" w14:textId="77777777" w:rsidR="00F24946" w:rsidRDefault="00F24946">
            <w:pPr>
              <w:pStyle w:val="Bodytext10"/>
              <w:rPr>
                <w:rFonts w:asciiTheme="minorHAnsi" w:hAnsiTheme="minorHAnsi" w:cstheme="minorHAnsi"/>
                <w:noProof/>
                <w:sz w:val="16"/>
              </w:rPr>
            </w:pPr>
          </w:p>
          <w:p w14:paraId="1C95DE8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C86D329"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1B5F97E0"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3D5226E5" w14:textId="320D48A4"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13AAF3B7" w14:textId="42A89A23"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205462C3" w14:textId="592E1365" w:rsidR="00F24946" w:rsidRDefault="00613B06">
            <w:pPr>
              <w:pStyle w:val="P68B1DB1-Normal12"/>
              <w:spacing w:after="0" w:line="240" w:lineRule="auto"/>
              <w:jc w:val="both"/>
              <w:rPr>
                <w:rFonts w:eastAsia="Times New Roman" w:cstheme="minorHAnsi"/>
                <w:noProof/>
              </w:rPr>
            </w:pPr>
            <w:r>
              <w:rPr>
                <w:noProof/>
              </w:rPr>
              <w:t>Začetek prve dražbe centraliziranega nakupa trajnostnega biometana v skladu s pravili iz odloka vlade 15/2023 z dne 4. januarja 2023, katere cilj je nakup 150 GWh/leto biometana za vbrizgavanje v nacionalno plinsko omrežje.</w:t>
            </w:r>
          </w:p>
        </w:tc>
      </w:tr>
      <w:tr w:rsidR="00F24946" w14:paraId="1C21BC20" w14:textId="77777777">
        <w:trPr>
          <w:trHeight w:val="430"/>
        </w:trPr>
        <w:tc>
          <w:tcPr>
            <w:tcW w:w="1135" w:type="dxa"/>
            <w:shd w:val="clear" w:color="auto" w:fill="C4EFCE"/>
            <w:vAlign w:val="center"/>
          </w:tcPr>
          <w:p w14:paraId="7BCD5805" w14:textId="57AAEBFF" w:rsidR="00F24946" w:rsidRDefault="00613B06">
            <w:pPr>
              <w:pStyle w:val="P68B1DB1-Normal11"/>
              <w:spacing w:after="0" w:line="240" w:lineRule="auto"/>
              <w:jc w:val="center"/>
              <w:rPr>
                <w:rFonts w:eastAsia="Times New Roman" w:cstheme="minorHAnsi"/>
                <w:noProof/>
              </w:rPr>
            </w:pPr>
            <w:r>
              <w:rPr>
                <w:noProof/>
              </w:rPr>
              <w:t>21.19</w:t>
            </w:r>
          </w:p>
        </w:tc>
        <w:tc>
          <w:tcPr>
            <w:tcW w:w="1276" w:type="dxa"/>
            <w:shd w:val="clear" w:color="auto" w:fill="C4EFCE"/>
            <w:noWrap/>
            <w:vAlign w:val="center"/>
          </w:tcPr>
          <w:p w14:paraId="0FB6B493" w14:textId="29E0E517" w:rsidR="00F24946" w:rsidRDefault="00613B06">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F3A2F82" w14:textId="6C89584C"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263D92B4" w14:textId="6C0D542B" w:rsidR="00F24946" w:rsidRDefault="00613B06">
            <w:pPr>
              <w:pStyle w:val="P68B1DB1-Normal12"/>
              <w:spacing w:after="0" w:line="240" w:lineRule="auto"/>
              <w:jc w:val="center"/>
              <w:rPr>
                <w:rFonts w:eastAsia="Times New Roman" w:cstheme="minorHAnsi"/>
                <w:noProof/>
              </w:rPr>
            </w:pPr>
            <w:r>
              <w:rPr>
                <w:noProof/>
              </w:rPr>
              <w:t>Sprejetje akcijskega načrta za biometan</w:t>
            </w:r>
          </w:p>
        </w:tc>
        <w:tc>
          <w:tcPr>
            <w:tcW w:w="1275" w:type="dxa"/>
            <w:shd w:val="clear" w:color="auto" w:fill="C4EFCE"/>
            <w:noWrap/>
            <w:vAlign w:val="center"/>
          </w:tcPr>
          <w:p w14:paraId="2331BC43" w14:textId="5662D980" w:rsidR="00F24946" w:rsidRDefault="00613B06">
            <w:pPr>
              <w:pStyle w:val="P68B1DB1-Normal12"/>
              <w:spacing w:after="0" w:line="240" w:lineRule="auto"/>
              <w:jc w:val="center"/>
              <w:rPr>
                <w:rFonts w:eastAsia="Times New Roman" w:cstheme="minorHAnsi"/>
                <w:noProof/>
              </w:rPr>
            </w:pPr>
            <w:r>
              <w:rPr>
                <w:noProof/>
              </w:rPr>
              <w:t>Sprejetje akcijskega načrta za biometan</w:t>
            </w:r>
          </w:p>
        </w:tc>
        <w:tc>
          <w:tcPr>
            <w:tcW w:w="993" w:type="dxa"/>
            <w:shd w:val="clear" w:color="auto" w:fill="C4EFCE"/>
            <w:noWrap/>
            <w:vAlign w:val="center"/>
          </w:tcPr>
          <w:p w14:paraId="46102B02"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54ECF4E"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B73CC88"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547A7E82" w14:textId="293EE249"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7A5419DD" w14:textId="6C7BDBBD"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7712EEC" w14:textId="66A9DDF7" w:rsidR="00F24946" w:rsidRDefault="00613B06">
            <w:pPr>
              <w:pStyle w:val="P68B1DB1-Normal12"/>
              <w:spacing w:after="0" w:line="240" w:lineRule="auto"/>
              <w:jc w:val="both"/>
              <w:rPr>
                <w:rFonts w:eastAsia="Times New Roman" w:cstheme="minorHAnsi"/>
                <w:noProof/>
              </w:rPr>
            </w:pPr>
            <w:r>
              <w:rPr>
                <w:noProof/>
              </w:rPr>
              <w:t xml:space="preserve">Sprejetje akcijskega načrta za biometan, ki določa strategijo za razvoj trga biometana. </w:t>
            </w:r>
          </w:p>
        </w:tc>
      </w:tr>
      <w:tr w:rsidR="00F24946" w14:paraId="418F63A0" w14:textId="77777777">
        <w:trPr>
          <w:trHeight w:val="430"/>
        </w:trPr>
        <w:tc>
          <w:tcPr>
            <w:tcW w:w="1135" w:type="dxa"/>
            <w:shd w:val="clear" w:color="auto" w:fill="C4EFCE"/>
            <w:vAlign w:val="center"/>
          </w:tcPr>
          <w:p w14:paraId="142F0F30" w14:textId="5290C99B" w:rsidR="00F24946" w:rsidRDefault="00613B06">
            <w:pPr>
              <w:pStyle w:val="P68B1DB1-Normal11"/>
              <w:spacing w:after="0" w:line="240" w:lineRule="auto"/>
              <w:jc w:val="center"/>
              <w:rPr>
                <w:rFonts w:eastAsia="Times New Roman" w:cstheme="minorHAnsi"/>
                <w:noProof/>
              </w:rPr>
            </w:pPr>
            <w:r>
              <w:rPr>
                <w:noProof/>
              </w:rPr>
              <w:t>21.20</w:t>
            </w:r>
          </w:p>
        </w:tc>
        <w:tc>
          <w:tcPr>
            <w:tcW w:w="1276" w:type="dxa"/>
            <w:shd w:val="clear" w:color="auto" w:fill="C4EFCE"/>
            <w:noWrap/>
            <w:vAlign w:val="center"/>
          </w:tcPr>
          <w:p w14:paraId="6C665450" w14:textId="33C17ADF" w:rsidR="00F24946" w:rsidRDefault="00613B06">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CBD83E4" w14:textId="031B82C1"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797AFF" w14:textId="7C6D96EE" w:rsidR="00F24946" w:rsidRDefault="00613B06">
            <w:pPr>
              <w:pStyle w:val="P68B1DB1-Normal12"/>
              <w:spacing w:after="0" w:line="240" w:lineRule="auto"/>
              <w:jc w:val="center"/>
              <w:rPr>
                <w:rFonts w:eastAsia="Times New Roman" w:cstheme="minorHAnsi"/>
                <w:noProof/>
              </w:rPr>
            </w:pPr>
            <w:r>
              <w:rPr>
                <w:noProof/>
              </w:rPr>
              <w:t>Vzpostavitev umerja 2030</w:t>
            </w:r>
          </w:p>
        </w:tc>
        <w:tc>
          <w:tcPr>
            <w:tcW w:w="1275" w:type="dxa"/>
            <w:shd w:val="clear" w:color="auto" w:fill="C4EFCE"/>
            <w:noWrap/>
            <w:vAlign w:val="center"/>
          </w:tcPr>
          <w:p w14:paraId="3870792E" w14:textId="39267017" w:rsidR="00F24946" w:rsidRDefault="00613B06">
            <w:pPr>
              <w:pStyle w:val="P68B1DB1-Normal12"/>
              <w:spacing w:after="0" w:line="240" w:lineRule="auto"/>
              <w:jc w:val="center"/>
              <w:rPr>
                <w:rFonts w:eastAsia="Times New Roman" w:cstheme="minorHAnsi"/>
                <w:noProof/>
              </w:rPr>
            </w:pPr>
            <w:r>
              <w:rPr>
                <w:noProof/>
              </w:rPr>
              <w:t xml:space="preserve">Določba v zakonodajnem aktu o začetku veljavnosti zakonodajnega akta </w:t>
            </w:r>
          </w:p>
        </w:tc>
        <w:tc>
          <w:tcPr>
            <w:tcW w:w="993" w:type="dxa"/>
            <w:shd w:val="clear" w:color="auto" w:fill="C4EFCE"/>
            <w:noWrap/>
            <w:vAlign w:val="center"/>
          </w:tcPr>
          <w:p w14:paraId="4DE5ACF5"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F290546"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3BC3933"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46EB5396" w14:textId="2FD78DB8"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4CF27736" w14:textId="7B6485C3"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CD424AB" w14:textId="0D91A0DB" w:rsidR="00F24946" w:rsidRDefault="00613B06">
            <w:pPr>
              <w:pStyle w:val="P68B1DB1-Normal12"/>
              <w:spacing w:after="0" w:line="240" w:lineRule="auto"/>
              <w:jc w:val="both"/>
              <w:rPr>
                <w:rFonts w:eastAsia="Times New Roman" w:cstheme="minorHAnsi"/>
                <w:noProof/>
              </w:rPr>
            </w:pPr>
            <w:r>
              <w:rPr>
                <w:noProof/>
              </w:rPr>
              <w:t xml:space="preserve">Začetek veljavnosti povezanega zakonodajnega akta o uvedbi umere 2030. V zakonodajnem aktu so opredeljene naloge do leta 2030, kot so opredeljene v opisu ukrepa. </w:t>
            </w:r>
          </w:p>
        </w:tc>
      </w:tr>
      <w:tr w:rsidR="00F24946" w14:paraId="3434404A" w14:textId="77777777">
        <w:trPr>
          <w:trHeight w:val="430"/>
        </w:trPr>
        <w:tc>
          <w:tcPr>
            <w:tcW w:w="1135" w:type="dxa"/>
            <w:shd w:val="clear" w:color="auto" w:fill="C4EFCE"/>
            <w:vAlign w:val="center"/>
          </w:tcPr>
          <w:p w14:paraId="37F09A11" w14:textId="7EBD0484" w:rsidR="00F24946" w:rsidRDefault="00613B06">
            <w:pPr>
              <w:pStyle w:val="P68B1DB1-Normal11"/>
              <w:spacing w:after="0" w:line="240" w:lineRule="auto"/>
              <w:jc w:val="center"/>
              <w:rPr>
                <w:rFonts w:eastAsia="Times New Roman" w:cstheme="minorHAnsi"/>
                <w:noProof/>
              </w:rPr>
            </w:pPr>
            <w:r>
              <w:rPr>
                <w:noProof/>
              </w:rPr>
              <w:t>21.21</w:t>
            </w:r>
          </w:p>
        </w:tc>
        <w:tc>
          <w:tcPr>
            <w:tcW w:w="1276" w:type="dxa"/>
            <w:shd w:val="clear" w:color="auto" w:fill="C4EFCE"/>
            <w:noWrap/>
            <w:vAlign w:val="center"/>
          </w:tcPr>
          <w:p w14:paraId="24535339" w14:textId="20939CD9" w:rsidR="00F24946" w:rsidRDefault="00613B06">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BAC6B67" w14:textId="5DA5E0AC"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0A12304" w14:textId="3FA91FDE" w:rsidR="00F24946" w:rsidRDefault="00613B06">
            <w:pPr>
              <w:pStyle w:val="P68B1DB1-Normal12"/>
              <w:spacing w:after="0" w:line="240" w:lineRule="auto"/>
              <w:jc w:val="center"/>
              <w:rPr>
                <w:rFonts w:eastAsia="Times New Roman" w:cstheme="minorHAnsi"/>
                <w:noProof/>
              </w:rPr>
            </w:pPr>
            <w:r>
              <w:rPr>
                <w:noProof/>
              </w:rPr>
              <w:t>Začetek veljavnosti uredbe o izdajanju občinskih dovoljenj za projekte obnovljivih virov energije in shranjevanja</w:t>
            </w:r>
          </w:p>
        </w:tc>
        <w:tc>
          <w:tcPr>
            <w:tcW w:w="1275" w:type="dxa"/>
            <w:shd w:val="clear" w:color="auto" w:fill="C4EFCE"/>
            <w:noWrap/>
            <w:vAlign w:val="center"/>
          </w:tcPr>
          <w:p w14:paraId="10C906B4" w14:textId="27FE202E" w:rsidR="00F24946" w:rsidRDefault="00613B06">
            <w:pPr>
              <w:pStyle w:val="P68B1DB1-Normal12"/>
              <w:spacing w:after="0" w:line="240" w:lineRule="auto"/>
              <w:jc w:val="center"/>
              <w:rPr>
                <w:rFonts w:eastAsia="Times New Roman" w:cstheme="minorHAnsi"/>
                <w:noProof/>
              </w:rPr>
            </w:pPr>
            <w:r>
              <w:rPr>
                <w:noProof/>
              </w:rPr>
              <w:t xml:space="preserve">Določba občinske uredbe o začetku veljavnosti občinske uredbe </w:t>
            </w:r>
          </w:p>
        </w:tc>
        <w:tc>
          <w:tcPr>
            <w:tcW w:w="993" w:type="dxa"/>
            <w:shd w:val="clear" w:color="auto" w:fill="C4EFCE"/>
            <w:noWrap/>
            <w:vAlign w:val="center"/>
          </w:tcPr>
          <w:p w14:paraId="0B12EE5A"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04EA6B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145DD6C1"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6F0466BA" w14:textId="4D7C3903"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16E5EBC1" w14:textId="31A3FA96"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D91FA19" w14:textId="7AD125CE" w:rsidR="00F24946" w:rsidRDefault="00613B06">
            <w:pPr>
              <w:pStyle w:val="P68B1DB1-Normal12"/>
              <w:spacing w:after="0" w:line="240" w:lineRule="auto"/>
              <w:jc w:val="both"/>
              <w:rPr>
                <w:rFonts w:eastAsia="Times New Roman" w:cstheme="minorHAnsi"/>
                <w:noProof/>
              </w:rPr>
            </w:pPr>
            <w:r>
              <w:rPr>
                <w:noProof/>
              </w:rPr>
              <w:t>Objava resolucije Sveta ministrov o uredbi o izdajanju občinskih dovoljenj za projekte in skladiščenje energije iz obnovljivih virov.</w:t>
            </w:r>
          </w:p>
        </w:tc>
      </w:tr>
      <w:tr w:rsidR="00F24946" w14:paraId="59D26DB7" w14:textId="77777777">
        <w:trPr>
          <w:trHeight w:val="430"/>
        </w:trPr>
        <w:tc>
          <w:tcPr>
            <w:tcW w:w="1135" w:type="dxa"/>
            <w:shd w:val="clear" w:color="auto" w:fill="C4EFCE"/>
            <w:vAlign w:val="center"/>
          </w:tcPr>
          <w:p w14:paraId="4648D13C" w14:textId="44A43D75" w:rsidR="00F24946" w:rsidRDefault="00613B06">
            <w:pPr>
              <w:pStyle w:val="P68B1DB1-Normal11"/>
              <w:spacing w:after="0" w:line="240" w:lineRule="auto"/>
              <w:jc w:val="center"/>
              <w:rPr>
                <w:rFonts w:eastAsia="Times New Roman" w:cstheme="minorHAnsi"/>
                <w:noProof/>
              </w:rPr>
            </w:pPr>
            <w:r>
              <w:rPr>
                <w:noProof/>
              </w:rPr>
              <w:t>21.22</w:t>
            </w:r>
          </w:p>
        </w:tc>
        <w:tc>
          <w:tcPr>
            <w:tcW w:w="1276" w:type="dxa"/>
            <w:shd w:val="clear" w:color="auto" w:fill="C4EFCE"/>
            <w:noWrap/>
            <w:vAlign w:val="center"/>
          </w:tcPr>
          <w:p w14:paraId="728FC768" w14:textId="59F4F085" w:rsidR="00F24946" w:rsidRDefault="00613B06">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0E1CE1B" w14:textId="1F3111B7"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1AC95E2" w14:textId="5B253EDB" w:rsidR="00F24946" w:rsidRDefault="00613B06">
            <w:pPr>
              <w:pStyle w:val="P68B1DB1-Normal12"/>
              <w:spacing w:after="0" w:line="240" w:lineRule="auto"/>
              <w:jc w:val="center"/>
              <w:rPr>
                <w:rFonts w:eastAsia="Times New Roman" w:cstheme="minorHAnsi"/>
                <w:noProof/>
              </w:rPr>
            </w:pPr>
            <w:r>
              <w:rPr>
                <w:noProof/>
              </w:rPr>
              <w:t>Usposabljanje osebja, ki sodeluje pri izdajanju dovoljenj za projekte na področju obnovljivih virov energije</w:t>
            </w:r>
          </w:p>
        </w:tc>
        <w:tc>
          <w:tcPr>
            <w:tcW w:w="1275" w:type="dxa"/>
            <w:shd w:val="clear" w:color="auto" w:fill="C4EFCE"/>
            <w:noWrap/>
            <w:vAlign w:val="center"/>
          </w:tcPr>
          <w:p w14:paraId="14FEE229"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1136F752" w14:textId="546F194B"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04BAAFA7" w14:textId="452A409E" w:rsidR="00F24946" w:rsidRDefault="00613B06">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8F14940" w14:textId="00FDB63C" w:rsidR="00F24946" w:rsidRDefault="00613B06">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2B93DCD7" w14:textId="2044BE31"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628BED9C" w14:textId="08411F98"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D275AC8" w14:textId="3EE92F9A" w:rsidR="00F24946" w:rsidRDefault="00613B06">
            <w:pPr>
              <w:pStyle w:val="P68B1DB1-Normal12"/>
              <w:spacing w:after="0" w:line="240" w:lineRule="auto"/>
              <w:jc w:val="both"/>
              <w:rPr>
                <w:rFonts w:eastAsia="Times New Roman" w:cstheme="minorHAnsi"/>
                <w:noProof/>
              </w:rPr>
            </w:pPr>
            <w:r>
              <w:rPr>
                <w:noProof/>
              </w:rPr>
              <w:t xml:space="preserve">500 vodstvenih delavcev in tehnikov centralne, regionalne in lokalne javne uprave se usposablja na področjih, povezanih s postopki izdaje dovoljenj za projekte na področju energije iz obnovljivih virov in shranjevanje energije. </w:t>
            </w:r>
          </w:p>
        </w:tc>
      </w:tr>
      <w:tr w:rsidR="00F24946" w14:paraId="36CE5503" w14:textId="77777777">
        <w:trPr>
          <w:trHeight w:val="430"/>
        </w:trPr>
        <w:tc>
          <w:tcPr>
            <w:tcW w:w="1135" w:type="dxa"/>
            <w:shd w:val="clear" w:color="auto" w:fill="C4EFCE"/>
            <w:vAlign w:val="center"/>
          </w:tcPr>
          <w:p w14:paraId="37D608B0" w14:textId="69E7C5E2" w:rsidR="00F24946" w:rsidRDefault="00613B06">
            <w:pPr>
              <w:pStyle w:val="P68B1DB1-Normal11"/>
              <w:spacing w:after="0" w:line="240" w:lineRule="auto"/>
              <w:jc w:val="center"/>
              <w:rPr>
                <w:rFonts w:eastAsia="Times New Roman" w:cstheme="minorHAnsi"/>
                <w:noProof/>
              </w:rPr>
            </w:pPr>
            <w:r>
              <w:rPr>
                <w:noProof/>
              </w:rPr>
              <w:t>21.23</w:t>
            </w:r>
          </w:p>
        </w:tc>
        <w:tc>
          <w:tcPr>
            <w:tcW w:w="1276" w:type="dxa"/>
            <w:shd w:val="clear" w:color="auto" w:fill="C4EFCE"/>
            <w:noWrap/>
            <w:vAlign w:val="center"/>
          </w:tcPr>
          <w:p w14:paraId="29182886" w14:textId="24BC074B" w:rsidR="00F24946" w:rsidRDefault="00613B06">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ED75554" w14:textId="2C085155"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5F13748" w14:textId="5624F122" w:rsidR="00F24946" w:rsidRDefault="00613B06">
            <w:pPr>
              <w:pStyle w:val="P68B1DB1-Normal12"/>
              <w:spacing w:after="0" w:line="240" w:lineRule="auto"/>
              <w:jc w:val="center"/>
              <w:rPr>
                <w:rFonts w:eastAsia="Times New Roman" w:cstheme="minorHAnsi"/>
                <w:noProof/>
              </w:rPr>
            </w:pPr>
            <w:r>
              <w:rPr>
                <w:noProof/>
              </w:rPr>
              <w:t>Sprejetje časovnega razporeda za dodelitev novih zmogljivosti za energijo iz obnovljivih virov s posebnim poudarkom na geografskih območjih, ki izhajajo iz sektorskega programa „Obnovljivi cilji“</w:t>
            </w:r>
          </w:p>
        </w:tc>
        <w:tc>
          <w:tcPr>
            <w:tcW w:w="1275" w:type="dxa"/>
            <w:shd w:val="clear" w:color="auto" w:fill="C4EFCE"/>
            <w:noWrap/>
            <w:vAlign w:val="center"/>
          </w:tcPr>
          <w:p w14:paraId="51E28EBC" w14:textId="66E4B695" w:rsidR="00F24946" w:rsidRDefault="00613B06">
            <w:pPr>
              <w:pStyle w:val="P68B1DB1-Normal12"/>
              <w:spacing w:after="0" w:line="240" w:lineRule="auto"/>
              <w:jc w:val="center"/>
              <w:rPr>
                <w:rFonts w:eastAsia="Times New Roman" w:cstheme="minorHAnsi"/>
                <w:noProof/>
              </w:rPr>
            </w:pPr>
            <w:r>
              <w:rPr>
                <w:noProof/>
              </w:rPr>
              <w:t xml:space="preserve">Sprejetje časovnega razporeda za dodelitev novih zmogljivosti OVE na podlagi območij Go-to </w:t>
            </w:r>
          </w:p>
        </w:tc>
        <w:tc>
          <w:tcPr>
            <w:tcW w:w="993" w:type="dxa"/>
            <w:shd w:val="clear" w:color="auto" w:fill="C4EFCE"/>
            <w:noWrap/>
            <w:vAlign w:val="center"/>
          </w:tcPr>
          <w:p w14:paraId="7B8AAA5E"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11B6E3D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04E9295"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515A26CF" w14:textId="56B4BB75"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0A8FB463" w14:textId="6E885BE8"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607DDA1" w14:textId="4B0D2B85" w:rsidR="00F24946" w:rsidRDefault="00613B06">
            <w:pPr>
              <w:pStyle w:val="P68B1DB1-Normal12"/>
              <w:spacing w:after="0" w:line="240" w:lineRule="auto"/>
              <w:jc w:val="both"/>
              <w:rPr>
                <w:rFonts w:eastAsia="Times New Roman" w:cstheme="minorHAnsi"/>
                <w:noProof/>
              </w:rPr>
            </w:pPr>
            <w:r>
              <w:rPr>
                <w:noProof/>
              </w:rPr>
              <w:t xml:space="preserve">Sprejetje časovnega razporeda za dodelitev novih zmogljivosti na področju energije iz obnovljivih virov za razvoj projektov na področju energije iz obnovljivih virov (predlagano do leta 2030), s posebnim poudarkom na geografskih območjih, ki izhajajo iz sektorskega programa „Obnovljivi cilji na področju energije iz obnovljivih virov“, ki bo objavljen leta 2024. </w:t>
            </w:r>
          </w:p>
        </w:tc>
      </w:tr>
      <w:tr w:rsidR="00F24946" w14:paraId="41B1E0D5" w14:textId="77777777">
        <w:trPr>
          <w:trHeight w:val="430"/>
        </w:trPr>
        <w:tc>
          <w:tcPr>
            <w:tcW w:w="1135" w:type="dxa"/>
            <w:shd w:val="clear" w:color="auto" w:fill="C4EFCE"/>
            <w:vAlign w:val="center"/>
          </w:tcPr>
          <w:p w14:paraId="3CE0F6A4" w14:textId="7162E82F" w:rsidR="00F24946" w:rsidRDefault="00613B06">
            <w:pPr>
              <w:pStyle w:val="P68B1DB1-Normal11"/>
              <w:spacing w:after="0" w:line="240" w:lineRule="auto"/>
              <w:jc w:val="center"/>
              <w:rPr>
                <w:rFonts w:eastAsia="Times New Roman" w:cstheme="minorHAnsi"/>
                <w:noProof/>
              </w:rPr>
            </w:pPr>
            <w:r>
              <w:rPr>
                <w:noProof/>
              </w:rPr>
              <w:t>21.24</w:t>
            </w:r>
          </w:p>
        </w:tc>
        <w:tc>
          <w:tcPr>
            <w:tcW w:w="1276" w:type="dxa"/>
            <w:shd w:val="clear" w:color="auto" w:fill="C4EFCE"/>
            <w:noWrap/>
            <w:vAlign w:val="center"/>
          </w:tcPr>
          <w:p w14:paraId="1D62C08E" w14:textId="5C708E14" w:rsidR="00F24946" w:rsidRDefault="00613B06">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7081CC4B" w14:textId="0DFD479C"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E8748BD" w14:textId="48B0F1BB" w:rsidR="00F24946" w:rsidRDefault="00613B06">
            <w:pPr>
              <w:pStyle w:val="P68B1DB1-Normal12"/>
              <w:spacing w:after="0" w:line="240" w:lineRule="auto"/>
              <w:jc w:val="center"/>
              <w:rPr>
                <w:rFonts w:eastAsia="Times New Roman" w:cstheme="minorHAnsi"/>
                <w:noProof/>
              </w:rPr>
            </w:pPr>
            <w:r>
              <w:rPr>
                <w:noProof/>
              </w:rPr>
              <w:t>Javni razpis za projekte za proizvodnjo plina iz obnovljivih virov</w:t>
            </w:r>
          </w:p>
        </w:tc>
        <w:tc>
          <w:tcPr>
            <w:tcW w:w="1275" w:type="dxa"/>
            <w:shd w:val="clear" w:color="auto" w:fill="C4EFCE"/>
            <w:noWrap/>
            <w:vAlign w:val="center"/>
          </w:tcPr>
          <w:p w14:paraId="66FE5F49" w14:textId="6737AF70" w:rsidR="00F24946" w:rsidRDefault="00613B06">
            <w:pPr>
              <w:pStyle w:val="P68B1DB1-Normal12"/>
              <w:spacing w:after="0" w:line="240" w:lineRule="auto"/>
              <w:jc w:val="center"/>
              <w:rPr>
                <w:rFonts w:eastAsia="Times New Roman" w:cstheme="minorHAnsi"/>
                <w:noProof/>
              </w:rPr>
            </w:pPr>
            <w:r>
              <w:rPr>
                <w:noProof/>
              </w:rPr>
              <w:t>Odprt javni razpis</w:t>
            </w:r>
          </w:p>
        </w:tc>
        <w:tc>
          <w:tcPr>
            <w:tcW w:w="993" w:type="dxa"/>
            <w:shd w:val="clear" w:color="auto" w:fill="C4EFCE"/>
            <w:noWrap/>
            <w:vAlign w:val="center"/>
          </w:tcPr>
          <w:p w14:paraId="479A718C"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0B02F5A2"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0B95FF4D"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146FF056" w14:textId="0D036499"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2563D209" w14:textId="5636F9A1" w:rsidR="00F24946" w:rsidRDefault="00613B06">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17D5EFE" w14:textId="5E524A6E" w:rsidR="00F24946" w:rsidRDefault="00613B06">
            <w:pPr>
              <w:pStyle w:val="P68B1DB1-Normal12"/>
              <w:spacing w:after="0" w:line="240" w:lineRule="auto"/>
              <w:jc w:val="both"/>
              <w:rPr>
                <w:rFonts w:eastAsia="Times New Roman" w:cstheme="minorHAnsi"/>
                <w:noProof/>
              </w:rPr>
            </w:pPr>
            <w:r>
              <w:rPr>
                <w:noProof/>
              </w:rPr>
              <w:t>Objava razpisa za izbiro projektov, ki jih je treba podpreti za vsaj 77 MW novo nameščenega obnovljivega vodika in drugih obnovljivih plinov z ničelnimi emisijami toplogrednih plinov v življenjskem ciklu ali blizu nje</w:t>
            </w:r>
          </w:p>
        </w:tc>
      </w:tr>
      <w:tr w:rsidR="00F24946" w14:paraId="40C08A18" w14:textId="77777777">
        <w:trPr>
          <w:trHeight w:val="430"/>
        </w:trPr>
        <w:tc>
          <w:tcPr>
            <w:tcW w:w="1135" w:type="dxa"/>
            <w:shd w:val="clear" w:color="auto" w:fill="C4EFCE"/>
            <w:vAlign w:val="center"/>
          </w:tcPr>
          <w:p w14:paraId="0D51024F" w14:textId="29C3E044" w:rsidR="00F24946" w:rsidRDefault="00613B06">
            <w:pPr>
              <w:pStyle w:val="P68B1DB1-Normal11"/>
              <w:spacing w:after="0" w:line="240" w:lineRule="auto"/>
              <w:jc w:val="center"/>
              <w:rPr>
                <w:rFonts w:eastAsia="Times New Roman" w:cstheme="minorHAnsi"/>
                <w:noProof/>
              </w:rPr>
            </w:pPr>
            <w:r>
              <w:rPr>
                <w:noProof/>
              </w:rPr>
              <w:t>21.25</w:t>
            </w:r>
          </w:p>
        </w:tc>
        <w:tc>
          <w:tcPr>
            <w:tcW w:w="1276" w:type="dxa"/>
            <w:shd w:val="clear" w:color="auto" w:fill="C4EFCE"/>
            <w:noWrap/>
            <w:vAlign w:val="center"/>
          </w:tcPr>
          <w:p w14:paraId="77D23AA8" w14:textId="65077A31" w:rsidR="00F24946" w:rsidRDefault="00613B06">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57213471" w14:textId="60058345"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FE5C52B" w14:textId="4E89CAFA" w:rsidR="00F24946" w:rsidRDefault="00613B06">
            <w:pPr>
              <w:pStyle w:val="P68B1DB1-Normal12"/>
              <w:spacing w:after="0" w:line="240" w:lineRule="auto"/>
              <w:jc w:val="center"/>
              <w:rPr>
                <w:rFonts w:eastAsia="Times New Roman" w:cstheme="minorHAnsi"/>
                <w:noProof/>
              </w:rPr>
            </w:pPr>
            <w:r>
              <w:rPr>
                <w:noProof/>
              </w:rPr>
              <w:t>Dodatna zmogljivost za proizvodnjo obnovljivega vodika in obnovljivega plina</w:t>
            </w:r>
          </w:p>
        </w:tc>
        <w:tc>
          <w:tcPr>
            <w:tcW w:w="1275" w:type="dxa"/>
            <w:shd w:val="clear" w:color="auto" w:fill="C4EFCE"/>
            <w:noWrap/>
            <w:vAlign w:val="center"/>
          </w:tcPr>
          <w:p w14:paraId="1CC9CE9A"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0507A478" w14:textId="2F6724C7" w:rsidR="00F24946" w:rsidRDefault="00613B06">
            <w:pPr>
              <w:pStyle w:val="P68B1DB1-Bodytext1013"/>
              <w:jc w:val="center"/>
              <w:rPr>
                <w:rFonts w:cstheme="minorHAnsi"/>
                <w:noProof/>
              </w:rPr>
            </w:pPr>
            <w:r>
              <w:rPr>
                <w:noProof/>
              </w:rPr>
              <w:t>MW</w:t>
            </w:r>
          </w:p>
        </w:tc>
        <w:tc>
          <w:tcPr>
            <w:tcW w:w="992" w:type="dxa"/>
            <w:shd w:val="clear" w:color="auto" w:fill="C4EFCE"/>
            <w:noWrap/>
            <w:vAlign w:val="center"/>
          </w:tcPr>
          <w:p w14:paraId="113D3DC1" w14:textId="69E6A3A4" w:rsidR="00F24946" w:rsidRDefault="00613B06">
            <w:pPr>
              <w:pStyle w:val="P68B1DB1-Bodytext1013"/>
              <w:jc w:val="center"/>
              <w:rPr>
                <w:rFonts w:cstheme="minorHAnsi"/>
                <w:noProof/>
              </w:rPr>
            </w:pPr>
            <w:r>
              <w:rPr>
                <w:noProof/>
              </w:rPr>
              <w:t>200</w:t>
            </w:r>
          </w:p>
        </w:tc>
        <w:tc>
          <w:tcPr>
            <w:tcW w:w="992" w:type="dxa"/>
            <w:shd w:val="clear" w:color="auto" w:fill="C4EFCE"/>
            <w:noWrap/>
            <w:vAlign w:val="center"/>
          </w:tcPr>
          <w:p w14:paraId="7576C464" w14:textId="71409B46" w:rsidR="00F24946" w:rsidRDefault="00613B06">
            <w:pPr>
              <w:pStyle w:val="P68B1DB1-Bodytext1013"/>
              <w:jc w:val="center"/>
              <w:rPr>
                <w:rFonts w:cstheme="minorHAnsi"/>
                <w:noProof/>
              </w:rPr>
            </w:pPr>
            <w:r>
              <w:rPr>
                <w:noProof/>
              </w:rPr>
              <w:t>277</w:t>
            </w:r>
          </w:p>
        </w:tc>
        <w:tc>
          <w:tcPr>
            <w:tcW w:w="567" w:type="dxa"/>
            <w:shd w:val="clear" w:color="auto" w:fill="C4EFCE"/>
            <w:noWrap/>
            <w:vAlign w:val="center"/>
          </w:tcPr>
          <w:p w14:paraId="685921C4" w14:textId="6AE79D57" w:rsidR="00F24946" w:rsidRDefault="00613B06">
            <w:pPr>
              <w:pStyle w:val="P68B1DB1-Normal12"/>
              <w:spacing w:after="0" w:line="240" w:lineRule="auto"/>
              <w:jc w:val="center"/>
              <w:rPr>
                <w:rFonts w:eastAsia="Times New Roman"/>
                <w:noProof/>
              </w:rPr>
            </w:pPr>
            <w:r>
              <w:rPr>
                <w:noProof/>
              </w:rPr>
              <w:t>Q2</w:t>
            </w:r>
          </w:p>
        </w:tc>
        <w:tc>
          <w:tcPr>
            <w:tcW w:w="708" w:type="dxa"/>
            <w:shd w:val="clear" w:color="auto" w:fill="C4EFCE"/>
            <w:noWrap/>
            <w:vAlign w:val="center"/>
          </w:tcPr>
          <w:p w14:paraId="3E715CB5" w14:textId="528BEFE4" w:rsidR="00F24946" w:rsidRDefault="00613B06">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1DFE52F0" w14:textId="3B8ED44F" w:rsidR="00F24946" w:rsidRDefault="00613B06">
            <w:pPr>
              <w:pStyle w:val="P68B1DB1-Normal12"/>
              <w:spacing w:after="0" w:line="240" w:lineRule="auto"/>
              <w:jc w:val="both"/>
              <w:rPr>
                <w:rFonts w:eastAsia="Times New Roman" w:cstheme="minorHAnsi"/>
                <w:noProof/>
              </w:rPr>
            </w:pPr>
            <w:r>
              <w:rPr>
                <w:noProof/>
              </w:rPr>
              <w:t>Dodatna zmogljivost za proizvodnjo obnovljivega vodika in obnovljivih plinov, nameščena z ničelnimi emisijami toplogrednih plinov v življenjskem ciklu ali blizu nje</w:t>
            </w:r>
          </w:p>
        </w:tc>
      </w:tr>
      <w:tr w:rsidR="00F24946" w14:paraId="1045276A" w14:textId="77777777">
        <w:trPr>
          <w:trHeight w:val="430"/>
        </w:trPr>
        <w:tc>
          <w:tcPr>
            <w:tcW w:w="1135" w:type="dxa"/>
            <w:shd w:val="clear" w:color="auto" w:fill="C4EFCE"/>
            <w:vAlign w:val="center"/>
          </w:tcPr>
          <w:p w14:paraId="55738168" w14:textId="0E945F03" w:rsidR="00F24946" w:rsidRDefault="00613B06">
            <w:pPr>
              <w:pStyle w:val="P68B1DB1-Normal11"/>
              <w:spacing w:after="0" w:line="240" w:lineRule="auto"/>
              <w:jc w:val="center"/>
              <w:rPr>
                <w:rFonts w:eastAsia="Times New Roman" w:cstheme="minorHAnsi"/>
                <w:noProof/>
              </w:rPr>
            </w:pPr>
            <w:r>
              <w:rPr>
                <w:noProof/>
              </w:rPr>
              <w:t>21.26</w:t>
            </w:r>
          </w:p>
        </w:tc>
        <w:tc>
          <w:tcPr>
            <w:tcW w:w="1276" w:type="dxa"/>
            <w:shd w:val="clear" w:color="auto" w:fill="C4EFCE"/>
            <w:noWrap/>
            <w:vAlign w:val="center"/>
          </w:tcPr>
          <w:p w14:paraId="4B3853AA" w14:textId="5D7EDD36" w:rsidR="00F24946" w:rsidRDefault="00613B06">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4AEE7547" w14:textId="408AED36"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915FA70" w14:textId="3F664342" w:rsidR="00F24946" w:rsidRDefault="00613B06">
            <w:pPr>
              <w:pStyle w:val="P68B1DB1-Normal12"/>
              <w:spacing w:after="0" w:line="240" w:lineRule="auto"/>
              <w:jc w:val="center"/>
              <w:rPr>
                <w:rFonts w:eastAsia="Times New Roman" w:cstheme="minorHAnsi"/>
                <w:noProof/>
              </w:rPr>
            </w:pPr>
            <w:r>
              <w:rPr>
                <w:noProof/>
              </w:rPr>
              <w:t>Podpis pogodb za tehnične študije na morju</w:t>
            </w:r>
          </w:p>
        </w:tc>
        <w:tc>
          <w:tcPr>
            <w:tcW w:w="1275" w:type="dxa"/>
            <w:shd w:val="clear" w:color="auto" w:fill="C4EFCE"/>
            <w:noWrap/>
            <w:vAlign w:val="center"/>
          </w:tcPr>
          <w:p w14:paraId="1B3565C5" w14:textId="155871F2" w:rsidR="00F24946" w:rsidRDefault="00613B06">
            <w:pPr>
              <w:pStyle w:val="P68B1DB1-Normal12"/>
              <w:spacing w:after="0" w:line="240" w:lineRule="auto"/>
              <w:jc w:val="center"/>
              <w:rPr>
                <w:rFonts w:eastAsia="Times New Roman" w:cstheme="minorHAnsi"/>
                <w:noProof/>
              </w:rPr>
            </w:pPr>
            <w:r>
              <w:rPr>
                <w:noProof/>
              </w:rPr>
              <w:t>Podpis pogodb za tehnične študije na morju</w:t>
            </w:r>
          </w:p>
        </w:tc>
        <w:tc>
          <w:tcPr>
            <w:tcW w:w="993" w:type="dxa"/>
            <w:shd w:val="clear" w:color="auto" w:fill="C4EFCE"/>
            <w:noWrap/>
            <w:vAlign w:val="center"/>
          </w:tcPr>
          <w:p w14:paraId="6A8DEA3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15E396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6CD424A"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3B750639" w14:textId="6AFCD4AA"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137C7D92" w14:textId="007769A9"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9E9FABE" w14:textId="406ED44D" w:rsidR="00F24946" w:rsidRDefault="00613B06">
            <w:pPr>
              <w:pStyle w:val="P68B1DB1-Normal12"/>
              <w:spacing w:after="0" w:line="240" w:lineRule="auto"/>
              <w:jc w:val="both"/>
              <w:rPr>
                <w:rFonts w:eastAsia="Times New Roman" w:cstheme="minorHAnsi"/>
                <w:noProof/>
              </w:rPr>
            </w:pPr>
            <w:r>
              <w:rPr>
                <w:noProof/>
              </w:rPr>
              <w:t xml:space="preserve">Podpis pogodb za geofizikalne, geotehnične, vetrne, valovne in tekoče študije na morju, katerih namen je olajšati namestitev vetrne energije na morju. </w:t>
            </w:r>
          </w:p>
        </w:tc>
      </w:tr>
      <w:tr w:rsidR="00F24946" w14:paraId="54C1DF86" w14:textId="77777777">
        <w:trPr>
          <w:trHeight w:val="430"/>
        </w:trPr>
        <w:tc>
          <w:tcPr>
            <w:tcW w:w="1135" w:type="dxa"/>
            <w:shd w:val="clear" w:color="auto" w:fill="C4EFCE"/>
            <w:vAlign w:val="center"/>
          </w:tcPr>
          <w:p w14:paraId="74BF25A6" w14:textId="17A4170C" w:rsidR="00F24946" w:rsidRDefault="00613B06">
            <w:pPr>
              <w:pStyle w:val="P68B1DB1-Normal11"/>
              <w:spacing w:after="0" w:line="240" w:lineRule="auto"/>
              <w:jc w:val="center"/>
              <w:rPr>
                <w:rFonts w:eastAsia="Times New Roman" w:cstheme="minorHAnsi"/>
                <w:noProof/>
              </w:rPr>
            </w:pPr>
            <w:r>
              <w:rPr>
                <w:noProof/>
              </w:rPr>
              <w:t>21.27</w:t>
            </w:r>
          </w:p>
        </w:tc>
        <w:tc>
          <w:tcPr>
            <w:tcW w:w="1276" w:type="dxa"/>
            <w:shd w:val="clear" w:color="auto" w:fill="C4EFCE"/>
            <w:noWrap/>
            <w:vAlign w:val="center"/>
          </w:tcPr>
          <w:p w14:paraId="64144345" w14:textId="66F94339" w:rsidR="00F24946" w:rsidRDefault="00613B06">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7865928B" w14:textId="72EB631F"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BB3CE96" w14:textId="66D1E21F" w:rsidR="00F24946" w:rsidRDefault="00613B06">
            <w:pPr>
              <w:pStyle w:val="P68B1DB1-Normal12"/>
              <w:spacing w:after="0" w:line="240" w:lineRule="auto"/>
              <w:jc w:val="center"/>
              <w:rPr>
                <w:rFonts w:eastAsia="Times New Roman" w:cstheme="minorHAnsi"/>
                <w:noProof/>
              </w:rPr>
            </w:pPr>
            <w:r>
              <w:rPr>
                <w:noProof/>
              </w:rPr>
              <w:t>Zaključek tehničnih študij za vetrno energijo na morju</w:t>
            </w:r>
          </w:p>
        </w:tc>
        <w:tc>
          <w:tcPr>
            <w:tcW w:w="1275" w:type="dxa"/>
            <w:shd w:val="clear" w:color="auto" w:fill="C4EFCE"/>
            <w:noWrap/>
            <w:vAlign w:val="center"/>
          </w:tcPr>
          <w:p w14:paraId="6C094680" w14:textId="1CDCB07B" w:rsidR="00F24946" w:rsidRDefault="00613B06">
            <w:pPr>
              <w:pStyle w:val="P68B1DB1-Normal12"/>
              <w:spacing w:after="0" w:line="240" w:lineRule="auto"/>
              <w:jc w:val="center"/>
              <w:rPr>
                <w:rFonts w:eastAsia="Times New Roman" w:cstheme="minorHAnsi"/>
                <w:noProof/>
              </w:rPr>
            </w:pPr>
            <w:r>
              <w:rPr>
                <w:noProof/>
              </w:rPr>
              <w:t>Zaključek tehničnih študij za vetrno energijo na morju</w:t>
            </w:r>
          </w:p>
        </w:tc>
        <w:tc>
          <w:tcPr>
            <w:tcW w:w="993" w:type="dxa"/>
            <w:shd w:val="clear" w:color="auto" w:fill="C4EFCE"/>
            <w:noWrap/>
            <w:vAlign w:val="center"/>
          </w:tcPr>
          <w:p w14:paraId="3AE2A000"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2320F173"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41DB8D43"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1EC71DEE" w14:textId="4990C42A"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57D3FE17" w14:textId="51C26B14"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AC78EE5" w14:textId="28037D15" w:rsidR="00F24946" w:rsidRDefault="00613B06">
            <w:pPr>
              <w:pStyle w:val="P68B1DB1-Normal12"/>
              <w:spacing w:after="0" w:line="240" w:lineRule="auto"/>
              <w:jc w:val="both"/>
              <w:rPr>
                <w:rFonts w:eastAsia="Times New Roman"/>
                <w:noProof/>
              </w:rPr>
            </w:pPr>
            <w:r>
              <w:rPr>
                <w:noProof/>
              </w:rPr>
              <w:t>Zaključek geofizikalnih, geotehničnih, vetrovnih in tekočih študij, katerih namen je olajšati namestitev vetrne energije na morju in pokrivati območje vsaj 2 000 km².</w:t>
            </w:r>
          </w:p>
        </w:tc>
      </w:tr>
      <w:tr w:rsidR="00F24946" w14:paraId="7539E854" w14:textId="77777777">
        <w:trPr>
          <w:trHeight w:val="430"/>
        </w:trPr>
        <w:tc>
          <w:tcPr>
            <w:tcW w:w="1135" w:type="dxa"/>
            <w:shd w:val="clear" w:color="auto" w:fill="C4EFCE"/>
            <w:vAlign w:val="center"/>
          </w:tcPr>
          <w:p w14:paraId="3006E847" w14:textId="1BEAC184" w:rsidR="00F24946" w:rsidRDefault="00613B06">
            <w:pPr>
              <w:pStyle w:val="P68B1DB1-Normal11"/>
              <w:spacing w:after="0" w:line="240" w:lineRule="auto"/>
              <w:jc w:val="center"/>
              <w:rPr>
                <w:rFonts w:eastAsia="Times New Roman" w:cstheme="minorHAnsi"/>
                <w:noProof/>
              </w:rPr>
            </w:pPr>
            <w:r>
              <w:rPr>
                <w:noProof/>
              </w:rPr>
              <w:t>21.28</w:t>
            </w:r>
          </w:p>
        </w:tc>
        <w:tc>
          <w:tcPr>
            <w:tcW w:w="1276" w:type="dxa"/>
            <w:shd w:val="clear" w:color="auto" w:fill="C4EFCE"/>
            <w:noWrap/>
            <w:vAlign w:val="center"/>
          </w:tcPr>
          <w:p w14:paraId="1409BB5F" w14:textId="7C2538F1" w:rsidR="00F24946" w:rsidRDefault="00613B06">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5465DB3D" w14:textId="06A0BB9B"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298A80C" w14:textId="44A074A0" w:rsidR="00F24946" w:rsidRDefault="00613B06">
            <w:pPr>
              <w:pStyle w:val="P68B1DB1-Normal12"/>
              <w:spacing w:after="0" w:line="240" w:lineRule="auto"/>
              <w:jc w:val="center"/>
              <w:rPr>
                <w:rFonts w:eastAsia="Times New Roman" w:cstheme="minorHAnsi"/>
                <w:noProof/>
              </w:rPr>
            </w:pPr>
            <w:r>
              <w:rPr>
                <w:noProof/>
              </w:rPr>
              <w:t>Podpis pogojev za sprejem za namestitev zmogljivosti za shranjevanje električne energije</w:t>
            </w:r>
          </w:p>
        </w:tc>
        <w:tc>
          <w:tcPr>
            <w:tcW w:w="1275" w:type="dxa"/>
            <w:shd w:val="clear" w:color="auto" w:fill="C4EFCE"/>
            <w:noWrap/>
            <w:vAlign w:val="center"/>
          </w:tcPr>
          <w:p w14:paraId="1573BBFD" w14:textId="4C8CE9E8" w:rsidR="00F24946" w:rsidRDefault="00613B06">
            <w:pPr>
              <w:pStyle w:val="P68B1DB1-Normal12"/>
              <w:spacing w:after="0" w:line="240" w:lineRule="auto"/>
              <w:jc w:val="center"/>
              <w:rPr>
                <w:rFonts w:eastAsia="Times New Roman" w:cstheme="minorHAnsi"/>
                <w:noProof/>
              </w:rPr>
            </w:pPr>
            <w:r>
              <w:rPr>
                <w:noProof/>
              </w:rPr>
              <w:t>Podpis pogojev odobritve za napravo z zmogljivostjo skladiščenja najmanj 500 MW</w:t>
            </w:r>
          </w:p>
        </w:tc>
        <w:tc>
          <w:tcPr>
            <w:tcW w:w="993" w:type="dxa"/>
            <w:shd w:val="clear" w:color="auto" w:fill="C4EFCE"/>
            <w:noWrap/>
            <w:vAlign w:val="center"/>
          </w:tcPr>
          <w:p w14:paraId="13FF946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4EED15CC" w14:textId="7413286F"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86A1FE7"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1A56D73B" w14:textId="2347516A" w:rsidR="00F24946" w:rsidRDefault="00613B06">
            <w:pPr>
              <w:pStyle w:val="P68B1DB1-Normal12"/>
              <w:spacing w:after="0" w:line="240" w:lineRule="auto"/>
              <w:jc w:val="center"/>
              <w:rPr>
                <w:rFonts w:eastAsia="Times New Roman"/>
                <w:noProof/>
              </w:rPr>
            </w:pPr>
            <w:r>
              <w:rPr>
                <w:noProof/>
              </w:rPr>
              <w:t>Q2</w:t>
            </w:r>
          </w:p>
        </w:tc>
        <w:tc>
          <w:tcPr>
            <w:tcW w:w="708" w:type="dxa"/>
            <w:shd w:val="clear" w:color="auto" w:fill="C4EFCE"/>
            <w:noWrap/>
            <w:vAlign w:val="center"/>
          </w:tcPr>
          <w:p w14:paraId="108BC515" w14:textId="020B0AB5" w:rsidR="00F24946" w:rsidRDefault="00613B06">
            <w:pPr>
              <w:pStyle w:val="P68B1DB1-Normal12"/>
              <w:spacing w:after="0" w:line="240" w:lineRule="auto"/>
              <w:jc w:val="center"/>
              <w:rPr>
                <w:rFonts w:eastAsia="Times New Roman"/>
                <w:noProof/>
              </w:rPr>
            </w:pPr>
            <w:r>
              <w:rPr>
                <w:noProof/>
              </w:rPr>
              <w:t>2024</w:t>
            </w:r>
          </w:p>
        </w:tc>
        <w:tc>
          <w:tcPr>
            <w:tcW w:w="3969" w:type="dxa"/>
            <w:shd w:val="clear" w:color="auto" w:fill="C4EFCE"/>
            <w:vAlign w:val="center"/>
          </w:tcPr>
          <w:p w14:paraId="5D147784" w14:textId="549198BC" w:rsidR="00F24946" w:rsidRDefault="00613B06">
            <w:pPr>
              <w:pStyle w:val="P68B1DB1-Normal12"/>
              <w:spacing w:after="0" w:line="240" w:lineRule="auto"/>
              <w:jc w:val="both"/>
              <w:rPr>
                <w:rFonts w:eastAsia="Times New Roman" w:cstheme="minorHAnsi"/>
                <w:noProof/>
              </w:rPr>
            </w:pPr>
            <w:r>
              <w:rPr>
                <w:noProof/>
              </w:rPr>
              <w:t>Podpisani pogoji odobritve za namestitev vsaj 500 MW skladiščne zmogljivosti na vnaprej določenih območjih, za katera se šteje, da najbolj potrebujejo pomoč.</w:t>
            </w:r>
          </w:p>
        </w:tc>
      </w:tr>
      <w:tr w:rsidR="00F24946" w14:paraId="6EA9FB44" w14:textId="77777777">
        <w:trPr>
          <w:trHeight w:val="430"/>
        </w:trPr>
        <w:tc>
          <w:tcPr>
            <w:tcW w:w="1135" w:type="dxa"/>
            <w:shd w:val="clear" w:color="auto" w:fill="C4EFCE"/>
            <w:vAlign w:val="center"/>
          </w:tcPr>
          <w:p w14:paraId="67CC59EB" w14:textId="5139272B" w:rsidR="00F24946" w:rsidRDefault="00613B06">
            <w:pPr>
              <w:pStyle w:val="P68B1DB1-Normal11"/>
              <w:spacing w:after="0" w:line="240" w:lineRule="auto"/>
              <w:jc w:val="center"/>
              <w:rPr>
                <w:rFonts w:eastAsia="Times New Roman" w:cstheme="minorHAnsi"/>
                <w:noProof/>
              </w:rPr>
            </w:pPr>
            <w:r>
              <w:rPr>
                <w:noProof/>
              </w:rPr>
              <w:t>21.29</w:t>
            </w:r>
          </w:p>
        </w:tc>
        <w:tc>
          <w:tcPr>
            <w:tcW w:w="1276" w:type="dxa"/>
            <w:shd w:val="clear" w:color="auto" w:fill="C4EFCE"/>
            <w:noWrap/>
            <w:vAlign w:val="center"/>
          </w:tcPr>
          <w:p w14:paraId="25A27E44" w14:textId="3B066F9C" w:rsidR="00F24946" w:rsidRDefault="00613B06">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65D2ADC6" w14:textId="5D60B062"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E61722C" w14:textId="562F0185" w:rsidR="00F24946" w:rsidRDefault="00613B06">
            <w:pPr>
              <w:pStyle w:val="P68B1DB1-Bodytext1013"/>
              <w:spacing w:line="240" w:lineRule="auto"/>
              <w:jc w:val="center"/>
              <w:rPr>
                <w:rFonts w:cstheme="minorHAnsi"/>
                <w:noProof/>
              </w:rPr>
            </w:pPr>
            <w:r>
              <w:rPr>
                <w:noProof/>
              </w:rPr>
              <w:t>Namestitev zmogljivosti za shranjevanje električne energije</w:t>
            </w:r>
          </w:p>
        </w:tc>
        <w:tc>
          <w:tcPr>
            <w:tcW w:w="1275" w:type="dxa"/>
            <w:shd w:val="clear" w:color="auto" w:fill="C4EFCE"/>
            <w:noWrap/>
            <w:vAlign w:val="center"/>
          </w:tcPr>
          <w:p w14:paraId="5B65FBBE"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7277883B" w14:textId="11FA7FED"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EB221F6" w14:textId="520A661D"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42CDD52D" w14:textId="73FC3728" w:rsidR="00F24946" w:rsidRDefault="00613B06">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6D77EE18" w14:textId="2DDCE475"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2CF60B40" w14:textId="0E3517C7"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61A6BE4" w14:textId="6EFF85E1" w:rsidR="00F24946" w:rsidRDefault="00613B06">
            <w:pPr>
              <w:pStyle w:val="P68B1DB1-Bodytext1013"/>
              <w:spacing w:after="0" w:line="240" w:lineRule="auto"/>
              <w:jc w:val="both"/>
              <w:rPr>
                <w:rFonts w:cstheme="minorHAnsi"/>
                <w:noProof/>
              </w:rPr>
            </w:pPr>
            <w:r>
              <w:rPr>
                <w:noProof/>
              </w:rPr>
              <w:t xml:space="preserve">Nameščena je vsaj 500 MW zmogljivosti shranjevanja električne energije. </w:t>
            </w:r>
          </w:p>
        </w:tc>
      </w:tr>
      <w:tr w:rsidR="00F24946" w14:paraId="666E99E3" w14:textId="77777777">
        <w:trPr>
          <w:trHeight w:val="430"/>
        </w:trPr>
        <w:tc>
          <w:tcPr>
            <w:tcW w:w="1135" w:type="dxa"/>
            <w:shd w:val="clear" w:color="auto" w:fill="C4EFCE"/>
            <w:vAlign w:val="center"/>
          </w:tcPr>
          <w:p w14:paraId="7B3F0627" w14:textId="37869B3E" w:rsidR="00F24946" w:rsidRDefault="00613B06">
            <w:pPr>
              <w:pStyle w:val="P68B1DB1-Normal11"/>
              <w:spacing w:after="0" w:line="240" w:lineRule="auto"/>
              <w:jc w:val="center"/>
              <w:rPr>
                <w:rFonts w:eastAsia="Times New Roman" w:cstheme="minorHAnsi"/>
                <w:noProof/>
              </w:rPr>
            </w:pPr>
            <w:r>
              <w:rPr>
                <w:noProof/>
              </w:rPr>
              <w:t>21.30</w:t>
            </w:r>
          </w:p>
        </w:tc>
        <w:tc>
          <w:tcPr>
            <w:tcW w:w="1276" w:type="dxa"/>
            <w:shd w:val="clear" w:color="auto" w:fill="C4EFCE"/>
            <w:noWrap/>
            <w:vAlign w:val="center"/>
          </w:tcPr>
          <w:p w14:paraId="3BDC0F23" w14:textId="157C435B" w:rsidR="00F24946" w:rsidRDefault="00613B06">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043D8D0E" w14:textId="5A1B02C4"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85915AC" w14:textId="356C2A62" w:rsidR="00F24946" w:rsidRDefault="00613B06">
            <w:pPr>
              <w:pStyle w:val="P68B1DB1-Bodytext1013"/>
              <w:spacing w:line="240" w:lineRule="auto"/>
              <w:jc w:val="center"/>
              <w:rPr>
                <w:rFonts w:cstheme="minorHAnsi"/>
                <w:noProof/>
              </w:rPr>
            </w:pPr>
            <w:r>
              <w:rPr>
                <w:noProof/>
              </w:rPr>
              <w:t>Začetek delovanja modulov prve faze digitalne platforme „vse na enem mestu“ za izdajanje dovoljenj in spremljanje projektov na področju energije iz obnovljivih virov</w:t>
            </w:r>
          </w:p>
        </w:tc>
        <w:tc>
          <w:tcPr>
            <w:tcW w:w="1275" w:type="dxa"/>
            <w:shd w:val="clear" w:color="auto" w:fill="C4EFCE"/>
            <w:noWrap/>
            <w:vAlign w:val="center"/>
          </w:tcPr>
          <w:p w14:paraId="1CA13B2F" w14:textId="7D796230" w:rsidR="00F24946" w:rsidRDefault="00613B06">
            <w:pPr>
              <w:pStyle w:val="P68B1DB1-Bodytext1013"/>
              <w:rPr>
                <w:rFonts w:cstheme="minorHAnsi"/>
                <w:noProof/>
              </w:rPr>
            </w:pPr>
            <w:r>
              <w:rPr>
                <w:noProof/>
              </w:rPr>
              <w:t>Začetek delovanja modulov prve faze digitalne platforme „vse na enem mestu“ za izdajanje dovoljenj in spremljanje projektov na področju energije iz obnovljivih virov</w:t>
            </w:r>
          </w:p>
        </w:tc>
        <w:tc>
          <w:tcPr>
            <w:tcW w:w="993" w:type="dxa"/>
            <w:shd w:val="clear" w:color="auto" w:fill="C4EFCE"/>
            <w:noWrap/>
            <w:vAlign w:val="center"/>
          </w:tcPr>
          <w:p w14:paraId="7068296D"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70A330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0D53A9AC"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5DA0EC12" w14:textId="4A6E8E0F"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018D5E69" w14:textId="0E4CC2FF"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76B9CE4" w14:textId="4108B586" w:rsidR="00F24946" w:rsidRDefault="00613B06">
            <w:pPr>
              <w:pStyle w:val="P68B1DB1-Bodytext1013"/>
              <w:spacing w:after="0" w:line="240" w:lineRule="auto"/>
              <w:jc w:val="both"/>
              <w:rPr>
                <w:rFonts w:cstheme="minorHAnsi"/>
                <w:noProof/>
              </w:rPr>
            </w:pPr>
            <w:r>
              <w:rPr>
                <w:noProof/>
              </w:rPr>
              <w:t>Začetek delovanja modulov prve faze digitalne platforme „vse na enem mestu“ za izdajanje dovoljenj in spremljanje projektov na področju energije iz obnovljivih virov, kot je določeno v opisu ukrepa.</w:t>
            </w:r>
          </w:p>
        </w:tc>
      </w:tr>
      <w:tr w:rsidR="00F24946" w14:paraId="4586FFC2" w14:textId="77777777">
        <w:trPr>
          <w:trHeight w:val="430"/>
        </w:trPr>
        <w:tc>
          <w:tcPr>
            <w:tcW w:w="1135" w:type="dxa"/>
            <w:shd w:val="clear" w:color="auto" w:fill="C4EFCE"/>
            <w:vAlign w:val="center"/>
          </w:tcPr>
          <w:p w14:paraId="7F1EF689" w14:textId="32009939" w:rsidR="00F24946" w:rsidRDefault="00613B06">
            <w:pPr>
              <w:pStyle w:val="P68B1DB1-Normal11"/>
              <w:spacing w:after="0" w:line="240" w:lineRule="auto"/>
              <w:jc w:val="center"/>
              <w:rPr>
                <w:rFonts w:eastAsia="Times New Roman" w:cstheme="minorHAnsi"/>
                <w:noProof/>
              </w:rPr>
            </w:pPr>
            <w:r>
              <w:rPr>
                <w:noProof/>
              </w:rPr>
              <w:t>21.31</w:t>
            </w:r>
          </w:p>
        </w:tc>
        <w:tc>
          <w:tcPr>
            <w:tcW w:w="1276" w:type="dxa"/>
            <w:shd w:val="clear" w:color="auto" w:fill="C4EFCE"/>
            <w:noWrap/>
            <w:vAlign w:val="center"/>
          </w:tcPr>
          <w:p w14:paraId="61E4D6AF" w14:textId="2D0F6781" w:rsidR="00F24946" w:rsidRDefault="00613B06">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230CED97" w14:textId="74F37228"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203708E" w14:textId="12D046CF" w:rsidR="00F24946" w:rsidRDefault="00613B06">
            <w:pPr>
              <w:pStyle w:val="P68B1DB1-Bodytext1013"/>
              <w:spacing w:line="240" w:lineRule="auto"/>
              <w:jc w:val="center"/>
              <w:rPr>
                <w:rFonts w:cstheme="minorHAnsi"/>
                <w:noProof/>
              </w:rPr>
            </w:pPr>
            <w:r>
              <w:rPr>
                <w:noProof/>
              </w:rPr>
              <w:t>Začetek delovanja modulov druge faze digitalne platforme „vse na enem mestu“ za izdajanje dovoljenj in spremljanje projektov na področju energije iz obnovljivih virov ter dokončanje postopka dematerializacije obstoječih dokumentov za izdajo dovoljenj.</w:t>
            </w:r>
          </w:p>
        </w:tc>
        <w:tc>
          <w:tcPr>
            <w:tcW w:w="1275" w:type="dxa"/>
            <w:shd w:val="clear" w:color="auto" w:fill="C4EFCE"/>
            <w:noWrap/>
            <w:vAlign w:val="center"/>
          </w:tcPr>
          <w:p w14:paraId="1901C1FE" w14:textId="3FE5BDE9" w:rsidR="00F24946" w:rsidRDefault="00613B06">
            <w:pPr>
              <w:pStyle w:val="P68B1DB1-Bodytext1013"/>
              <w:rPr>
                <w:rFonts w:cstheme="minorHAnsi"/>
                <w:noProof/>
              </w:rPr>
            </w:pPr>
            <w:r>
              <w:rPr>
                <w:noProof/>
              </w:rPr>
              <w:t>Začetek delovanja modulov druge faze in dokončanje procesa dematerializacije</w:t>
            </w:r>
          </w:p>
        </w:tc>
        <w:tc>
          <w:tcPr>
            <w:tcW w:w="993" w:type="dxa"/>
            <w:shd w:val="clear" w:color="auto" w:fill="C4EFCE"/>
            <w:noWrap/>
            <w:vAlign w:val="center"/>
          </w:tcPr>
          <w:p w14:paraId="737BEEE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4893EFA"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5041F109"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0CC8B59F" w14:textId="2295E9F0" w:rsidR="00F24946" w:rsidRDefault="00613B06">
            <w:pPr>
              <w:pStyle w:val="P68B1DB1-Normal12"/>
              <w:spacing w:after="0" w:line="240" w:lineRule="auto"/>
              <w:jc w:val="center"/>
              <w:rPr>
                <w:rFonts w:eastAsia="Times New Roman"/>
                <w:noProof/>
              </w:rPr>
            </w:pPr>
            <w:r>
              <w:rPr>
                <w:noProof/>
              </w:rPr>
              <w:t>Q2</w:t>
            </w:r>
          </w:p>
        </w:tc>
        <w:tc>
          <w:tcPr>
            <w:tcW w:w="708" w:type="dxa"/>
            <w:shd w:val="clear" w:color="auto" w:fill="C4EFCE"/>
            <w:noWrap/>
            <w:vAlign w:val="center"/>
          </w:tcPr>
          <w:p w14:paraId="0AEC55F4" w14:textId="056D3D0C"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7AA262B" w14:textId="4E31E36C" w:rsidR="00F24946" w:rsidRDefault="00613B06">
            <w:pPr>
              <w:pStyle w:val="P68B1DB1-Normal12"/>
              <w:spacing w:after="0" w:line="240" w:lineRule="auto"/>
              <w:jc w:val="both"/>
              <w:rPr>
                <w:rFonts w:eastAsia="Times New Roman"/>
                <w:noProof/>
              </w:rPr>
            </w:pPr>
            <w:r>
              <w:rPr>
                <w:noProof/>
              </w:rPr>
              <w:t>Začetek delovanja modulov druge faze digitalne platforme „vse na enem mestu“ za izdajanje dovoljenj in spremljanje projektov na področju energije iz obnovljivih virov ter dokončanje postopka dematerializacije obstoječih dokumentov za izdajo dovoljenj v skladu s potrebami, ki jih določi Generalni direktorat za energetiko in geologijo, kot je določeno v opisu ukrepa.</w:t>
            </w:r>
          </w:p>
        </w:tc>
      </w:tr>
      <w:tr w:rsidR="00F24946" w14:paraId="6BE813FA" w14:textId="77777777">
        <w:trPr>
          <w:trHeight w:val="430"/>
        </w:trPr>
        <w:tc>
          <w:tcPr>
            <w:tcW w:w="1135" w:type="dxa"/>
            <w:shd w:val="clear" w:color="auto" w:fill="C4EFCE"/>
            <w:vAlign w:val="center"/>
          </w:tcPr>
          <w:p w14:paraId="733A43BD" w14:textId="414B2FAD" w:rsidR="00F24946" w:rsidRDefault="00613B06">
            <w:pPr>
              <w:pStyle w:val="P68B1DB1-Normal11"/>
              <w:spacing w:after="0" w:line="240" w:lineRule="auto"/>
              <w:jc w:val="center"/>
              <w:rPr>
                <w:rFonts w:eastAsia="Times New Roman" w:cstheme="minorHAnsi"/>
                <w:noProof/>
              </w:rPr>
            </w:pPr>
            <w:r>
              <w:rPr>
                <w:noProof/>
              </w:rPr>
              <w:t>21.32</w:t>
            </w:r>
          </w:p>
        </w:tc>
        <w:tc>
          <w:tcPr>
            <w:tcW w:w="1276" w:type="dxa"/>
            <w:shd w:val="clear" w:color="auto" w:fill="C4EFCE"/>
            <w:noWrap/>
            <w:vAlign w:val="center"/>
          </w:tcPr>
          <w:p w14:paraId="1D4596FC" w14:textId="6C3C6EAE" w:rsidR="00F24946" w:rsidRDefault="00613B06">
            <w:pPr>
              <w:pStyle w:val="P68B1DB1-Normal12"/>
              <w:spacing w:after="0" w:line="240" w:lineRule="auto"/>
              <w:jc w:val="center"/>
              <w:rPr>
                <w:rFonts w:eastAsia="Times New Roman"/>
                <w:noProof/>
              </w:rPr>
            </w:pPr>
            <w:r>
              <w:rPr>
                <w:noProof/>
              </w:rPr>
              <w:t>RP-C21-i10-RAA</w:t>
            </w:r>
          </w:p>
        </w:tc>
        <w:tc>
          <w:tcPr>
            <w:tcW w:w="1134" w:type="dxa"/>
            <w:shd w:val="clear" w:color="auto" w:fill="C4EFCE"/>
            <w:noWrap/>
            <w:vAlign w:val="center"/>
          </w:tcPr>
          <w:p w14:paraId="11BDF5A0" w14:textId="0F4DD2C5"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F84B7D1" w14:textId="71264E8C" w:rsidR="00F24946" w:rsidRDefault="00613B06">
            <w:pPr>
              <w:pStyle w:val="P68B1DB1-Normal12"/>
              <w:spacing w:after="0" w:line="240" w:lineRule="auto"/>
              <w:jc w:val="center"/>
              <w:rPr>
                <w:rFonts w:eastAsia="Times New Roman" w:cstheme="minorHAnsi"/>
                <w:noProof/>
              </w:rPr>
            </w:pPr>
            <w:r>
              <w:rPr>
                <w:noProof/>
              </w:rPr>
              <w:t>Namestitev zmogljivosti za shranjevanje električne energije</w:t>
            </w:r>
          </w:p>
        </w:tc>
        <w:tc>
          <w:tcPr>
            <w:tcW w:w="1275" w:type="dxa"/>
            <w:shd w:val="clear" w:color="auto" w:fill="C4EFCE"/>
            <w:noWrap/>
            <w:vAlign w:val="center"/>
          </w:tcPr>
          <w:p w14:paraId="618CABB5"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6CA43656" w14:textId="647D88FA"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72C57D8C" w14:textId="3EFCC2B3"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6E4AE3" w14:textId="01C62BBE" w:rsidR="00F24946" w:rsidRDefault="00613B06">
            <w:pPr>
              <w:pStyle w:val="P68B1DB1-Normal12"/>
              <w:spacing w:after="0" w:line="240" w:lineRule="auto"/>
              <w:jc w:val="center"/>
              <w:rPr>
                <w:rFonts w:eastAsia="Times New Roman" w:cstheme="minorHAnsi"/>
                <w:noProof/>
              </w:rPr>
            </w:pPr>
            <w:r>
              <w:rPr>
                <w:noProof/>
              </w:rPr>
              <w:t>8,75</w:t>
            </w:r>
          </w:p>
        </w:tc>
        <w:tc>
          <w:tcPr>
            <w:tcW w:w="567" w:type="dxa"/>
            <w:shd w:val="clear" w:color="auto" w:fill="C4EFCE"/>
            <w:noWrap/>
            <w:vAlign w:val="center"/>
          </w:tcPr>
          <w:p w14:paraId="2B3BB704" w14:textId="2A88BBEA"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2CE8D20C" w14:textId="5A9DDA13"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ACED5AC" w14:textId="74C3E21E" w:rsidR="00F24946" w:rsidRDefault="00613B06">
            <w:pPr>
              <w:pStyle w:val="P68B1DB1-Normal12"/>
              <w:spacing w:after="0" w:line="240" w:lineRule="auto"/>
              <w:jc w:val="both"/>
              <w:rPr>
                <w:rFonts w:eastAsia="Times New Roman" w:cstheme="minorHAnsi"/>
                <w:noProof/>
              </w:rPr>
            </w:pPr>
            <w:r>
              <w:rPr>
                <w:noProof/>
              </w:rPr>
              <w:t>Vsaj 8,75 MW zmogljivosti za shranjevanje električne energije, nameščene za lastno porabo.</w:t>
            </w:r>
          </w:p>
        </w:tc>
      </w:tr>
      <w:tr w:rsidR="00F24946" w14:paraId="59FCB201" w14:textId="77777777">
        <w:trPr>
          <w:trHeight w:val="430"/>
        </w:trPr>
        <w:tc>
          <w:tcPr>
            <w:tcW w:w="1135" w:type="dxa"/>
            <w:shd w:val="clear" w:color="auto" w:fill="C4EFCE"/>
            <w:vAlign w:val="center"/>
          </w:tcPr>
          <w:p w14:paraId="16D1E889" w14:textId="1734E102" w:rsidR="00F24946" w:rsidRDefault="00613B06">
            <w:pPr>
              <w:pStyle w:val="P68B1DB1-Normal11"/>
              <w:spacing w:after="0" w:line="240" w:lineRule="auto"/>
              <w:jc w:val="center"/>
              <w:rPr>
                <w:rFonts w:eastAsia="Times New Roman" w:cstheme="minorHAnsi"/>
                <w:noProof/>
              </w:rPr>
            </w:pPr>
            <w:r>
              <w:rPr>
                <w:noProof/>
              </w:rPr>
              <w:t>21.33</w:t>
            </w:r>
          </w:p>
        </w:tc>
        <w:tc>
          <w:tcPr>
            <w:tcW w:w="1276" w:type="dxa"/>
            <w:shd w:val="clear" w:color="auto" w:fill="C4EFCE"/>
            <w:noWrap/>
            <w:vAlign w:val="center"/>
          </w:tcPr>
          <w:p w14:paraId="0DD29FA5" w14:textId="656F08E3" w:rsidR="00F24946" w:rsidRDefault="00613B06">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6443488B" w14:textId="0171A2E8"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442E0E7" w14:textId="10C4B9DB" w:rsidR="00F24946" w:rsidRDefault="00613B06">
            <w:pPr>
              <w:pStyle w:val="P68B1DB1-Normal12"/>
              <w:spacing w:after="0" w:line="240" w:lineRule="auto"/>
              <w:jc w:val="center"/>
              <w:rPr>
                <w:rFonts w:eastAsia="Times New Roman"/>
                <w:noProof/>
              </w:rPr>
            </w:pPr>
            <w:r>
              <w:rPr>
                <w:noProof/>
              </w:rPr>
              <w:t>Povečanje inštalirane zmogljivosti enot za proizvodnjo energije iz obnovljivih virov za lastno porabo in povečanje inštalirane zmogljivosti shranjevanja za lastno porabo</w:t>
            </w:r>
          </w:p>
        </w:tc>
        <w:tc>
          <w:tcPr>
            <w:tcW w:w="1275" w:type="dxa"/>
            <w:shd w:val="clear" w:color="auto" w:fill="C4EFCE"/>
            <w:noWrap/>
            <w:vAlign w:val="center"/>
          </w:tcPr>
          <w:p w14:paraId="14BAC0AF"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5B7EA6FB" w14:textId="6D0983F5"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24D8C7DF" w14:textId="21183495" w:rsidR="00F24946" w:rsidRDefault="00613B06">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2B7883F0" w14:textId="7809369D" w:rsidR="00F24946" w:rsidRDefault="00613B06">
            <w:pPr>
              <w:pStyle w:val="P68B1DB1-Normal12"/>
              <w:spacing w:after="0" w:line="240" w:lineRule="auto"/>
              <w:jc w:val="center"/>
              <w:rPr>
                <w:rFonts w:eastAsia="Times New Roman"/>
                <w:noProof/>
              </w:rPr>
            </w:pPr>
            <w:r>
              <w:rPr>
                <w:noProof/>
              </w:rPr>
              <w:t>5.25</w:t>
            </w:r>
          </w:p>
        </w:tc>
        <w:tc>
          <w:tcPr>
            <w:tcW w:w="567" w:type="dxa"/>
            <w:shd w:val="clear" w:color="auto" w:fill="C4EFCE"/>
            <w:noWrap/>
            <w:vAlign w:val="center"/>
          </w:tcPr>
          <w:p w14:paraId="496A646E" w14:textId="54237EC0"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119BAC6D" w14:textId="70C26F2D"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4F13C5D1" w14:textId="58328E68" w:rsidR="00F24946" w:rsidRDefault="00613B06">
            <w:pPr>
              <w:pStyle w:val="P68B1DB1-Normal12"/>
              <w:spacing w:after="0" w:line="240" w:lineRule="auto"/>
              <w:jc w:val="both"/>
              <w:rPr>
                <w:rFonts w:eastAsia="Times New Roman"/>
                <w:noProof/>
              </w:rPr>
            </w:pPr>
            <w:r>
              <w:rPr>
                <w:noProof/>
              </w:rPr>
              <w:t>Nameščena je vsaj 2,75 MW zmogljivosti za proizvodnjo energije iz obnovljivih virov za lastno porabo.</w:t>
            </w:r>
          </w:p>
          <w:p w14:paraId="0A9ABADC" w14:textId="3E09A486" w:rsidR="00F24946" w:rsidRDefault="00F24946">
            <w:pPr>
              <w:spacing w:after="0" w:line="240" w:lineRule="auto"/>
              <w:jc w:val="both"/>
              <w:rPr>
                <w:noProof/>
                <w:sz w:val="16"/>
              </w:rPr>
            </w:pPr>
          </w:p>
          <w:p w14:paraId="1C328A9F" w14:textId="1996C913" w:rsidR="00F24946" w:rsidRDefault="00613B06">
            <w:pPr>
              <w:pStyle w:val="P68B1DB1-Normal12"/>
              <w:spacing w:after="0" w:line="240" w:lineRule="auto"/>
              <w:jc w:val="both"/>
              <w:rPr>
                <w:rFonts w:eastAsia="Times New Roman"/>
                <w:noProof/>
              </w:rPr>
            </w:pPr>
            <w:r>
              <w:rPr>
                <w:noProof/>
              </w:rPr>
              <w:t>Nameščena je vsaj 2,5 MW zmogljivosti za shranjevanje električne energije za lastno porabo.</w:t>
            </w:r>
          </w:p>
        </w:tc>
      </w:tr>
      <w:tr w:rsidR="00F24946" w14:paraId="5AEA89DD" w14:textId="77777777">
        <w:trPr>
          <w:trHeight w:val="430"/>
        </w:trPr>
        <w:tc>
          <w:tcPr>
            <w:tcW w:w="1135" w:type="dxa"/>
            <w:shd w:val="clear" w:color="auto" w:fill="C4EFCE"/>
            <w:vAlign w:val="center"/>
          </w:tcPr>
          <w:p w14:paraId="06F06D71" w14:textId="1CAAC2A0" w:rsidR="00F24946" w:rsidRDefault="00613B06">
            <w:pPr>
              <w:pStyle w:val="P68B1DB1-Normal11"/>
              <w:spacing w:after="0" w:line="240" w:lineRule="auto"/>
              <w:jc w:val="center"/>
              <w:rPr>
                <w:rFonts w:eastAsia="Times New Roman" w:cstheme="minorHAnsi"/>
                <w:noProof/>
              </w:rPr>
            </w:pPr>
            <w:r>
              <w:rPr>
                <w:noProof/>
              </w:rPr>
              <w:t>21.34</w:t>
            </w:r>
          </w:p>
        </w:tc>
        <w:tc>
          <w:tcPr>
            <w:tcW w:w="1276" w:type="dxa"/>
            <w:shd w:val="clear" w:color="auto" w:fill="C4EFCE"/>
            <w:noWrap/>
            <w:vAlign w:val="center"/>
          </w:tcPr>
          <w:p w14:paraId="50A32A38" w14:textId="6FB4DA15" w:rsidR="00F24946" w:rsidRDefault="00613B06">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1E977997" w14:textId="68BD8EDF"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4206821" w14:textId="7D6204F6" w:rsidR="00F24946" w:rsidRDefault="00613B06">
            <w:pPr>
              <w:pStyle w:val="P68B1DB1-Normal12"/>
              <w:spacing w:after="0" w:line="240" w:lineRule="auto"/>
              <w:jc w:val="center"/>
              <w:rPr>
                <w:rFonts w:eastAsia="Times New Roman" w:cstheme="minorHAnsi"/>
                <w:noProof/>
              </w:rPr>
            </w:pPr>
            <w:r>
              <w:rPr>
                <w:noProof/>
              </w:rPr>
              <w:t>Okrepitev inštalirane zmogljivosti vetrne energije</w:t>
            </w:r>
          </w:p>
        </w:tc>
        <w:tc>
          <w:tcPr>
            <w:tcW w:w="1275" w:type="dxa"/>
            <w:shd w:val="clear" w:color="auto" w:fill="C4EFCE"/>
            <w:noWrap/>
          </w:tcPr>
          <w:p w14:paraId="5A477E66" w14:textId="3465589D"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3C8E2AE" w14:textId="2F0553A1" w:rsidR="00F24946" w:rsidRDefault="00613B06">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4CACD599" w14:textId="7A662419" w:rsidR="00F24946" w:rsidRDefault="00613B06">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8B24C1" w14:textId="3B83C067" w:rsidR="00F24946" w:rsidRDefault="00613B06">
            <w:pPr>
              <w:pStyle w:val="P68B1DB1-Normal12"/>
              <w:spacing w:after="0" w:line="240" w:lineRule="auto"/>
              <w:jc w:val="center"/>
              <w:rPr>
                <w:rFonts w:eastAsia="Times New Roman" w:cstheme="minorHAnsi"/>
                <w:noProof/>
              </w:rPr>
            </w:pPr>
            <w:r>
              <w:rPr>
                <w:noProof/>
              </w:rPr>
              <w:t>7</w:t>
            </w:r>
          </w:p>
        </w:tc>
        <w:tc>
          <w:tcPr>
            <w:tcW w:w="567" w:type="dxa"/>
            <w:shd w:val="clear" w:color="auto" w:fill="C4EFCE"/>
            <w:noWrap/>
            <w:vAlign w:val="center"/>
          </w:tcPr>
          <w:p w14:paraId="7E0DAF3D" w14:textId="487909DB"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6E08C107" w14:textId="667BF99D"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E20BC6" w14:textId="03E226A0" w:rsidR="00F24946" w:rsidRDefault="00613B06">
            <w:pPr>
              <w:pStyle w:val="P68B1DB1-Normal12"/>
              <w:spacing w:after="0" w:line="240" w:lineRule="auto"/>
              <w:jc w:val="both"/>
              <w:rPr>
                <w:rFonts w:eastAsia="Times New Roman" w:cstheme="minorHAnsi"/>
                <w:noProof/>
              </w:rPr>
            </w:pPr>
            <w:r>
              <w:rPr>
                <w:noProof/>
              </w:rPr>
              <w:t>Na otoku Porto Santo se namesti dodatna zmogljivost za proizvodnjo vetrne energije s 7 MW, priključena na električno omrežje.</w:t>
            </w:r>
          </w:p>
        </w:tc>
      </w:tr>
      <w:tr w:rsidR="00F24946" w14:paraId="57E89DD0" w14:textId="77777777">
        <w:trPr>
          <w:trHeight w:val="430"/>
        </w:trPr>
        <w:tc>
          <w:tcPr>
            <w:tcW w:w="1135" w:type="dxa"/>
            <w:shd w:val="clear" w:color="auto" w:fill="C4EFCE"/>
            <w:vAlign w:val="center"/>
          </w:tcPr>
          <w:p w14:paraId="5BE74300" w14:textId="459942DF" w:rsidR="00F24946" w:rsidRDefault="00613B06">
            <w:pPr>
              <w:pStyle w:val="P68B1DB1-Normal11"/>
              <w:spacing w:after="0" w:line="240" w:lineRule="auto"/>
              <w:jc w:val="center"/>
              <w:rPr>
                <w:rFonts w:eastAsia="Times New Roman" w:cstheme="minorHAnsi"/>
                <w:noProof/>
              </w:rPr>
            </w:pPr>
            <w:r>
              <w:rPr>
                <w:noProof/>
              </w:rPr>
              <w:t>21.35</w:t>
            </w:r>
          </w:p>
        </w:tc>
        <w:tc>
          <w:tcPr>
            <w:tcW w:w="1276" w:type="dxa"/>
            <w:shd w:val="clear" w:color="auto" w:fill="C4EFCE"/>
            <w:noWrap/>
            <w:vAlign w:val="center"/>
          </w:tcPr>
          <w:p w14:paraId="5202472B" w14:textId="081F4DDF" w:rsidR="00F24946" w:rsidRDefault="00613B06">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3C71133D" w14:textId="339DEA58"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8FBE419" w14:textId="66C41B1C" w:rsidR="00F24946" w:rsidRDefault="00613B06">
            <w:pPr>
              <w:pStyle w:val="P68B1DB1-Normal12"/>
              <w:spacing w:after="0" w:line="240" w:lineRule="auto"/>
              <w:jc w:val="center"/>
              <w:rPr>
                <w:rFonts w:eastAsia="Times New Roman" w:cstheme="minorHAnsi"/>
                <w:noProof/>
              </w:rPr>
            </w:pPr>
            <w:r>
              <w:rPr>
                <w:noProof/>
              </w:rPr>
              <w:t>Podpis pogodbe za nakup čistih avtobusov v okviru programa za razogljičenje javnega prevoza</w:t>
            </w:r>
          </w:p>
        </w:tc>
        <w:tc>
          <w:tcPr>
            <w:tcW w:w="1275" w:type="dxa"/>
            <w:shd w:val="clear" w:color="auto" w:fill="C4EFCE"/>
            <w:noWrap/>
          </w:tcPr>
          <w:p w14:paraId="526A8439" w14:textId="21927C98" w:rsidR="00F24946" w:rsidRDefault="00613B06">
            <w:pPr>
              <w:pStyle w:val="P68B1DB1-Normal12"/>
              <w:spacing w:after="0" w:line="240" w:lineRule="auto"/>
              <w:jc w:val="center"/>
              <w:rPr>
                <w:rFonts w:eastAsia="Times New Roman" w:cstheme="minorHAnsi"/>
                <w:noProof/>
              </w:rPr>
            </w:pPr>
            <w:r>
              <w:rPr>
                <w:noProof/>
              </w:rPr>
              <w:t>Podpis pogodbe za nakup čistih avtobusov v okviru programa za razogljičenje javnega prevoza</w:t>
            </w:r>
          </w:p>
        </w:tc>
        <w:tc>
          <w:tcPr>
            <w:tcW w:w="993" w:type="dxa"/>
            <w:shd w:val="clear" w:color="auto" w:fill="C4EFCE"/>
            <w:noWrap/>
          </w:tcPr>
          <w:p w14:paraId="5B5F632F" w14:textId="43CF795F"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56CF22A" w14:textId="0AB870C4" w:rsidR="00F24946" w:rsidRDefault="00F24946">
            <w:pPr>
              <w:spacing w:after="0" w:line="240" w:lineRule="auto"/>
              <w:jc w:val="center"/>
              <w:rPr>
                <w:rFonts w:eastAsia="Times New Roman" w:cstheme="minorHAnsi"/>
                <w:noProof/>
                <w:sz w:val="16"/>
              </w:rPr>
            </w:pPr>
          </w:p>
        </w:tc>
        <w:tc>
          <w:tcPr>
            <w:tcW w:w="992" w:type="dxa"/>
            <w:shd w:val="clear" w:color="auto" w:fill="C4EFCE"/>
            <w:noWrap/>
          </w:tcPr>
          <w:p w14:paraId="6F932B44" w14:textId="27A48D92" w:rsidR="00F24946" w:rsidRDefault="00613B06">
            <w:pPr>
              <w:pStyle w:val="P68B1DB1-Normal12"/>
              <w:spacing w:after="0" w:line="240" w:lineRule="auto"/>
              <w:jc w:val="center"/>
              <w:rPr>
                <w:rFonts w:eastAsia="Times New Roman" w:cstheme="minorHAnsi"/>
                <w:noProof/>
              </w:rPr>
            </w:pPr>
            <w:r>
              <w:rPr>
                <w:noProof/>
              </w:rPr>
              <w:t xml:space="preserve"> </w:t>
            </w:r>
          </w:p>
        </w:tc>
        <w:tc>
          <w:tcPr>
            <w:tcW w:w="567" w:type="dxa"/>
            <w:shd w:val="clear" w:color="auto" w:fill="C4EFCE"/>
            <w:noWrap/>
            <w:vAlign w:val="center"/>
          </w:tcPr>
          <w:p w14:paraId="7BEFD333" w14:textId="6ED7E9C3"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3A864357" w14:textId="6C2FC1DE"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BD2252A" w14:textId="03C0FAE2" w:rsidR="00F24946" w:rsidRDefault="00613B06">
            <w:pPr>
              <w:pStyle w:val="P68B1DB1-Normal12"/>
              <w:spacing w:after="0" w:line="240" w:lineRule="auto"/>
              <w:jc w:val="both"/>
              <w:rPr>
                <w:rFonts w:eastAsia="Times New Roman" w:cstheme="minorHAnsi"/>
                <w:noProof/>
              </w:rPr>
            </w:pPr>
            <w:r>
              <w:rPr>
                <w:noProof/>
              </w:rPr>
              <w:t>Podpis pogodbe med upravičenci in organom upravljanja na podlagi konkurenčnega razpisnega postopka, s katerim se zaveže k nakupu 300 brezemisijskih (električnih in vodikovih) avtobusov.</w:t>
            </w:r>
          </w:p>
        </w:tc>
      </w:tr>
      <w:tr w:rsidR="00F24946" w14:paraId="716F3052" w14:textId="77777777">
        <w:trPr>
          <w:trHeight w:val="430"/>
        </w:trPr>
        <w:tc>
          <w:tcPr>
            <w:tcW w:w="1135" w:type="dxa"/>
            <w:shd w:val="clear" w:color="auto" w:fill="C4EFCE"/>
            <w:vAlign w:val="center"/>
          </w:tcPr>
          <w:p w14:paraId="3FC90F90" w14:textId="5F27DE07" w:rsidR="00F24946" w:rsidRDefault="00613B06">
            <w:pPr>
              <w:pStyle w:val="P68B1DB1-Normal11"/>
              <w:spacing w:after="0" w:line="240" w:lineRule="auto"/>
              <w:jc w:val="center"/>
              <w:rPr>
                <w:rFonts w:eastAsia="Times New Roman" w:cstheme="minorHAnsi"/>
                <w:noProof/>
              </w:rPr>
            </w:pPr>
            <w:r>
              <w:rPr>
                <w:noProof/>
              </w:rPr>
              <w:t>21.36</w:t>
            </w:r>
          </w:p>
        </w:tc>
        <w:tc>
          <w:tcPr>
            <w:tcW w:w="1276" w:type="dxa"/>
            <w:shd w:val="clear" w:color="auto" w:fill="C4EFCE"/>
            <w:noWrap/>
            <w:vAlign w:val="center"/>
          </w:tcPr>
          <w:p w14:paraId="1F66CCD9" w14:textId="33FB0967" w:rsidR="00F24946" w:rsidRDefault="00613B06">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45CD69E3" w14:textId="4C7E9777"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464071F" w14:textId="2F857C6F" w:rsidR="00F24946" w:rsidRDefault="00613B06">
            <w:pPr>
              <w:pStyle w:val="P68B1DB1-Normal12"/>
              <w:spacing w:after="0" w:line="240" w:lineRule="auto"/>
              <w:jc w:val="center"/>
              <w:rPr>
                <w:rFonts w:eastAsia="Times New Roman" w:cstheme="minorHAnsi"/>
                <w:noProof/>
              </w:rPr>
            </w:pPr>
            <w:r>
              <w:rPr>
                <w:noProof/>
              </w:rPr>
              <w:t>Nakup novih brezemisijskih avtobusov (električnih ali vodikovih) za javni prevoz</w:t>
            </w:r>
          </w:p>
        </w:tc>
        <w:tc>
          <w:tcPr>
            <w:tcW w:w="1275" w:type="dxa"/>
            <w:shd w:val="clear" w:color="auto" w:fill="C4EFCE"/>
            <w:noWrap/>
          </w:tcPr>
          <w:p w14:paraId="3C72326A" w14:textId="2F037DC0"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04D39E" w14:textId="33FBF6E8"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48371656" w14:textId="6BCE283C" w:rsidR="00F24946" w:rsidRDefault="00613B06">
            <w:pPr>
              <w:pStyle w:val="P68B1DB1-Normal12"/>
              <w:spacing w:after="0" w:line="240" w:lineRule="auto"/>
              <w:jc w:val="center"/>
              <w:rPr>
                <w:rFonts w:eastAsia="Times New Roman" w:cstheme="minorHAnsi"/>
                <w:noProof/>
              </w:rPr>
            </w:pPr>
            <w:r>
              <w:rPr>
                <w:noProof/>
              </w:rPr>
              <w:t>145</w:t>
            </w:r>
          </w:p>
        </w:tc>
        <w:tc>
          <w:tcPr>
            <w:tcW w:w="992" w:type="dxa"/>
            <w:shd w:val="clear" w:color="auto" w:fill="C4EFCE"/>
            <w:noWrap/>
            <w:vAlign w:val="center"/>
          </w:tcPr>
          <w:p w14:paraId="0460B517" w14:textId="5EEA6EB2" w:rsidR="00F24946" w:rsidRDefault="00613B06">
            <w:pPr>
              <w:pStyle w:val="P68B1DB1-Normal12"/>
              <w:spacing w:after="0" w:line="240" w:lineRule="auto"/>
              <w:jc w:val="center"/>
              <w:rPr>
                <w:rFonts w:eastAsia="Times New Roman" w:cstheme="minorHAnsi"/>
                <w:noProof/>
              </w:rPr>
            </w:pPr>
            <w:r>
              <w:rPr>
                <w:noProof/>
              </w:rPr>
              <w:t>445</w:t>
            </w:r>
          </w:p>
        </w:tc>
        <w:tc>
          <w:tcPr>
            <w:tcW w:w="567" w:type="dxa"/>
            <w:shd w:val="clear" w:color="auto" w:fill="C4EFCE"/>
            <w:noWrap/>
            <w:vAlign w:val="center"/>
          </w:tcPr>
          <w:p w14:paraId="0D0FF0A6" w14:textId="62A587E4"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378FDA1C" w14:textId="035B1EE2"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24AF3ACA" w14:textId="54F8D633" w:rsidR="00F24946" w:rsidRDefault="00613B06">
            <w:pPr>
              <w:pStyle w:val="P68B1DB1-Normal12"/>
              <w:spacing w:after="0" w:line="240" w:lineRule="auto"/>
              <w:jc w:val="both"/>
              <w:rPr>
                <w:rFonts w:eastAsia="Times New Roman" w:cstheme="minorHAnsi"/>
                <w:noProof/>
              </w:rPr>
            </w:pPr>
            <w:r>
              <w:rPr>
                <w:noProof/>
              </w:rPr>
              <w:t>Kupi se 300 novih brezemisijskih avtobusov (električnih ali vodikovih) in namesti se s tem povezana polnilna ali oskrbovalna mesta.</w:t>
            </w:r>
          </w:p>
        </w:tc>
      </w:tr>
      <w:tr w:rsidR="00F24946" w14:paraId="384ADCA7" w14:textId="77777777">
        <w:trPr>
          <w:trHeight w:val="430"/>
        </w:trPr>
        <w:tc>
          <w:tcPr>
            <w:tcW w:w="1135" w:type="dxa"/>
            <w:shd w:val="clear" w:color="auto" w:fill="C4EFCE"/>
            <w:vAlign w:val="center"/>
          </w:tcPr>
          <w:p w14:paraId="2962B7B9" w14:textId="4E1C3EE5" w:rsidR="00F24946" w:rsidRDefault="00613B06">
            <w:pPr>
              <w:pStyle w:val="P68B1DB1-Normal11"/>
              <w:spacing w:after="0" w:line="240" w:lineRule="auto"/>
              <w:jc w:val="center"/>
              <w:rPr>
                <w:rFonts w:eastAsia="Times New Roman" w:cstheme="minorHAnsi"/>
                <w:noProof/>
              </w:rPr>
            </w:pPr>
            <w:r>
              <w:rPr>
                <w:noProof/>
              </w:rPr>
              <w:t>21.37</w:t>
            </w:r>
          </w:p>
        </w:tc>
        <w:tc>
          <w:tcPr>
            <w:tcW w:w="1276" w:type="dxa"/>
            <w:shd w:val="clear" w:color="auto" w:fill="C4EFCE"/>
            <w:noWrap/>
            <w:vAlign w:val="center"/>
          </w:tcPr>
          <w:p w14:paraId="4B2F008F" w14:textId="40A48065" w:rsidR="00F24946" w:rsidRDefault="00613B06">
            <w:pPr>
              <w:pStyle w:val="P68B1DB1-Normal12"/>
              <w:spacing w:after="0" w:line="240" w:lineRule="auto"/>
              <w:jc w:val="center"/>
              <w:rPr>
                <w:rFonts w:eastAsia="Times New Roman"/>
                <w:noProof/>
              </w:rPr>
            </w:pPr>
            <w:r>
              <w:rPr>
                <w:noProof/>
              </w:rPr>
              <w:t>RP-C21-i13-RAM</w:t>
            </w:r>
          </w:p>
        </w:tc>
        <w:tc>
          <w:tcPr>
            <w:tcW w:w="1134" w:type="dxa"/>
            <w:shd w:val="clear" w:color="auto" w:fill="C4EFCE"/>
            <w:noWrap/>
            <w:vAlign w:val="center"/>
          </w:tcPr>
          <w:p w14:paraId="65354B4F" w14:textId="517B6DCE"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896FBFA" w14:textId="04C5CE6F" w:rsidR="00F24946" w:rsidRDefault="00613B06">
            <w:pPr>
              <w:pStyle w:val="P68B1DB1-Normal12"/>
              <w:spacing w:after="0" w:line="240" w:lineRule="auto"/>
              <w:jc w:val="center"/>
              <w:rPr>
                <w:rFonts w:eastAsia="Times New Roman"/>
                <w:noProof/>
              </w:rPr>
            </w:pPr>
            <w:r>
              <w:rPr>
                <w:noProof/>
              </w:rPr>
              <w:t>Nakup novih brezemisijskih avtobusov (električnih ali vodikovih) za javni prevoz in turistične storitve ter nakup električnih avtomobilov, ki nadomeščajo razrezana vozila</w:t>
            </w:r>
          </w:p>
        </w:tc>
        <w:tc>
          <w:tcPr>
            <w:tcW w:w="1275" w:type="dxa"/>
            <w:shd w:val="clear" w:color="auto" w:fill="C4EFCE"/>
            <w:noWrap/>
            <w:vAlign w:val="center"/>
          </w:tcPr>
          <w:p w14:paraId="634D7D56"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2ECE2C14" w14:textId="6594762E" w:rsidR="00F24946" w:rsidRDefault="00613B06">
            <w:pPr>
              <w:pStyle w:val="P68B1DB1-Normal12"/>
              <w:spacing w:after="0" w:line="240" w:lineRule="auto"/>
              <w:jc w:val="center"/>
              <w:rPr>
                <w:rFonts w:eastAsia="Times New Roman"/>
                <w:noProof/>
              </w:rPr>
            </w:pPr>
            <w:r>
              <w:rPr>
                <w:noProof/>
              </w:rPr>
              <w:t>Število</w:t>
            </w:r>
          </w:p>
        </w:tc>
        <w:tc>
          <w:tcPr>
            <w:tcW w:w="992" w:type="dxa"/>
            <w:shd w:val="clear" w:color="auto" w:fill="C4EFCE"/>
            <w:noWrap/>
            <w:vAlign w:val="center"/>
          </w:tcPr>
          <w:p w14:paraId="367DBAF5" w14:textId="0B86A6AB" w:rsidR="00F24946" w:rsidRDefault="00613B06">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07A0B9E" w14:textId="7CEAB357" w:rsidR="00F24946" w:rsidRDefault="00613B06">
            <w:pPr>
              <w:pStyle w:val="P68B1DB1-Normal12"/>
              <w:spacing w:after="0" w:line="240" w:lineRule="auto"/>
              <w:jc w:val="center"/>
              <w:rPr>
                <w:rFonts w:eastAsia="Times New Roman"/>
                <w:noProof/>
              </w:rPr>
            </w:pPr>
            <w:r>
              <w:rPr>
                <w:noProof/>
              </w:rPr>
              <w:t>576</w:t>
            </w:r>
          </w:p>
        </w:tc>
        <w:tc>
          <w:tcPr>
            <w:tcW w:w="567" w:type="dxa"/>
            <w:shd w:val="clear" w:color="auto" w:fill="C4EFCE"/>
            <w:noWrap/>
            <w:vAlign w:val="center"/>
          </w:tcPr>
          <w:p w14:paraId="351C723C" w14:textId="796E67D1"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1F57265D" w14:textId="1B91BDBB"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1EE77ED" w14:textId="213DF929" w:rsidR="00F24946" w:rsidRDefault="00613B06">
            <w:pPr>
              <w:pStyle w:val="P68B1DB1-Normal12"/>
              <w:spacing w:after="0" w:line="240" w:lineRule="auto"/>
              <w:jc w:val="both"/>
              <w:rPr>
                <w:rFonts w:eastAsia="Times New Roman"/>
                <w:noProof/>
              </w:rPr>
            </w:pPr>
            <w:r>
              <w:rPr>
                <w:noProof/>
              </w:rPr>
              <w:t xml:space="preserve">Kupi se 26 novih brezemisijskih avtobusov (električnih ali vodikovih) in v avtonomni regiji Madeira namestijo ustrezna polnilna mesta. Vsaj 10 kupljenih avtobusov se uporabi za javni potniški prevoz. </w:t>
            </w:r>
          </w:p>
          <w:p w14:paraId="2D49F8EB" w14:textId="3C0DE98F" w:rsidR="00F24946" w:rsidRDefault="00F24946">
            <w:pPr>
              <w:spacing w:after="0" w:line="240" w:lineRule="auto"/>
              <w:jc w:val="both"/>
              <w:rPr>
                <w:noProof/>
                <w:sz w:val="16"/>
              </w:rPr>
            </w:pPr>
          </w:p>
          <w:p w14:paraId="6D678AF5" w14:textId="0E55A84D" w:rsidR="00F24946" w:rsidRDefault="00613B06">
            <w:pPr>
              <w:pStyle w:val="P68B1DB1-Normal12"/>
              <w:spacing w:after="0" w:line="240" w:lineRule="auto"/>
              <w:jc w:val="both"/>
              <w:rPr>
                <w:rFonts w:eastAsia="Times New Roman"/>
                <w:noProof/>
              </w:rPr>
            </w:pPr>
            <w:r>
              <w:rPr>
                <w:noProof/>
              </w:rPr>
              <w:t>550 vozil se izloči in nadomesti z električnimi vozili v avtonomni regiji Madeira.</w:t>
            </w:r>
          </w:p>
        </w:tc>
      </w:tr>
      <w:tr w:rsidR="00F24946" w14:paraId="7128FD55" w14:textId="77777777">
        <w:trPr>
          <w:trHeight w:val="430"/>
        </w:trPr>
        <w:tc>
          <w:tcPr>
            <w:tcW w:w="1135" w:type="dxa"/>
            <w:shd w:val="clear" w:color="auto" w:fill="C4EFCE"/>
            <w:vAlign w:val="center"/>
          </w:tcPr>
          <w:p w14:paraId="3D47AF57" w14:textId="7724070C" w:rsidR="00F24946" w:rsidRDefault="00613B06">
            <w:pPr>
              <w:pStyle w:val="P68B1DB1-Normal11"/>
              <w:spacing w:after="0" w:line="240" w:lineRule="auto"/>
              <w:jc w:val="center"/>
              <w:rPr>
                <w:rFonts w:eastAsia="Times New Roman" w:cstheme="minorHAnsi"/>
                <w:noProof/>
              </w:rPr>
            </w:pPr>
            <w:r>
              <w:rPr>
                <w:noProof/>
              </w:rPr>
              <w:t>21.38</w:t>
            </w:r>
          </w:p>
        </w:tc>
        <w:tc>
          <w:tcPr>
            <w:tcW w:w="1276" w:type="dxa"/>
            <w:shd w:val="clear" w:color="auto" w:fill="C4EFCE"/>
            <w:noWrap/>
            <w:vAlign w:val="center"/>
          </w:tcPr>
          <w:p w14:paraId="021E606B" w14:textId="01DE8394" w:rsidR="00F24946" w:rsidRDefault="00613B06">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6265AB1B" w14:textId="2A284064"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1621A87" w14:textId="60F63A87" w:rsidR="00F24946" w:rsidRDefault="00613B06">
            <w:pPr>
              <w:pStyle w:val="P68B1DB1-Normal12"/>
              <w:spacing w:after="0" w:line="240" w:lineRule="auto"/>
              <w:jc w:val="center"/>
              <w:rPr>
                <w:rFonts w:eastAsia="Times New Roman" w:cstheme="minorHAnsi"/>
                <w:noProof/>
              </w:rPr>
            </w:pPr>
            <w:r>
              <w:rPr>
                <w:noProof/>
              </w:rPr>
              <w:t>Podpis pogodbe za izgradnjo dveh linij hitrega prehoda Bus Rapid Transit v Bragi</w:t>
            </w:r>
          </w:p>
        </w:tc>
        <w:tc>
          <w:tcPr>
            <w:tcW w:w="1275" w:type="dxa"/>
            <w:shd w:val="clear" w:color="auto" w:fill="C4EFCE"/>
            <w:noWrap/>
            <w:vAlign w:val="center"/>
          </w:tcPr>
          <w:p w14:paraId="5BA09737"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3AD601A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F0A5A5B"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0B39241D"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2A2B11DA" w14:textId="2701FEF8"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51589D34" w14:textId="129F25AC"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F93B8E5" w14:textId="02E466A0" w:rsidR="00F24946" w:rsidRDefault="00613B06">
            <w:pPr>
              <w:pStyle w:val="P68B1DB1-Normal12"/>
              <w:spacing w:after="0" w:line="240" w:lineRule="auto"/>
              <w:jc w:val="both"/>
              <w:rPr>
                <w:rFonts w:eastAsia="Times New Roman" w:cstheme="minorHAnsi"/>
                <w:noProof/>
              </w:rPr>
            </w:pPr>
            <w:r>
              <w:rPr>
                <w:noProof/>
              </w:rPr>
              <w:t>Podpis pogodbe o izvajanju projekta med javnimi organi in izvajalcem, izbranim na podlagi odprtega razpisnega postopka. Pogodba določa gradnjo dveh avtobusnih prog za hitri tranzit, ki povezujeta železniško postajo z bolnišnico Avenida Robert Smith in Braga.</w:t>
            </w:r>
          </w:p>
        </w:tc>
      </w:tr>
      <w:tr w:rsidR="00F24946" w14:paraId="1EF25195" w14:textId="77777777">
        <w:trPr>
          <w:trHeight w:val="430"/>
        </w:trPr>
        <w:tc>
          <w:tcPr>
            <w:tcW w:w="1135" w:type="dxa"/>
            <w:shd w:val="clear" w:color="auto" w:fill="C4EFCE"/>
            <w:vAlign w:val="center"/>
          </w:tcPr>
          <w:p w14:paraId="360DF924" w14:textId="1F7490F1" w:rsidR="00F24946" w:rsidRDefault="00613B06">
            <w:pPr>
              <w:pStyle w:val="P68B1DB1-Normal11"/>
              <w:spacing w:after="0" w:line="240" w:lineRule="auto"/>
              <w:jc w:val="center"/>
              <w:rPr>
                <w:rFonts w:eastAsia="Times New Roman" w:cstheme="minorHAnsi"/>
                <w:noProof/>
              </w:rPr>
            </w:pPr>
            <w:r>
              <w:rPr>
                <w:noProof/>
              </w:rPr>
              <w:t>21.39</w:t>
            </w:r>
          </w:p>
        </w:tc>
        <w:tc>
          <w:tcPr>
            <w:tcW w:w="1276" w:type="dxa"/>
            <w:shd w:val="clear" w:color="auto" w:fill="C4EFCE"/>
            <w:noWrap/>
            <w:vAlign w:val="center"/>
          </w:tcPr>
          <w:p w14:paraId="511BB843" w14:textId="506A72EC" w:rsidR="00F24946" w:rsidRDefault="00613B06">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2F78C88B" w14:textId="006A851A"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7B24D0B" w14:textId="65A04047" w:rsidR="00F24946" w:rsidRDefault="00613B06">
            <w:pPr>
              <w:pStyle w:val="P68B1DB1-Normal12"/>
              <w:spacing w:after="0" w:line="240" w:lineRule="auto"/>
              <w:jc w:val="center"/>
              <w:rPr>
                <w:rFonts w:eastAsia="Times New Roman" w:cstheme="minorHAnsi"/>
                <w:noProof/>
              </w:rPr>
            </w:pPr>
            <w:r>
              <w:rPr>
                <w:noProof/>
              </w:rPr>
              <w:t>Gradnja dveh avtobusnih linij za hitri tranzit v Bragi</w:t>
            </w:r>
          </w:p>
        </w:tc>
        <w:tc>
          <w:tcPr>
            <w:tcW w:w="1275" w:type="dxa"/>
            <w:shd w:val="clear" w:color="auto" w:fill="C4EFCE"/>
            <w:noWrap/>
            <w:vAlign w:val="center"/>
          </w:tcPr>
          <w:p w14:paraId="1E4282F4"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78A689F4" w14:textId="16AF7609" w:rsidR="00F24946" w:rsidRDefault="00613B06">
            <w:pPr>
              <w:pStyle w:val="P68B1DB1-Normal12"/>
              <w:spacing w:after="0" w:line="240" w:lineRule="auto"/>
              <w:jc w:val="center"/>
              <w:rPr>
                <w:rFonts w:eastAsia="Times New Roman" w:cstheme="minorHAnsi"/>
                <w:noProof/>
              </w:rPr>
            </w:pPr>
            <w:r>
              <w:rPr>
                <w:noProof/>
              </w:rPr>
              <w:t>Kilometri</w:t>
            </w:r>
          </w:p>
        </w:tc>
        <w:tc>
          <w:tcPr>
            <w:tcW w:w="992" w:type="dxa"/>
            <w:shd w:val="clear" w:color="auto" w:fill="C4EFCE"/>
            <w:noWrap/>
            <w:vAlign w:val="center"/>
          </w:tcPr>
          <w:p w14:paraId="28074223"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9811327" w14:textId="644FF319" w:rsidR="00F24946" w:rsidRDefault="00613B06">
            <w:pPr>
              <w:pStyle w:val="P68B1DB1-Normal12"/>
              <w:spacing w:after="0" w:line="240" w:lineRule="auto"/>
              <w:jc w:val="center"/>
              <w:rPr>
                <w:rFonts w:eastAsia="Times New Roman" w:cstheme="minorHAnsi"/>
                <w:noProof/>
              </w:rPr>
            </w:pPr>
            <w:r>
              <w:rPr>
                <w:noProof/>
              </w:rPr>
              <w:t>12.2</w:t>
            </w:r>
          </w:p>
        </w:tc>
        <w:tc>
          <w:tcPr>
            <w:tcW w:w="567" w:type="dxa"/>
            <w:shd w:val="clear" w:color="auto" w:fill="C4EFCE"/>
            <w:noWrap/>
            <w:vAlign w:val="center"/>
          </w:tcPr>
          <w:p w14:paraId="27C8A23A" w14:textId="6A2DF4A3" w:rsidR="00F24946" w:rsidRDefault="00613B06">
            <w:pPr>
              <w:pStyle w:val="P68B1DB1-Normal12"/>
              <w:spacing w:after="0" w:line="240" w:lineRule="auto"/>
              <w:jc w:val="center"/>
              <w:rPr>
                <w:rFonts w:eastAsia="Times New Roman" w:cstheme="minorHAnsi"/>
                <w:noProof/>
              </w:rPr>
            </w:pPr>
            <w:r>
              <w:rPr>
                <w:noProof/>
              </w:rPr>
              <w:t>Q2</w:t>
            </w:r>
          </w:p>
        </w:tc>
        <w:tc>
          <w:tcPr>
            <w:tcW w:w="708" w:type="dxa"/>
            <w:shd w:val="clear" w:color="auto" w:fill="C4EFCE"/>
            <w:noWrap/>
            <w:vAlign w:val="center"/>
          </w:tcPr>
          <w:p w14:paraId="5704437E" w14:textId="000EFE9D"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599E09FF" w14:textId="633D041E" w:rsidR="00F24946" w:rsidRDefault="00613B06">
            <w:pPr>
              <w:pStyle w:val="P68B1DB1-Normal12"/>
              <w:spacing w:after="0" w:line="240" w:lineRule="auto"/>
              <w:jc w:val="both"/>
              <w:rPr>
                <w:rFonts w:eastAsia="Times New Roman"/>
                <w:noProof/>
              </w:rPr>
            </w:pPr>
            <w:r>
              <w:rPr>
                <w:noProof/>
              </w:rPr>
              <w:t>Gradbena dela v dolžini 12,2 kilometra se zaključijo na progah za hitri tranzit Bus v Bragi (rumena in rdeča proga), ki povezuje železniško postajo z bolnišnico Avenida Robert Smith in Braga. Sistem večinoma deluje na namenskih voznih pasovih in ima samo brezemisijske avtobuse. Naložba vključuje tudi nakup desetih brezemisijskih avtobusov, vključno s polnilnimi postajami, potrebnimi za upravljanje vodov. Proge so pripravljene za takojšnje delovanje načrtovanih prevoznih storitev.</w:t>
            </w:r>
          </w:p>
        </w:tc>
      </w:tr>
      <w:tr w:rsidR="00F24946" w14:paraId="39E29B98" w14:textId="77777777">
        <w:trPr>
          <w:trHeight w:val="430"/>
        </w:trPr>
        <w:tc>
          <w:tcPr>
            <w:tcW w:w="1135" w:type="dxa"/>
            <w:shd w:val="clear" w:color="auto" w:fill="C4EFCE"/>
            <w:vAlign w:val="center"/>
          </w:tcPr>
          <w:p w14:paraId="1E15D547" w14:textId="16041CD9" w:rsidR="00F24946" w:rsidRDefault="00613B06">
            <w:pPr>
              <w:pStyle w:val="P68B1DB1-Normal11"/>
              <w:spacing w:after="0" w:line="240" w:lineRule="auto"/>
              <w:jc w:val="center"/>
              <w:rPr>
                <w:rFonts w:eastAsia="Times New Roman" w:cstheme="minorHAnsi"/>
                <w:noProof/>
              </w:rPr>
            </w:pPr>
            <w:r>
              <w:rPr>
                <w:noProof/>
              </w:rPr>
              <w:t>21.40</w:t>
            </w:r>
          </w:p>
        </w:tc>
        <w:tc>
          <w:tcPr>
            <w:tcW w:w="1276" w:type="dxa"/>
            <w:shd w:val="clear" w:color="auto" w:fill="C4EFCE"/>
            <w:noWrap/>
            <w:vAlign w:val="center"/>
          </w:tcPr>
          <w:p w14:paraId="46A3C78E" w14:textId="1EC79D62" w:rsidR="00F24946" w:rsidRDefault="00613B06">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42B665C" w14:textId="29FC4974"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0028DBE" w14:textId="3E426063" w:rsidR="00F24946" w:rsidRDefault="00613B06">
            <w:pPr>
              <w:pStyle w:val="P68B1DB1-Normal12"/>
              <w:spacing w:after="0" w:line="240" w:lineRule="auto"/>
              <w:jc w:val="center"/>
              <w:rPr>
                <w:rFonts w:eastAsia="Times New Roman" w:cstheme="minorHAnsi"/>
                <w:noProof/>
              </w:rPr>
            </w:pPr>
            <w:r>
              <w:rPr>
                <w:noProof/>
              </w:rPr>
              <w:t>Podpis pogodbe o nakupu dveh električnih trajektov za prevoz potnikov in vozil med otoki Pico, Faial in São Jorge</w:t>
            </w:r>
          </w:p>
        </w:tc>
        <w:tc>
          <w:tcPr>
            <w:tcW w:w="1275" w:type="dxa"/>
            <w:shd w:val="clear" w:color="auto" w:fill="C4EFCE"/>
            <w:noWrap/>
          </w:tcPr>
          <w:p w14:paraId="5D04A650" w14:textId="77777777" w:rsidR="00F24946" w:rsidRDefault="00F24946">
            <w:pPr>
              <w:spacing w:after="0" w:line="240" w:lineRule="auto"/>
              <w:jc w:val="center"/>
              <w:rPr>
                <w:rFonts w:eastAsia="Times New Roman" w:cstheme="minorHAnsi"/>
                <w:noProof/>
                <w:sz w:val="16"/>
              </w:rPr>
            </w:pPr>
          </w:p>
        </w:tc>
        <w:tc>
          <w:tcPr>
            <w:tcW w:w="993" w:type="dxa"/>
            <w:shd w:val="clear" w:color="auto" w:fill="C4EFCE"/>
            <w:noWrap/>
            <w:vAlign w:val="center"/>
          </w:tcPr>
          <w:p w14:paraId="166D214F"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73A389CB"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63EA367E"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2B396275" w14:textId="1FAB48B9"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5382DE72" w14:textId="0911A6D2"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9CA13D" w14:textId="0D1554CF" w:rsidR="00F24946" w:rsidRDefault="00613B06">
            <w:pPr>
              <w:pStyle w:val="P68B1DB1-Normal12"/>
              <w:spacing w:after="0" w:line="240" w:lineRule="auto"/>
              <w:jc w:val="both"/>
              <w:rPr>
                <w:rFonts w:eastAsia="Times New Roman" w:cstheme="minorHAnsi"/>
                <w:noProof/>
              </w:rPr>
            </w:pPr>
            <w:r>
              <w:rPr>
                <w:noProof/>
              </w:rPr>
              <w:t>Podpis pogodbe med javnimi organi in izvajalcem, izbranim na podlagi javnega razpisa, za nakup dveh električnih trajektov za prevoz potnikov in vozil med otoki Pico, Faial in São Jorge.</w:t>
            </w:r>
          </w:p>
        </w:tc>
      </w:tr>
      <w:tr w:rsidR="00F24946" w14:paraId="532849A0" w14:textId="77777777">
        <w:trPr>
          <w:trHeight w:val="430"/>
        </w:trPr>
        <w:tc>
          <w:tcPr>
            <w:tcW w:w="1135" w:type="dxa"/>
            <w:shd w:val="clear" w:color="auto" w:fill="C4EFCE"/>
            <w:vAlign w:val="center"/>
          </w:tcPr>
          <w:p w14:paraId="55C6CC28" w14:textId="1C4AEDF6" w:rsidR="00F24946" w:rsidRDefault="00613B06">
            <w:pPr>
              <w:pStyle w:val="P68B1DB1-Normal11"/>
              <w:spacing w:after="0" w:line="240" w:lineRule="auto"/>
              <w:jc w:val="center"/>
              <w:rPr>
                <w:rFonts w:eastAsia="Times New Roman" w:cstheme="minorHAnsi"/>
                <w:noProof/>
              </w:rPr>
            </w:pPr>
            <w:r>
              <w:rPr>
                <w:noProof/>
              </w:rPr>
              <w:t>21.41</w:t>
            </w:r>
          </w:p>
        </w:tc>
        <w:tc>
          <w:tcPr>
            <w:tcW w:w="1276" w:type="dxa"/>
            <w:shd w:val="clear" w:color="auto" w:fill="C4EFCE"/>
            <w:noWrap/>
            <w:vAlign w:val="center"/>
          </w:tcPr>
          <w:p w14:paraId="4692FE69" w14:textId="6AED7451" w:rsidR="00F24946" w:rsidRDefault="00613B06">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036E0DB" w14:textId="5894D827"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45CFBD1" w14:textId="6135298E" w:rsidR="00F24946" w:rsidRDefault="00613B06">
            <w:pPr>
              <w:pStyle w:val="P68B1DB1-Normal12"/>
              <w:spacing w:after="0" w:line="240" w:lineRule="auto"/>
              <w:jc w:val="center"/>
              <w:rPr>
                <w:rFonts w:eastAsia="Times New Roman" w:cstheme="minorHAnsi"/>
                <w:noProof/>
              </w:rPr>
            </w:pPr>
            <w:r>
              <w:rPr>
                <w:noProof/>
              </w:rPr>
              <w:t>Začetek obratovanja dveh novih električnih trajektov</w:t>
            </w:r>
          </w:p>
        </w:tc>
        <w:tc>
          <w:tcPr>
            <w:tcW w:w="1275" w:type="dxa"/>
            <w:shd w:val="clear" w:color="auto" w:fill="C4EFCE"/>
            <w:noWrap/>
          </w:tcPr>
          <w:p w14:paraId="1E3534A1" w14:textId="4F88212C" w:rsidR="00F24946" w:rsidRDefault="00613B06">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A30C4B3" w14:textId="346D871A" w:rsidR="00F24946" w:rsidRDefault="00613B06">
            <w:pPr>
              <w:pStyle w:val="P68B1DB1-Normal12"/>
              <w:spacing w:after="0" w:line="240" w:lineRule="auto"/>
              <w:jc w:val="center"/>
              <w:rPr>
                <w:rFonts w:eastAsia="Times New Roman" w:cstheme="minorHAnsi"/>
                <w:noProof/>
              </w:rPr>
            </w:pPr>
            <w:r>
              <w:rPr>
                <w:noProof/>
              </w:rPr>
              <w:t>Število</w:t>
            </w:r>
          </w:p>
        </w:tc>
        <w:tc>
          <w:tcPr>
            <w:tcW w:w="992" w:type="dxa"/>
            <w:shd w:val="clear" w:color="auto" w:fill="C4EFCE"/>
            <w:noWrap/>
            <w:vAlign w:val="center"/>
          </w:tcPr>
          <w:p w14:paraId="3BF6FA6B"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0CF1AA39" w14:textId="68E4BC6C" w:rsidR="00F24946" w:rsidRDefault="00613B06">
            <w:pPr>
              <w:pStyle w:val="P68B1DB1-Normal12"/>
              <w:spacing w:after="0" w:line="240" w:lineRule="auto"/>
              <w:jc w:val="center"/>
              <w:rPr>
                <w:rFonts w:eastAsia="Times New Roman" w:cstheme="minorHAnsi"/>
                <w:noProof/>
              </w:rPr>
            </w:pPr>
            <w:r>
              <w:rPr>
                <w:noProof/>
              </w:rPr>
              <w:t>2</w:t>
            </w:r>
          </w:p>
        </w:tc>
        <w:tc>
          <w:tcPr>
            <w:tcW w:w="567" w:type="dxa"/>
            <w:shd w:val="clear" w:color="auto" w:fill="C4EFCE"/>
            <w:noWrap/>
            <w:vAlign w:val="center"/>
          </w:tcPr>
          <w:p w14:paraId="2E1C0DE5" w14:textId="2A1D5C1E" w:rsidR="00F24946" w:rsidRDefault="00613B06">
            <w:pPr>
              <w:pStyle w:val="P68B1DB1-Normal12"/>
              <w:spacing w:after="0" w:line="240" w:lineRule="auto"/>
              <w:jc w:val="center"/>
              <w:rPr>
                <w:rFonts w:eastAsia="Times New Roman" w:cstheme="minorHAnsi"/>
                <w:noProof/>
              </w:rPr>
            </w:pPr>
            <w:r>
              <w:rPr>
                <w:noProof/>
              </w:rPr>
              <w:t>Q4</w:t>
            </w:r>
          </w:p>
        </w:tc>
        <w:tc>
          <w:tcPr>
            <w:tcW w:w="708" w:type="dxa"/>
            <w:shd w:val="clear" w:color="auto" w:fill="C4EFCE"/>
            <w:noWrap/>
            <w:vAlign w:val="center"/>
          </w:tcPr>
          <w:p w14:paraId="054DE515" w14:textId="4363BF6B" w:rsidR="00F24946" w:rsidRDefault="00613B06">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185A16C5" w14:textId="6AA0A3D6" w:rsidR="00F24946" w:rsidRDefault="00613B06">
            <w:pPr>
              <w:pStyle w:val="P68B1DB1-Normal12"/>
              <w:spacing w:after="0" w:line="240" w:lineRule="auto"/>
              <w:jc w:val="both"/>
              <w:rPr>
                <w:rFonts w:eastAsia="Times New Roman" w:cstheme="minorHAnsi"/>
                <w:noProof/>
              </w:rPr>
            </w:pPr>
            <w:r>
              <w:rPr>
                <w:noProof/>
              </w:rPr>
              <w:t>Kupita se dva nova električna trajekta, ki bosta obratovala za prevoz potnikov in vozil med otoki Pico, Faial in São Jorge. Trajekti imajo najmanj 200 oziroma 100 potnikov.</w:t>
            </w:r>
          </w:p>
        </w:tc>
      </w:tr>
      <w:tr w:rsidR="00F24946" w14:paraId="1DF1176B" w14:textId="77777777">
        <w:trPr>
          <w:trHeight w:val="430"/>
        </w:trPr>
        <w:tc>
          <w:tcPr>
            <w:tcW w:w="1135" w:type="dxa"/>
            <w:shd w:val="clear" w:color="auto" w:fill="C4EFCE"/>
            <w:vAlign w:val="center"/>
          </w:tcPr>
          <w:p w14:paraId="3EF0FD70" w14:textId="48FA3140" w:rsidR="00F24946" w:rsidRDefault="00613B06">
            <w:pPr>
              <w:pStyle w:val="P68B1DB1-Normal11"/>
              <w:spacing w:after="0" w:line="240" w:lineRule="auto"/>
              <w:jc w:val="center"/>
              <w:rPr>
                <w:rFonts w:eastAsia="Times New Roman" w:cstheme="minorHAnsi"/>
                <w:noProof/>
              </w:rPr>
            </w:pPr>
            <w:r>
              <w:rPr>
                <w:noProof/>
              </w:rPr>
              <w:t>21.42</w:t>
            </w:r>
          </w:p>
        </w:tc>
        <w:tc>
          <w:tcPr>
            <w:tcW w:w="1276" w:type="dxa"/>
            <w:shd w:val="clear" w:color="auto" w:fill="C4EFCE"/>
            <w:noWrap/>
            <w:vAlign w:val="center"/>
          </w:tcPr>
          <w:p w14:paraId="3E37980A" w14:textId="32943EB6" w:rsidR="00F24946" w:rsidRDefault="00613B06">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75D0961D" w14:textId="5C584069" w:rsidR="00F24946" w:rsidRDefault="00613B06">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E1BD89C" w14:textId="0763BBE2" w:rsidR="00F24946" w:rsidRDefault="00613B06">
            <w:pPr>
              <w:pStyle w:val="P68B1DB1-Normal12"/>
              <w:spacing w:after="0" w:line="240" w:lineRule="auto"/>
              <w:jc w:val="center"/>
              <w:rPr>
                <w:rFonts w:eastAsia="Times New Roman" w:cstheme="minorHAnsi"/>
                <w:noProof/>
              </w:rPr>
            </w:pPr>
            <w:r>
              <w:rPr>
                <w:noProof/>
              </w:rPr>
              <w:t>Podpis pogodbe za izvajanje projekta</w:t>
            </w:r>
          </w:p>
        </w:tc>
        <w:tc>
          <w:tcPr>
            <w:tcW w:w="1275" w:type="dxa"/>
            <w:shd w:val="clear" w:color="auto" w:fill="C4EFCE"/>
            <w:noWrap/>
            <w:vAlign w:val="center"/>
          </w:tcPr>
          <w:p w14:paraId="6D51BF19" w14:textId="1E92AFD0" w:rsidR="00F24946" w:rsidRDefault="00613B06">
            <w:pPr>
              <w:pStyle w:val="P68B1DB1-Normal12"/>
              <w:spacing w:after="0" w:line="240" w:lineRule="auto"/>
              <w:jc w:val="center"/>
              <w:rPr>
                <w:rFonts w:eastAsia="Times New Roman" w:cstheme="minorHAnsi"/>
                <w:noProof/>
              </w:rPr>
            </w:pPr>
            <w:r>
              <w:rPr>
                <w:noProof/>
              </w:rPr>
              <w:t>Podpis pogodbe</w:t>
            </w:r>
          </w:p>
        </w:tc>
        <w:tc>
          <w:tcPr>
            <w:tcW w:w="993" w:type="dxa"/>
            <w:shd w:val="clear" w:color="auto" w:fill="C4EFCE"/>
            <w:noWrap/>
            <w:vAlign w:val="center"/>
          </w:tcPr>
          <w:p w14:paraId="741D0788"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18B6EA83"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C4F720A"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4ED6CA4A" w14:textId="7C6F7542" w:rsidR="00F24946" w:rsidRDefault="00613B06">
            <w:pPr>
              <w:pStyle w:val="P68B1DB1-Normal12"/>
              <w:spacing w:after="0" w:line="240" w:lineRule="auto"/>
              <w:jc w:val="center"/>
              <w:rPr>
                <w:rFonts w:eastAsia="Times New Roman" w:cstheme="minorHAnsi"/>
                <w:noProof/>
              </w:rPr>
            </w:pPr>
            <w:r>
              <w:rPr>
                <w:noProof/>
              </w:rPr>
              <w:t>Q3</w:t>
            </w:r>
          </w:p>
        </w:tc>
        <w:tc>
          <w:tcPr>
            <w:tcW w:w="708" w:type="dxa"/>
            <w:shd w:val="clear" w:color="auto" w:fill="C4EFCE"/>
            <w:noWrap/>
            <w:vAlign w:val="center"/>
          </w:tcPr>
          <w:p w14:paraId="211B5EDD" w14:textId="5AF255BE" w:rsidR="00F24946" w:rsidRDefault="00613B06">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3212FFEE" w14:textId="40EC26CF" w:rsidR="00F24946" w:rsidRDefault="00613B06">
            <w:pPr>
              <w:pStyle w:val="P68B1DB1-Normal12"/>
              <w:spacing w:after="0" w:line="240" w:lineRule="auto"/>
              <w:jc w:val="both"/>
              <w:rPr>
                <w:rFonts w:eastAsia="Times New Roman" w:cstheme="minorHAnsi"/>
                <w:noProof/>
              </w:rPr>
            </w:pPr>
            <w:r>
              <w:rPr>
                <w:noProof/>
              </w:rPr>
              <w:t>Podpis pogodbe o izvajanju projekta med javnimi organi in izvajalcem, izbranim na podlagi odprtega mednarodnega razpisnega postopka.</w:t>
            </w:r>
          </w:p>
        </w:tc>
      </w:tr>
      <w:tr w:rsidR="00F24946" w14:paraId="529C25C3" w14:textId="77777777">
        <w:trPr>
          <w:trHeight w:val="430"/>
        </w:trPr>
        <w:tc>
          <w:tcPr>
            <w:tcW w:w="1135" w:type="dxa"/>
            <w:shd w:val="clear" w:color="auto" w:fill="C4EFCE"/>
            <w:vAlign w:val="center"/>
          </w:tcPr>
          <w:p w14:paraId="2ADCAD91" w14:textId="62A09313" w:rsidR="00F24946" w:rsidRDefault="00613B06">
            <w:pPr>
              <w:pStyle w:val="P68B1DB1-Normal11"/>
              <w:spacing w:after="0" w:line="240" w:lineRule="auto"/>
              <w:jc w:val="center"/>
              <w:rPr>
                <w:rFonts w:eastAsia="Times New Roman" w:cstheme="minorHAnsi"/>
                <w:noProof/>
              </w:rPr>
            </w:pPr>
            <w:r>
              <w:rPr>
                <w:noProof/>
              </w:rPr>
              <w:t>21.43</w:t>
            </w:r>
          </w:p>
        </w:tc>
        <w:tc>
          <w:tcPr>
            <w:tcW w:w="1276" w:type="dxa"/>
            <w:shd w:val="clear" w:color="auto" w:fill="C4EFCE"/>
            <w:noWrap/>
            <w:vAlign w:val="center"/>
          </w:tcPr>
          <w:p w14:paraId="6EFB5CCE" w14:textId="7C36AC8C" w:rsidR="00F24946" w:rsidRDefault="00613B06">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3C242F77" w14:textId="218D6D72" w:rsidR="00F24946" w:rsidRDefault="00613B06">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33DBFF8" w14:textId="384221C4" w:rsidR="00F24946" w:rsidRDefault="00613B06">
            <w:pPr>
              <w:pStyle w:val="P68B1DB1-Normal12"/>
              <w:spacing w:after="0" w:line="240" w:lineRule="auto"/>
              <w:jc w:val="center"/>
              <w:rPr>
                <w:rFonts w:eastAsia="Times New Roman"/>
                <w:noProof/>
              </w:rPr>
            </w:pPr>
            <w:r>
              <w:rPr>
                <w:noProof/>
              </w:rPr>
              <w:t>Izgradnja žičnice</w:t>
            </w:r>
          </w:p>
        </w:tc>
        <w:tc>
          <w:tcPr>
            <w:tcW w:w="1275" w:type="dxa"/>
            <w:shd w:val="clear" w:color="auto" w:fill="C4EFCE"/>
            <w:noWrap/>
            <w:vAlign w:val="center"/>
          </w:tcPr>
          <w:p w14:paraId="02FA81D6" w14:textId="764DECD3" w:rsidR="00F24946" w:rsidRDefault="00613B06">
            <w:pPr>
              <w:pStyle w:val="P68B1DB1-Normal12"/>
              <w:spacing w:after="0" w:line="240" w:lineRule="auto"/>
              <w:jc w:val="center"/>
              <w:rPr>
                <w:rFonts w:eastAsia="Times New Roman" w:cstheme="minorHAnsi"/>
                <w:noProof/>
              </w:rPr>
            </w:pPr>
            <w:r>
              <w:rPr>
                <w:noProof/>
              </w:rPr>
              <w:t>Začetek delovanja</w:t>
            </w:r>
          </w:p>
        </w:tc>
        <w:tc>
          <w:tcPr>
            <w:tcW w:w="993" w:type="dxa"/>
            <w:shd w:val="clear" w:color="auto" w:fill="C4EFCE"/>
            <w:noWrap/>
            <w:vAlign w:val="center"/>
          </w:tcPr>
          <w:p w14:paraId="5F53A211"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267D5047" w14:textId="77777777" w:rsidR="00F24946" w:rsidRDefault="00F24946">
            <w:pPr>
              <w:spacing w:after="0" w:line="240" w:lineRule="auto"/>
              <w:jc w:val="center"/>
              <w:rPr>
                <w:rFonts w:eastAsia="Times New Roman" w:cstheme="minorHAnsi"/>
                <w:noProof/>
                <w:sz w:val="16"/>
              </w:rPr>
            </w:pPr>
          </w:p>
        </w:tc>
        <w:tc>
          <w:tcPr>
            <w:tcW w:w="992" w:type="dxa"/>
            <w:shd w:val="clear" w:color="auto" w:fill="C4EFCE"/>
            <w:noWrap/>
            <w:vAlign w:val="center"/>
          </w:tcPr>
          <w:p w14:paraId="307D8611" w14:textId="77777777" w:rsidR="00F24946" w:rsidRDefault="00F24946">
            <w:pPr>
              <w:spacing w:after="0" w:line="240" w:lineRule="auto"/>
              <w:jc w:val="center"/>
              <w:rPr>
                <w:rFonts w:eastAsia="Times New Roman" w:cstheme="minorHAnsi"/>
                <w:noProof/>
                <w:sz w:val="16"/>
              </w:rPr>
            </w:pPr>
          </w:p>
        </w:tc>
        <w:tc>
          <w:tcPr>
            <w:tcW w:w="567" w:type="dxa"/>
            <w:shd w:val="clear" w:color="auto" w:fill="C4EFCE"/>
            <w:noWrap/>
            <w:vAlign w:val="center"/>
          </w:tcPr>
          <w:p w14:paraId="5A8CFE96" w14:textId="2683462D" w:rsidR="00F24946" w:rsidRDefault="00613B06">
            <w:pPr>
              <w:pStyle w:val="P68B1DB1-Normal12"/>
              <w:spacing w:after="0" w:line="240" w:lineRule="auto"/>
              <w:jc w:val="center"/>
              <w:rPr>
                <w:rFonts w:eastAsia="Times New Roman" w:cstheme="minorHAnsi"/>
                <w:noProof/>
              </w:rPr>
            </w:pPr>
            <w:r>
              <w:rPr>
                <w:noProof/>
              </w:rPr>
              <w:t>ČETRTLETJE 1</w:t>
            </w:r>
          </w:p>
        </w:tc>
        <w:tc>
          <w:tcPr>
            <w:tcW w:w="708" w:type="dxa"/>
            <w:shd w:val="clear" w:color="auto" w:fill="C4EFCE"/>
            <w:noWrap/>
            <w:vAlign w:val="center"/>
          </w:tcPr>
          <w:p w14:paraId="6E0F941C" w14:textId="1527F901" w:rsidR="00F24946" w:rsidRDefault="00613B06">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6B1EB48" w14:textId="691924FE" w:rsidR="00F24946" w:rsidRDefault="00613B06">
            <w:pPr>
              <w:pStyle w:val="P68B1DB1-Normal12"/>
              <w:spacing w:after="0" w:line="240" w:lineRule="auto"/>
              <w:jc w:val="both"/>
              <w:rPr>
                <w:rFonts w:eastAsia="Times New Roman"/>
                <w:noProof/>
              </w:rPr>
            </w:pPr>
            <w:r>
              <w:rPr>
                <w:noProof/>
              </w:rPr>
              <w:t>Mehanska transportna raztopina (funikularna) dolžine približno 200 metrov je pripravljena za takojšnje delovanje in povezuje območje Pedreneira s spodnjim območjem vasi Nazaré.</w:t>
            </w:r>
          </w:p>
        </w:tc>
      </w:tr>
    </w:tbl>
    <w:p w14:paraId="35ED878F" w14:textId="77777777" w:rsidR="00F24946" w:rsidRDefault="00F24946">
      <w:pPr>
        <w:spacing w:after="0"/>
        <w:jc w:val="both"/>
        <w:rPr>
          <w:rFonts w:ascii="Times New Roman" w:hAnsi="Times New Roman" w:cs="Times New Roman"/>
          <w:noProof/>
          <w:sz w:val="24"/>
        </w:rPr>
        <w:sectPr w:rsidR="00F24946" w:rsidSect="00587917">
          <w:headerReference w:type="even" r:id="rId374"/>
          <w:headerReference w:type="default" r:id="rId375"/>
          <w:footerReference w:type="even" r:id="rId376"/>
          <w:footerReference w:type="default" r:id="rId377"/>
          <w:headerReference w:type="first" r:id="rId378"/>
          <w:footerReference w:type="first" r:id="rId379"/>
          <w:pgSz w:w="16838" w:h="11906" w:orient="landscape"/>
          <w:pgMar w:top="1134" w:right="1134" w:bottom="1134" w:left="1134" w:header="567" w:footer="567" w:gutter="0"/>
          <w:cols w:space="708"/>
          <w:docGrid w:linePitch="360"/>
        </w:sectPr>
      </w:pPr>
    </w:p>
    <w:p w14:paraId="236D10E6" w14:textId="66A5EAFD" w:rsidR="00F24946" w:rsidRDefault="00613B06">
      <w:pPr>
        <w:pStyle w:val="P68B1DB1-Normal3"/>
        <w:keepNext/>
        <w:spacing w:before="40" w:after="0" w:line="259" w:lineRule="auto"/>
        <w:ind w:left="130" w:firstLine="720"/>
        <w:jc w:val="both"/>
        <w:outlineLvl w:val="1"/>
        <w:rPr>
          <w:rFonts w:eastAsiaTheme="minorEastAsia" w:cs="Times New Roman"/>
          <w:noProof/>
        </w:rPr>
      </w:pPr>
      <w:r>
        <w:rPr>
          <w:noProof/>
        </w:rPr>
        <w:t>V. KOMPONENTA 22: Revizija in nadzor</w:t>
      </w:r>
    </w:p>
    <w:p w14:paraId="44234FA0"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2542E50" w14:textId="77777777"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V.1. Opis reforme</w:t>
      </w:r>
    </w:p>
    <w:p w14:paraId="4C7B8830" w14:textId="27F623A3" w:rsidR="00F24946" w:rsidRDefault="00613B06">
      <w:pPr>
        <w:pStyle w:val="P68B1DB1-Normal5"/>
        <w:keepNext/>
        <w:spacing w:before="240" w:after="0" w:line="259" w:lineRule="auto"/>
        <w:ind w:left="851"/>
        <w:jc w:val="both"/>
        <w:outlineLvl w:val="2"/>
        <w:rPr>
          <w:rFonts w:eastAsiaTheme="minorEastAsia" w:cs="Times New Roman"/>
          <w:noProof/>
        </w:rPr>
      </w:pPr>
      <w:r>
        <w:rPr>
          <w:noProof/>
        </w:rPr>
        <w:t>Reforma RE-C22-r49: Ureditve za spremljanje in izvajanje načrta za okrevanje in odpornost</w:t>
      </w:r>
    </w:p>
    <w:p w14:paraId="180C4631" w14:textId="314000A4" w:rsidR="00F24946" w:rsidRDefault="00613B06">
      <w:pPr>
        <w:pStyle w:val="P68B1DB1-Normal4"/>
        <w:spacing w:after="0" w:line="240" w:lineRule="auto"/>
        <w:jc w:val="both"/>
        <w:rPr>
          <w:rFonts w:cs="Times New Roman"/>
          <w:noProof/>
        </w:rPr>
      </w:pPr>
      <w:r>
        <w:rPr>
          <w:noProof/>
        </w:rPr>
        <w:t>Cilj ukrepa je izboljšati spremljanje in izvajanje načrta za okrevanje in odpornost. Za zagotovitev učinkovitega izvajanja sorazmernih ukrepov za boj proti goljufijam in korupciji Portugalska spremeni pogodbe, podpisane med usklajevalnim organom „EMRP“ in vsemi organi, odgovornimi za izvajanje načrta za okrevanje in odpornost, da se doda pravna obveznost izvajalskih organov, da izvedejo oceno tveganja goljufije v treh mesecih od spremembe njihovih pogodb, in, kadar so v oceni tveganja goljufij ugotovljena tveganja, ki jih obstoječe kontrole ne obravnavajo, pripravijo akcijski načrt, ki vsebuje dodatne kontrole. Ta obveznost se odraža v priročniku o postopkih usklajevalnega organa. Usklajevalni organ vsem izvajalskim organom tudi uradno sporoči tehnične smernice za podporo pri izvajanju ocene tveganja goljufije. Poleg tega Portugalska izboljša postopke za zmanjšanje ali zmanjšanje tveganja dvojnega financiranja z uvedbo učinkovitih sistematičnih navzkrižnih preverjanj vlog za morebitno financiranje v okviru mehanizma za okrevanje in odpornost ter med mehanizmom za okrevanje in odpornost ter drugimi programi Unije v skladu z načelom dobrega finančnega poslovodenja. Usklajevalni organ predloži dokument, v katerem so opisana predlagana podrobna navzkrižna preverjanja dvojnega financiranja, s čimer potrdi, da so vzpostavljeni ustrezni postopki za preprečevanje dvojnega financiranja.</w:t>
      </w:r>
    </w:p>
    <w:p w14:paraId="74765BC7" w14:textId="77777777" w:rsidR="00F24946" w:rsidRDefault="00F24946">
      <w:pPr>
        <w:spacing w:before="40" w:after="0" w:line="259" w:lineRule="auto"/>
        <w:jc w:val="both"/>
        <w:rPr>
          <w:rFonts w:ascii="Times New Roman" w:hAnsi="Times New Roman" w:cs="Times New Roman"/>
          <w:noProof/>
          <w:sz w:val="24"/>
        </w:rPr>
        <w:sectPr w:rsidR="00F24946" w:rsidSect="00737670">
          <w:headerReference w:type="even" r:id="rId380"/>
          <w:headerReference w:type="default" r:id="rId381"/>
          <w:footerReference w:type="even" r:id="rId382"/>
          <w:footerReference w:type="default" r:id="rId383"/>
          <w:headerReference w:type="first" r:id="rId384"/>
          <w:footerReference w:type="first" r:id="rId385"/>
          <w:pgSz w:w="11906" w:h="16838"/>
          <w:pgMar w:top="1134" w:right="1134" w:bottom="1134" w:left="1134" w:header="567" w:footer="567" w:gutter="0"/>
          <w:cols w:space="708"/>
          <w:docGrid w:linePitch="360"/>
        </w:sectPr>
      </w:pPr>
    </w:p>
    <w:p w14:paraId="3636EC65" w14:textId="77777777" w:rsidR="00F24946" w:rsidRDefault="00F24946">
      <w:pPr>
        <w:spacing w:before="40" w:after="0" w:line="259" w:lineRule="auto"/>
        <w:jc w:val="both"/>
        <w:rPr>
          <w:rFonts w:ascii="Times New Roman" w:hAnsi="Times New Roman" w:cs="Times New Roman"/>
          <w:noProof/>
          <w:sz w:val="24"/>
        </w:rPr>
      </w:pPr>
    </w:p>
    <w:p w14:paraId="2CBAD660" w14:textId="647AAFB2" w:rsidR="00F24946" w:rsidRDefault="00613B06">
      <w:pPr>
        <w:pStyle w:val="P68B1DB1-Normal3"/>
        <w:keepNext/>
        <w:spacing w:before="40" w:after="0" w:line="259" w:lineRule="auto"/>
        <w:ind w:left="130" w:firstLine="720"/>
        <w:jc w:val="both"/>
        <w:outlineLvl w:val="2"/>
        <w:rPr>
          <w:rFonts w:eastAsiaTheme="minorEastAsia" w:cs="Times New Roman"/>
          <w:noProof/>
        </w:rPr>
      </w:pPr>
      <w:r>
        <w:rPr>
          <w:noProof/>
        </w:rPr>
        <w:t>V.2. Mejniki, cilji, kazalniki in časovni razpored za spremljanje in izvajanje</w:t>
      </w:r>
    </w:p>
    <w:p w14:paraId="68A62073" w14:textId="77777777"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984"/>
        <w:gridCol w:w="1134"/>
        <w:gridCol w:w="851"/>
        <w:gridCol w:w="992"/>
        <w:gridCol w:w="709"/>
        <w:gridCol w:w="567"/>
        <w:gridCol w:w="708"/>
        <w:gridCol w:w="4395"/>
      </w:tblGrid>
      <w:tr w:rsidR="00F24946" w14:paraId="7A27D3D1" w14:textId="77777777">
        <w:trPr>
          <w:trHeight w:val="300"/>
          <w:tblHeader/>
        </w:trPr>
        <w:tc>
          <w:tcPr>
            <w:tcW w:w="1135" w:type="dxa"/>
            <w:vMerge w:val="restart"/>
            <w:shd w:val="clear" w:color="auto" w:fill="BDD6EE"/>
            <w:vAlign w:val="center"/>
            <w:hideMark/>
          </w:tcPr>
          <w:p w14:paraId="5CC94774"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276" w:type="dxa"/>
            <w:vMerge w:val="restart"/>
            <w:shd w:val="clear" w:color="auto" w:fill="BDD6EE"/>
            <w:noWrap/>
            <w:vAlign w:val="center"/>
            <w:hideMark/>
          </w:tcPr>
          <w:p w14:paraId="30C71F68" w14:textId="77777777" w:rsidR="00F24946" w:rsidRDefault="00613B06">
            <w:pPr>
              <w:pStyle w:val="P68B1DB1-Normal6"/>
              <w:spacing w:after="0" w:line="240" w:lineRule="auto"/>
              <w:jc w:val="center"/>
              <w:rPr>
                <w:rFonts w:eastAsia="Times New Roman" w:cs="Times New Roman"/>
                <w:noProof/>
              </w:rPr>
            </w:pPr>
            <w:r>
              <w:rPr>
                <w:noProof/>
              </w:rPr>
              <w:t>Ukrep (reforma ali naložba)</w:t>
            </w:r>
          </w:p>
        </w:tc>
        <w:tc>
          <w:tcPr>
            <w:tcW w:w="1134" w:type="dxa"/>
            <w:vMerge w:val="restart"/>
            <w:shd w:val="clear" w:color="auto" w:fill="BDD6EE"/>
            <w:noWrap/>
            <w:vAlign w:val="center"/>
            <w:hideMark/>
          </w:tcPr>
          <w:p w14:paraId="620CB2B2"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1984" w:type="dxa"/>
            <w:vMerge w:val="restart"/>
            <w:shd w:val="clear" w:color="auto" w:fill="BDD6EE"/>
            <w:noWrap/>
            <w:vAlign w:val="center"/>
            <w:hideMark/>
          </w:tcPr>
          <w:p w14:paraId="1C302F4F" w14:textId="77777777" w:rsidR="00F24946" w:rsidRDefault="00613B06">
            <w:pPr>
              <w:pStyle w:val="P68B1DB1-Normal6"/>
              <w:spacing w:after="0" w:line="240" w:lineRule="auto"/>
              <w:jc w:val="center"/>
              <w:rPr>
                <w:rFonts w:eastAsia="Times New Roman" w:cs="Times New Roman"/>
                <w:noProof/>
              </w:rPr>
            </w:pPr>
            <w:r>
              <w:rPr>
                <w:noProof/>
              </w:rPr>
              <w:t>Ime</w:t>
            </w:r>
          </w:p>
        </w:tc>
        <w:tc>
          <w:tcPr>
            <w:tcW w:w="1134" w:type="dxa"/>
            <w:vMerge w:val="restart"/>
            <w:shd w:val="clear" w:color="auto" w:fill="BDD6EE"/>
            <w:noWrap/>
            <w:vAlign w:val="center"/>
            <w:hideMark/>
          </w:tcPr>
          <w:p w14:paraId="7F93989A" w14:textId="77777777" w:rsidR="00F24946" w:rsidRDefault="00613B06">
            <w:pPr>
              <w:pStyle w:val="P68B1DB1-Normal6"/>
              <w:spacing w:after="0" w:line="240" w:lineRule="auto"/>
              <w:jc w:val="center"/>
              <w:rPr>
                <w:rFonts w:eastAsia="Times New Roman" w:cs="Times New Roman"/>
                <w:noProof/>
              </w:rPr>
            </w:pPr>
            <w:r>
              <w:rPr>
                <w:noProof/>
              </w:rPr>
              <w:t>Kvalitativni kazalniki za mejnike</w:t>
            </w:r>
          </w:p>
        </w:tc>
        <w:tc>
          <w:tcPr>
            <w:tcW w:w="2552" w:type="dxa"/>
            <w:gridSpan w:val="3"/>
            <w:shd w:val="clear" w:color="auto" w:fill="BDD6EE"/>
            <w:noWrap/>
            <w:vAlign w:val="center"/>
            <w:hideMark/>
          </w:tcPr>
          <w:p w14:paraId="5C5240E8" w14:textId="77777777" w:rsidR="00F24946" w:rsidRDefault="00613B06">
            <w:pPr>
              <w:pStyle w:val="P68B1DB1-Normal6"/>
              <w:spacing w:after="0" w:line="240" w:lineRule="auto"/>
              <w:jc w:val="center"/>
              <w:rPr>
                <w:rFonts w:eastAsia="Times New Roman" w:cs="Times New Roman"/>
                <w:noProof/>
              </w:rPr>
            </w:pPr>
            <w:r>
              <w:rPr>
                <w:noProof/>
              </w:rPr>
              <w:t>Kvantitativni kazalniki (za ciljne vrednosti)</w:t>
            </w:r>
          </w:p>
        </w:tc>
        <w:tc>
          <w:tcPr>
            <w:tcW w:w="1275" w:type="dxa"/>
            <w:gridSpan w:val="2"/>
            <w:shd w:val="clear" w:color="auto" w:fill="BDD6EE"/>
            <w:noWrap/>
            <w:vAlign w:val="center"/>
            <w:hideMark/>
          </w:tcPr>
          <w:p w14:paraId="5A90F2F3" w14:textId="77777777" w:rsidR="00F24946" w:rsidRDefault="00613B06">
            <w:pPr>
              <w:pStyle w:val="P68B1DB1-Normal6"/>
              <w:spacing w:after="0" w:line="240" w:lineRule="auto"/>
              <w:jc w:val="center"/>
              <w:rPr>
                <w:rFonts w:eastAsia="Times New Roman" w:cs="Times New Roman"/>
                <w:noProof/>
              </w:rPr>
            </w:pPr>
            <w:r>
              <w:rPr>
                <w:noProof/>
              </w:rPr>
              <w:t>Časovnica za dokončanje</w:t>
            </w:r>
          </w:p>
        </w:tc>
        <w:tc>
          <w:tcPr>
            <w:tcW w:w="4395" w:type="dxa"/>
            <w:vMerge w:val="restart"/>
            <w:shd w:val="clear" w:color="auto" w:fill="BDD6EE"/>
            <w:vAlign w:val="center"/>
            <w:hideMark/>
          </w:tcPr>
          <w:p w14:paraId="05C538FC" w14:textId="77777777" w:rsidR="00F24946" w:rsidRDefault="00613B06">
            <w:pPr>
              <w:pStyle w:val="P68B1DB1-Normal6"/>
              <w:spacing w:after="0" w:line="240" w:lineRule="auto"/>
              <w:jc w:val="center"/>
              <w:rPr>
                <w:rFonts w:eastAsia="Times New Roman" w:cs="Times New Roman"/>
                <w:noProof/>
              </w:rPr>
            </w:pPr>
            <w:r>
              <w:rPr>
                <w:noProof/>
              </w:rPr>
              <w:t>Opis in jasna opredelitev vsakega mejnika in cilja</w:t>
            </w:r>
          </w:p>
        </w:tc>
      </w:tr>
      <w:tr w:rsidR="00F24946" w14:paraId="791474D6" w14:textId="77777777">
        <w:trPr>
          <w:trHeight w:val="300"/>
          <w:tblHeader/>
        </w:trPr>
        <w:tc>
          <w:tcPr>
            <w:tcW w:w="1135" w:type="dxa"/>
            <w:vMerge/>
            <w:vAlign w:val="center"/>
            <w:hideMark/>
          </w:tcPr>
          <w:p w14:paraId="64F5E293" w14:textId="77777777" w:rsidR="00F24946" w:rsidRDefault="00F24946">
            <w:pPr>
              <w:spacing w:after="0" w:line="240" w:lineRule="auto"/>
              <w:rPr>
                <w:rFonts w:ascii="Times New Roman" w:eastAsia="Times New Roman" w:hAnsi="Times New Roman" w:cs="Times New Roman"/>
                <w:b/>
                <w:noProof/>
                <w:sz w:val="18"/>
              </w:rPr>
            </w:pPr>
          </w:p>
        </w:tc>
        <w:tc>
          <w:tcPr>
            <w:tcW w:w="1276" w:type="dxa"/>
            <w:vMerge/>
            <w:vAlign w:val="center"/>
            <w:hideMark/>
          </w:tcPr>
          <w:p w14:paraId="4801FFBD"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0FBCC370" w14:textId="77777777" w:rsidR="00F24946" w:rsidRDefault="00F24946">
            <w:pPr>
              <w:spacing w:after="0" w:line="240" w:lineRule="auto"/>
              <w:jc w:val="center"/>
              <w:rPr>
                <w:rFonts w:ascii="Times New Roman" w:eastAsia="Times New Roman" w:hAnsi="Times New Roman" w:cs="Times New Roman"/>
                <w:b/>
                <w:noProof/>
                <w:sz w:val="18"/>
              </w:rPr>
            </w:pPr>
          </w:p>
        </w:tc>
        <w:tc>
          <w:tcPr>
            <w:tcW w:w="1984" w:type="dxa"/>
            <w:vMerge/>
            <w:vAlign w:val="center"/>
            <w:hideMark/>
          </w:tcPr>
          <w:p w14:paraId="57A267FE" w14:textId="77777777" w:rsidR="00F24946" w:rsidRDefault="00F24946">
            <w:pPr>
              <w:spacing w:after="0" w:line="240" w:lineRule="auto"/>
              <w:rPr>
                <w:rFonts w:ascii="Times New Roman" w:eastAsia="Times New Roman" w:hAnsi="Times New Roman" w:cs="Times New Roman"/>
                <w:b/>
                <w:noProof/>
                <w:sz w:val="18"/>
              </w:rPr>
            </w:pPr>
          </w:p>
        </w:tc>
        <w:tc>
          <w:tcPr>
            <w:tcW w:w="1134" w:type="dxa"/>
            <w:vMerge/>
            <w:vAlign w:val="center"/>
            <w:hideMark/>
          </w:tcPr>
          <w:p w14:paraId="0C7C5FFB" w14:textId="77777777" w:rsidR="00F24946" w:rsidRDefault="00F24946">
            <w:pPr>
              <w:spacing w:after="0" w:line="240" w:lineRule="auto"/>
              <w:rPr>
                <w:rFonts w:ascii="Times New Roman" w:eastAsia="Times New Roman" w:hAnsi="Times New Roman" w:cs="Times New Roman"/>
                <w:b/>
                <w:noProof/>
                <w:sz w:val="18"/>
              </w:rPr>
            </w:pPr>
          </w:p>
        </w:tc>
        <w:tc>
          <w:tcPr>
            <w:tcW w:w="851" w:type="dxa"/>
            <w:shd w:val="clear" w:color="auto" w:fill="BDD6EE"/>
            <w:noWrap/>
            <w:vAlign w:val="center"/>
            <w:hideMark/>
          </w:tcPr>
          <w:p w14:paraId="1A7AD875" w14:textId="77777777" w:rsidR="00F24946" w:rsidRDefault="00613B06">
            <w:pPr>
              <w:pStyle w:val="P68B1DB1-Normal6"/>
              <w:spacing w:after="0" w:line="240" w:lineRule="auto"/>
              <w:jc w:val="center"/>
              <w:rPr>
                <w:rFonts w:eastAsia="Times New Roman" w:cs="Times New Roman"/>
                <w:noProof/>
              </w:rPr>
            </w:pPr>
            <w:r>
              <w:rPr>
                <w:noProof/>
              </w:rPr>
              <w:t>Merska enota</w:t>
            </w:r>
          </w:p>
        </w:tc>
        <w:tc>
          <w:tcPr>
            <w:tcW w:w="992" w:type="dxa"/>
            <w:shd w:val="clear" w:color="auto" w:fill="BDD6EE"/>
            <w:noWrap/>
            <w:vAlign w:val="center"/>
            <w:hideMark/>
          </w:tcPr>
          <w:p w14:paraId="75CEC3C9" w14:textId="77777777" w:rsidR="00F24946" w:rsidRDefault="00613B06">
            <w:pPr>
              <w:pStyle w:val="P68B1DB1-Normal6"/>
              <w:spacing w:after="0" w:line="240" w:lineRule="auto"/>
              <w:jc w:val="center"/>
              <w:rPr>
                <w:rFonts w:eastAsia="Times New Roman" w:cs="Times New Roman"/>
                <w:noProof/>
              </w:rPr>
            </w:pPr>
            <w:r>
              <w:rPr>
                <w:noProof/>
              </w:rPr>
              <w:t>Izhodišče</w:t>
            </w:r>
          </w:p>
        </w:tc>
        <w:tc>
          <w:tcPr>
            <w:tcW w:w="709" w:type="dxa"/>
            <w:shd w:val="clear" w:color="auto" w:fill="BDD6EE"/>
            <w:noWrap/>
            <w:vAlign w:val="center"/>
            <w:hideMark/>
          </w:tcPr>
          <w:p w14:paraId="1839FA92" w14:textId="77777777" w:rsidR="00F24946" w:rsidRDefault="00613B06">
            <w:pPr>
              <w:pStyle w:val="P68B1DB1-Normal6"/>
              <w:spacing w:after="0" w:line="240" w:lineRule="auto"/>
              <w:jc w:val="center"/>
              <w:rPr>
                <w:rFonts w:eastAsia="Times New Roman" w:cs="Times New Roman"/>
                <w:noProof/>
              </w:rPr>
            </w:pPr>
            <w:r>
              <w:rPr>
                <w:noProof/>
              </w:rPr>
              <w:t>Cilj</w:t>
            </w:r>
          </w:p>
        </w:tc>
        <w:tc>
          <w:tcPr>
            <w:tcW w:w="567" w:type="dxa"/>
            <w:shd w:val="clear" w:color="auto" w:fill="BDD6EE"/>
            <w:noWrap/>
            <w:vAlign w:val="center"/>
            <w:hideMark/>
          </w:tcPr>
          <w:p w14:paraId="034E72F5" w14:textId="77777777" w:rsidR="00F24946" w:rsidRDefault="00613B06">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39CD227" w14:textId="77777777" w:rsidR="00F24946" w:rsidRDefault="00613B06">
            <w:pPr>
              <w:pStyle w:val="P68B1DB1-Normal6"/>
              <w:spacing w:after="0" w:line="240" w:lineRule="auto"/>
              <w:jc w:val="center"/>
              <w:rPr>
                <w:rFonts w:eastAsia="Times New Roman" w:cs="Times New Roman"/>
                <w:noProof/>
              </w:rPr>
            </w:pPr>
            <w:r>
              <w:rPr>
                <w:noProof/>
              </w:rPr>
              <w:t>Leto</w:t>
            </w:r>
          </w:p>
        </w:tc>
        <w:tc>
          <w:tcPr>
            <w:tcW w:w="4395" w:type="dxa"/>
            <w:vMerge/>
            <w:vAlign w:val="center"/>
            <w:hideMark/>
          </w:tcPr>
          <w:p w14:paraId="6237285D" w14:textId="77777777" w:rsidR="00F24946" w:rsidRDefault="00F24946">
            <w:pPr>
              <w:spacing w:after="0" w:line="240" w:lineRule="auto"/>
              <w:rPr>
                <w:rFonts w:ascii="Times New Roman" w:eastAsia="Times New Roman" w:hAnsi="Times New Roman" w:cs="Times New Roman"/>
                <w:b/>
                <w:noProof/>
                <w:sz w:val="18"/>
              </w:rPr>
            </w:pPr>
          </w:p>
        </w:tc>
      </w:tr>
      <w:tr w:rsidR="00F24946" w14:paraId="6842EF63" w14:textId="77777777">
        <w:trPr>
          <w:trHeight w:val="1260"/>
          <w:tblHeader/>
        </w:trPr>
        <w:tc>
          <w:tcPr>
            <w:tcW w:w="1135" w:type="dxa"/>
            <w:shd w:val="clear" w:color="auto" w:fill="C4EFCE"/>
            <w:noWrap/>
            <w:vAlign w:val="center"/>
          </w:tcPr>
          <w:p w14:paraId="20D33C04" w14:textId="3BE29466" w:rsidR="00F24946" w:rsidRDefault="00613B06">
            <w:pPr>
              <w:pStyle w:val="P68B1DB1-Normal7"/>
              <w:spacing w:after="0" w:line="240" w:lineRule="auto"/>
              <w:jc w:val="center"/>
              <w:rPr>
                <w:rFonts w:eastAsia="Times New Roman" w:cs="Calibri"/>
                <w:noProof/>
              </w:rPr>
            </w:pPr>
            <w:r>
              <w:rPr>
                <w:noProof/>
              </w:rPr>
              <w:t>22.1</w:t>
            </w:r>
          </w:p>
        </w:tc>
        <w:tc>
          <w:tcPr>
            <w:tcW w:w="1276" w:type="dxa"/>
            <w:shd w:val="clear" w:color="auto" w:fill="C4EFCE"/>
            <w:noWrap/>
            <w:vAlign w:val="center"/>
          </w:tcPr>
          <w:p w14:paraId="62B22C1C" w14:textId="0E34FE03" w:rsidR="00F24946" w:rsidRDefault="00613B06">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8531306" w14:textId="7F47F2D7" w:rsidR="00F24946" w:rsidRDefault="00613B06">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560DB9C0" w14:textId="2B36040C" w:rsidR="00F24946" w:rsidRDefault="00613B06">
            <w:pPr>
              <w:pStyle w:val="P68B1DB1-Normal8"/>
              <w:spacing w:after="0" w:line="240" w:lineRule="auto"/>
              <w:jc w:val="center"/>
              <w:rPr>
                <w:rFonts w:eastAsia="Times New Roman" w:cs="Calibri"/>
                <w:noProof/>
              </w:rPr>
            </w:pPr>
            <w:r>
              <w:rPr>
                <w:noProof/>
              </w:rPr>
              <w:t>Sprememba pogodb o financiranju med EMRP in izvajalskimi organi, da se vključi obveznost izvedbe ocene tveganja goljufij</w:t>
            </w:r>
          </w:p>
        </w:tc>
        <w:tc>
          <w:tcPr>
            <w:tcW w:w="1134" w:type="dxa"/>
            <w:shd w:val="clear" w:color="auto" w:fill="C4EFCE"/>
            <w:noWrap/>
            <w:vAlign w:val="center"/>
          </w:tcPr>
          <w:p w14:paraId="205B0F66" w14:textId="77777777" w:rsidR="00F24946" w:rsidRDefault="00F24946">
            <w:pPr>
              <w:spacing w:after="0" w:line="240" w:lineRule="auto"/>
              <w:rPr>
                <w:rFonts w:ascii="Calibri" w:hAnsi="Calibri" w:cs="Calibri"/>
                <w:noProof/>
                <w:sz w:val="16"/>
              </w:rPr>
            </w:pPr>
          </w:p>
          <w:p w14:paraId="679BDC28" w14:textId="5A459A31" w:rsidR="00F24946" w:rsidRDefault="00613B06">
            <w:pPr>
              <w:pStyle w:val="P68B1DB1-Normal8"/>
              <w:jc w:val="center"/>
              <w:rPr>
                <w:rFonts w:cs="Calibri"/>
                <w:noProof/>
              </w:rPr>
            </w:pPr>
            <w:r>
              <w:rPr>
                <w:noProof/>
              </w:rPr>
              <w:t>Spremenjene pogodbe</w:t>
            </w:r>
          </w:p>
        </w:tc>
        <w:tc>
          <w:tcPr>
            <w:tcW w:w="851" w:type="dxa"/>
            <w:shd w:val="clear" w:color="auto" w:fill="C4EFCE"/>
            <w:noWrap/>
            <w:vAlign w:val="center"/>
          </w:tcPr>
          <w:p w14:paraId="6159C977"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C92B964"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3DEFF08"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0CEA973F" w14:textId="74F5DD87"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tcPr>
          <w:p w14:paraId="1EB90E5A" w14:textId="798D8660" w:rsidR="00F24946" w:rsidRDefault="00613B06">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23E3766D" w14:textId="2A2CD04B" w:rsidR="00F24946" w:rsidRDefault="00613B06">
            <w:pPr>
              <w:pStyle w:val="P68B1DB1-Normal8"/>
              <w:spacing w:after="0" w:line="240" w:lineRule="auto"/>
              <w:jc w:val="both"/>
              <w:rPr>
                <w:rFonts w:eastAsia="Times New Roman" w:cs="Calibri"/>
                <w:noProof/>
              </w:rPr>
            </w:pPr>
            <w:r>
              <w:rPr>
                <w:noProof/>
              </w:rPr>
              <w:t>Usklajevalni organ „EMRP“ spremeni pogodbe, podpisane z vsemi organi, pristojnimi za izvajanje načrta za okrevanje in odpornost, tako da doda pravno obveznost izvajalskih organov, da izvedejo oceno tveganja goljufije v treh mesecih od spremembe svojih pogodb, in da, kadar so v oceni tveganja goljufij ugotovljena tveganja, ki jih obstoječe kontrole ne obravnavajo, pripravijo akcijski načrt, ki vsebuje dodatne kontrole. Ta obveznost se odraža v priročniku o postopkih usklajevalnega organa. Usklajevalni organ vsem izvajalskim organom tudi uradno sporoči tehnične smernice za podporo pri izvajanju ocene tveganja goljufije.</w:t>
            </w:r>
          </w:p>
        </w:tc>
      </w:tr>
      <w:tr w:rsidR="00F24946" w14:paraId="4F83E9D0" w14:textId="77777777">
        <w:trPr>
          <w:trHeight w:val="1050"/>
          <w:tblHeader/>
        </w:trPr>
        <w:tc>
          <w:tcPr>
            <w:tcW w:w="1135" w:type="dxa"/>
            <w:shd w:val="clear" w:color="auto" w:fill="C4EFCE"/>
            <w:noWrap/>
            <w:vAlign w:val="center"/>
          </w:tcPr>
          <w:p w14:paraId="6AE6A737" w14:textId="1AC80AEF" w:rsidR="00F24946" w:rsidRDefault="00613B06">
            <w:pPr>
              <w:pStyle w:val="P68B1DB1-Normal7"/>
              <w:spacing w:after="0" w:line="240" w:lineRule="auto"/>
              <w:jc w:val="center"/>
              <w:rPr>
                <w:rFonts w:eastAsia="Times New Roman" w:cs="Calibri"/>
                <w:noProof/>
              </w:rPr>
            </w:pPr>
            <w:r>
              <w:rPr>
                <w:noProof/>
              </w:rPr>
              <w:t>22.2</w:t>
            </w:r>
          </w:p>
        </w:tc>
        <w:tc>
          <w:tcPr>
            <w:tcW w:w="1276" w:type="dxa"/>
            <w:shd w:val="clear" w:color="auto" w:fill="C4EFCE"/>
            <w:noWrap/>
            <w:vAlign w:val="center"/>
          </w:tcPr>
          <w:p w14:paraId="2DA9EBA8" w14:textId="6B386F7E" w:rsidR="00F24946" w:rsidRDefault="00613B06">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AC25D7A" w14:textId="40D4B45C" w:rsidR="00F24946" w:rsidRDefault="00613B06">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3D88FC2B" w14:textId="5245F9E7" w:rsidR="00F24946" w:rsidRDefault="00613B06">
            <w:pPr>
              <w:pStyle w:val="P68B1DB1-Normal8"/>
              <w:spacing w:after="0" w:line="240" w:lineRule="auto"/>
              <w:jc w:val="center"/>
              <w:rPr>
                <w:rFonts w:eastAsia="Times New Roman" w:cs="Calibri"/>
                <w:noProof/>
              </w:rPr>
            </w:pPr>
            <w:r>
              <w:rPr>
                <w:noProof/>
              </w:rPr>
              <w:t>Uvedba navzkrižnih preverjanj za dvojno financiranje</w:t>
            </w:r>
          </w:p>
        </w:tc>
        <w:tc>
          <w:tcPr>
            <w:tcW w:w="1134" w:type="dxa"/>
            <w:shd w:val="clear" w:color="auto" w:fill="C4EFCE"/>
            <w:noWrap/>
            <w:vAlign w:val="center"/>
          </w:tcPr>
          <w:p w14:paraId="4B3ED836" w14:textId="6F92F713" w:rsidR="00F24946" w:rsidRDefault="00613B06">
            <w:pPr>
              <w:pStyle w:val="P68B1DB1-Normal8"/>
              <w:spacing w:after="0" w:line="240" w:lineRule="auto"/>
              <w:jc w:val="center"/>
              <w:rPr>
                <w:rFonts w:eastAsia="Times New Roman" w:cs="Calibri"/>
                <w:noProof/>
              </w:rPr>
            </w:pPr>
            <w:r>
              <w:rPr>
                <w:noProof/>
              </w:rPr>
              <w:t xml:space="preserve">Izvajanje ustreznih postopkov </w:t>
            </w:r>
          </w:p>
        </w:tc>
        <w:tc>
          <w:tcPr>
            <w:tcW w:w="851" w:type="dxa"/>
            <w:shd w:val="clear" w:color="auto" w:fill="C4EFCE"/>
            <w:noWrap/>
            <w:vAlign w:val="center"/>
          </w:tcPr>
          <w:p w14:paraId="44F95A3F" w14:textId="77777777" w:rsidR="00F24946" w:rsidRDefault="00F24946">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2D07F96E" w14:textId="77777777" w:rsidR="00F24946" w:rsidRDefault="00F24946">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25F8C2EF" w14:textId="77777777" w:rsidR="00F24946" w:rsidRDefault="00F24946">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535B19B9" w14:textId="6AAFBEC9" w:rsidR="00F24946" w:rsidRDefault="00613B06">
            <w:pPr>
              <w:pStyle w:val="P68B1DB1-Normal8"/>
              <w:spacing w:after="0" w:line="240" w:lineRule="auto"/>
              <w:jc w:val="center"/>
              <w:rPr>
                <w:rFonts w:eastAsia="Times New Roman" w:cs="Calibri"/>
                <w:noProof/>
              </w:rPr>
            </w:pPr>
            <w:r>
              <w:rPr>
                <w:noProof/>
              </w:rPr>
              <w:t>Q3</w:t>
            </w:r>
          </w:p>
        </w:tc>
        <w:tc>
          <w:tcPr>
            <w:tcW w:w="708" w:type="dxa"/>
            <w:shd w:val="clear" w:color="auto" w:fill="C4EFCE"/>
            <w:noWrap/>
            <w:vAlign w:val="center"/>
          </w:tcPr>
          <w:p w14:paraId="68F6B24F" w14:textId="4C019A52" w:rsidR="00F24946" w:rsidRDefault="00613B06">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02C4B5ED" w14:textId="533404F6" w:rsidR="00F24946" w:rsidRDefault="00613B06">
            <w:pPr>
              <w:pStyle w:val="P68B1DB1-Normal8"/>
              <w:spacing w:after="0" w:line="240" w:lineRule="auto"/>
              <w:jc w:val="both"/>
              <w:rPr>
                <w:rFonts w:eastAsia="Times New Roman" w:cs="Calibri"/>
                <w:noProof/>
              </w:rPr>
            </w:pPr>
            <w:r>
              <w:rPr>
                <w:noProof/>
              </w:rPr>
              <w:t>Portugalski organi izboljšajo in izvajajo ustrezne postopke za zmanjšanje ali zmanjšanje tveganja dvojnega financiranja z uvedbo učinkovitih sistematičnih navzkrižnih preverjanj vlog za morebitno financiranje v okviru mehanizma za okrevanje in odpornost ter med mehanizmom za okrevanje in odpornost ter drugimi programi Unije v skladu z načelom dobrega finančnega poslovodenja.</w:t>
            </w:r>
          </w:p>
        </w:tc>
      </w:tr>
    </w:tbl>
    <w:p w14:paraId="43BA5E3A" w14:textId="40FA9800" w:rsidR="00F24946" w:rsidRDefault="00F24946">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F24946" w:rsidSect="00587917">
          <w:headerReference w:type="even" r:id="rId386"/>
          <w:headerReference w:type="default" r:id="rId387"/>
          <w:footerReference w:type="even" r:id="rId388"/>
          <w:footerReference w:type="default" r:id="rId389"/>
          <w:headerReference w:type="first" r:id="rId390"/>
          <w:footerReference w:type="first" r:id="rId391"/>
          <w:pgSz w:w="16838" w:h="11906" w:orient="landscape"/>
          <w:pgMar w:top="1134" w:right="1134" w:bottom="1134" w:left="1134" w:header="567" w:footer="567" w:gutter="0"/>
          <w:cols w:space="708"/>
          <w:docGrid w:linePitch="360"/>
        </w:sectPr>
      </w:pPr>
    </w:p>
    <w:p w14:paraId="38339004" w14:textId="15E78D3A" w:rsidR="00F24946" w:rsidRDefault="00613B06">
      <w:pPr>
        <w:pStyle w:val="P68B1DB1-Normal3"/>
        <w:keepNext/>
        <w:spacing w:before="40" w:after="0" w:line="259" w:lineRule="auto"/>
        <w:ind w:left="130" w:firstLine="720"/>
        <w:jc w:val="both"/>
        <w:outlineLvl w:val="1"/>
        <w:rPr>
          <w:rFonts w:eastAsiaTheme="majorEastAsia" w:cs="Times New Roman"/>
          <w:noProof/>
        </w:rPr>
      </w:pPr>
      <w:r>
        <w:rPr>
          <w:noProof/>
        </w:rPr>
        <w:t>2. Ocenjeni skupni stroški načrta za okrevanje in odpornost</w:t>
      </w:r>
    </w:p>
    <w:p w14:paraId="7A12B998" w14:textId="77777777" w:rsidR="00F24946" w:rsidRDefault="00F24946">
      <w:pPr>
        <w:jc w:val="both"/>
        <w:rPr>
          <w:rFonts w:ascii="Times New Roman" w:eastAsia="Calibri" w:hAnsi="Times New Roman" w:cs="Times New Roman"/>
          <w:noProof/>
          <w:sz w:val="24"/>
        </w:rPr>
      </w:pPr>
    </w:p>
    <w:p w14:paraId="2D28C8C3" w14:textId="5C177C46" w:rsidR="00F24946" w:rsidRDefault="00613B06">
      <w:pPr>
        <w:pStyle w:val="P68B1DB1-Normal4"/>
        <w:spacing w:before="40" w:after="0" w:line="259" w:lineRule="auto"/>
        <w:jc w:val="both"/>
        <w:rPr>
          <w:rFonts w:eastAsia="Calibri" w:cs="Times New Roman"/>
          <w:noProof/>
        </w:rPr>
      </w:pPr>
      <w:r>
        <w:rPr>
          <w:noProof/>
        </w:rPr>
        <w:t>Ocenjeni skupni stroški načrta za okrevanje in odpornost Portugalske znašajo 22 215 870 313 EUR.</w:t>
      </w:r>
    </w:p>
    <w:p w14:paraId="10AABC7B" w14:textId="5DB77EB7" w:rsidR="00F24946" w:rsidRDefault="00613B06">
      <w:pPr>
        <w:pStyle w:val="P68B1DB1-Normal4"/>
        <w:spacing w:before="40" w:after="0" w:line="259" w:lineRule="auto"/>
        <w:jc w:val="both"/>
        <w:rPr>
          <w:rFonts w:eastAsia="Calibri" w:cs="Times New Roman"/>
          <w:noProof/>
        </w:rPr>
      </w:pPr>
      <w:r>
        <w:rPr>
          <w:noProof/>
        </w:rPr>
        <w:t>Ocenjeni skupni stroški poglavja REPowerEU znašajo 855 400 000 EUR. Ocenjeni skupni stroški ukrepov iz člena 21c(3), točka (a), Uredbe (EU) 2023/435 znašajo 0 EUR, medtem ko stroški drugih ukrepov v poglavju REPowerEU znašajo 855 400 000 EUR.</w:t>
      </w:r>
    </w:p>
    <w:p w14:paraId="1303DF5E" w14:textId="77777777" w:rsidR="00F24946" w:rsidRDefault="00F24946">
      <w:pPr>
        <w:keepNext/>
        <w:spacing w:before="40" w:after="0" w:line="259" w:lineRule="auto"/>
        <w:jc w:val="both"/>
        <w:outlineLvl w:val="1"/>
        <w:rPr>
          <w:noProof/>
        </w:rPr>
      </w:pPr>
    </w:p>
    <w:p w14:paraId="515F6B1D" w14:textId="2D642D65" w:rsidR="00F24946" w:rsidRDefault="00613B06">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r>
      <w:r>
        <w:rPr>
          <w:rFonts w:ascii="Times New Roman" w:hAnsi="Times New Roman"/>
          <w:b/>
          <w:smallCaps/>
          <w:noProof/>
          <w:sz w:val="24"/>
        </w:rPr>
        <w:t xml:space="preserve">ODDELEK 2: FINANČNA PODPORA </w:t>
      </w:r>
    </w:p>
    <w:p w14:paraId="549D205C" w14:textId="77777777" w:rsidR="00F24946" w:rsidRDefault="00613B06">
      <w:pPr>
        <w:pStyle w:val="P68B1DB1-Normal3"/>
        <w:keepNext/>
        <w:numPr>
          <w:ilvl w:val="1"/>
          <w:numId w:val="46"/>
        </w:numPr>
        <w:spacing w:before="40" w:after="0" w:line="259" w:lineRule="auto"/>
        <w:jc w:val="both"/>
        <w:outlineLvl w:val="1"/>
        <w:rPr>
          <w:rFonts w:eastAsiaTheme="majorEastAsia" w:cs="Times New Roman"/>
          <w:noProof/>
        </w:rPr>
      </w:pPr>
      <w:r>
        <w:rPr>
          <w:noProof/>
        </w:rPr>
        <w:t xml:space="preserve">Finančni prispevek </w:t>
      </w:r>
    </w:p>
    <w:p w14:paraId="2AEF47AF"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389DCB62" w14:textId="77777777" w:rsidR="00F24946" w:rsidRDefault="00613B06">
      <w:pPr>
        <w:pStyle w:val="P68B1DB1-Normal4"/>
        <w:keepNext/>
        <w:spacing w:before="40" w:after="160" w:line="259" w:lineRule="auto"/>
        <w:contextualSpacing/>
        <w:jc w:val="both"/>
        <w:rPr>
          <w:rFonts w:eastAsiaTheme="minorEastAsia" w:cs="Times New Roman"/>
          <w:noProof/>
        </w:rPr>
      </w:pPr>
      <w:r>
        <w:rPr>
          <w:noProof/>
        </w:rPr>
        <w:t>Obroki iz člena 2(2) se razporedijo na naslednji način:</w:t>
      </w:r>
    </w:p>
    <w:p w14:paraId="18903B08"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70355FDF"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Prvi zahtevek za plačilo (nepovratna podpora): </w:t>
      </w:r>
    </w:p>
    <w:p w14:paraId="4AABD02B"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46EFA30C" w14:textId="77777777">
        <w:trPr>
          <w:trHeight w:val="509"/>
          <w:tblHeader/>
        </w:trPr>
        <w:tc>
          <w:tcPr>
            <w:tcW w:w="1200" w:type="dxa"/>
            <w:vMerge w:val="restart"/>
            <w:shd w:val="clear" w:color="auto" w:fill="BDD7EE"/>
            <w:vAlign w:val="center"/>
            <w:hideMark/>
          </w:tcPr>
          <w:p w14:paraId="3C5DD9AA"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777412A4"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3AFC0D26"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7291301C"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29D8F5D2" w14:textId="77777777">
        <w:trPr>
          <w:trHeight w:val="509"/>
          <w:tblHeader/>
        </w:trPr>
        <w:tc>
          <w:tcPr>
            <w:tcW w:w="1200" w:type="dxa"/>
            <w:vMerge/>
            <w:vAlign w:val="center"/>
            <w:hideMark/>
          </w:tcPr>
          <w:p w14:paraId="724EED61"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58F5A343"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62853973"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2BF9D123" w14:textId="77777777" w:rsidR="00F24946" w:rsidRDefault="00F24946">
            <w:pPr>
              <w:spacing w:after="0" w:line="240" w:lineRule="auto"/>
              <w:rPr>
                <w:rFonts w:ascii="Times New Roman" w:eastAsia="Times New Roman" w:hAnsi="Times New Roman" w:cs="Times New Roman"/>
                <w:noProof/>
                <w:sz w:val="20"/>
              </w:rPr>
            </w:pPr>
          </w:p>
        </w:tc>
      </w:tr>
      <w:tr w:rsidR="00F24946" w14:paraId="6BFB7F1C" w14:textId="77777777">
        <w:trPr>
          <w:trHeight w:val="440"/>
        </w:trPr>
        <w:tc>
          <w:tcPr>
            <w:tcW w:w="1200" w:type="dxa"/>
            <w:shd w:val="clear" w:color="auto" w:fill="C4EFCE"/>
            <w:vAlign w:val="center"/>
            <w:hideMark/>
          </w:tcPr>
          <w:p w14:paraId="035B456C" w14:textId="77777777" w:rsidR="00F24946" w:rsidRDefault="00613B06">
            <w:pPr>
              <w:pStyle w:val="P68B1DB1-Normal23"/>
              <w:spacing w:after="0"/>
              <w:jc w:val="center"/>
              <w:rPr>
                <w:noProof/>
              </w:rPr>
            </w:pPr>
            <w:r>
              <w:rPr>
                <w:noProof/>
              </w:rPr>
              <w:t>1.29</w:t>
            </w:r>
          </w:p>
        </w:tc>
        <w:tc>
          <w:tcPr>
            <w:tcW w:w="1760" w:type="dxa"/>
            <w:shd w:val="clear" w:color="auto" w:fill="C4EFCE"/>
            <w:vAlign w:val="center"/>
            <w:hideMark/>
          </w:tcPr>
          <w:p w14:paraId="5F82E253" w14:textId="77777777" w:rsidR="00F24946" w:rsidRDefault="00613B06">
            <w:pPr>
              <w:pStyle w:val="P68B1DB1-Normal23"/>
              <w:spacing w:after="0"/>
              <w:jc w:val="center"/>
              <w:rPr>
                <w:noProof/>
              </w:rPr>
            </w:pPr>
            <w:r>
              <w:rPr>
                <w:noProof/>
              </w:rPr>
              <w:t xml:space="preserve">Re-C01-i05-RAM </w:t>
            </w:r>
          </w:p>
        </w:tc>
        <w:tc>
          <w:tcPr>
            <w:tcW w:w="1520" w:type="dxa"/>
            <w:shd w:val="clear" w:color="auto" w:fill="C4EFCE"/>
            <w:vAlign w:val="center"/>
            <w:hideMark/>
          </w:tcPr>
          <w:p w14:paraId="3B317CC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748D4E23" w14:textId="77777777" w:rsidR="00F24946" w:rsidRDefault="00613B06">
            <w:pPr>
              <w:pStyle w:val="P68B1DB1-Normal23"/>
              <w:spacing w:after="0"/>
              <w:jc w:val="both"/>
              <w:rPr>
                <w:rFonts w:eastAsia="Calibri" w:cs="Calibri"/>
                <w:noProof/>
              </w:rPr>
            </w:pPr>
            <w:r>
              <w:rPr>
                <w:noProof/>
              </w:rPr>
              <w:t>Uvedba klasifikacijskega sistema, funkcionalnega profila in sistema za napotitev uporabnikov za regionalni model integriranih storitev stalne oskrbe na Madeiri</w:t>
            </w:r>
          </w:p>
        </w:tc>
      </w:tr>
      <w:tr w:rsidR="00F24946" w14:paraId="3069A8FF" w14:textId="77777777">
        <w:trPr>
          <w:trHeight w:val="440"/>
        </w:trPr>
        <w:tc>
          <w:tcPr>
            <w:tcW w:w="1200" w:type="dxa"/>
            <w:shd w:val="clear" w:color="auto" w:fill="C4EFCE"/>
            <w:vAlign w:val="center"/>
            <w:hideMark/>
          </w:tcPr>
          <w:p w14:paraId="2A4852AE" w14:textId="77777777" w:rsidR="00F24946" w:rsidRDefault="00613B06">
            <w:pPr>
              <w:pStyle w:val="P68B1DB1-Normal23"/>
              <w:spacing w:after="0"/>
              <w:jc w:val="center"/>
              <w:rPr>
                <w:noProof/>
              </w:rPr>
            </w:pPr>
            <w:r>
              <w:rPr>
                <w:noProof/>
              </w:rPr>
              <w:t>1.4</w:t>
            </w:r>
          </w:p>
        </w:tc>
        <w:tc>
          <w:tcPr>
            <w:tcW w:w="1760" w:type="dxa"/>
            <w:shd w:val="clear" w:color="auto" w:fill="C4EFCE"/>
            <w:vAlign w:val="center"/>
            <w:hideMark/>
          </w:tcPr>
          <w:p w14:paraId="33989A47" w14:textId="77777777" w:rsidR="00F24946" w:rsidRDefault="00613B06">
            <w:pPr>
              <w:pStyle w:val="P68B1DB1-Normal23"/>
              <w:spacing w:after="0"/>
              <w:jc w:val="center"/>
              <w:rPr>
                <w:noProof/>
              </w:rPr>
            </w:pPr>
            <w:r>
              <w:rPr>
                <w:noProof/>
              </w:rPr>
              <w:t xml:space="preserve">Re-C01-r02 </w:t>
            </w:r>
          </w:p>
        </w:tc>
        <w:tc>
          <w:tcPr>
            <w:tcW w:w="1520" w:type="dxa"/>
            <w:shd w:val="clear" w:color="auto" w:fill="C4EFCE"/>
            <w:vAlign w:val="center"/>
            <w:hideMark/>
          </w:tcPr>
          <w:p w14:paraId="0063710F"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1F50912" w14:textId="77777777" w:rsidR="00F24946" w:rsidRDefault="00613B06">
            <w:pPr>
              <w:pStyle w:val="P68B1DB1-Normal23"/>
              <w:spacing w:after="0"/>
              <w:jc w:val="both"/>
              <w:rPr>
                <w:rFonts w:eastAsia="Calibri" w:cs="Calibri"/>
                <w:noProof/>
              </w:rPr>
            </w:pPr>
            <w:r>
              <w:rPr>
                <w:noProof/>
              </w:rPr>
              <w:t>Začetek veljavnosti nove uredbe-zakona o duševnem zdravju, ki določa načela za organizacijo storitev varstva duševnega zdravja</w:t>
            </w:r>
          </w:p>
        </w:tc>
      </w:tr>
      <w:tr w:rsidR="00F24946" w14:paraId="2344BBFE" w14:textId="77777777">
        <w:trPr>
          <w:trHeight w:val="440"/>
        </w:trPr>
        <w:tc>
          <w:tcPr>
            <w:tcW w:w="1200" w:type="dxa"/>
            <w:shd w:val="clear" w:color="auto" w:fill="C4EFCE"/>
            <w:vAlign w:val="center"/>
            <w:hideMark/>
          </w:tcPr>
          <w:p w14:paraId="6084FBFD" w14:textId="77777777" w:rsidR="00F24946" w:rsidRDefault="00613B06">
            <w:pPr>
              <w:pStyle w:val="P68B1DB1-Normal23"/>
              <w:spacing w:after="0"/>
              <w:jc w:val="center"/>
              <w:rPr>
                <w:noProof/>
              </w:rPr>
            </w:pPr>
            <w:r>
              <w:rPr>
                <w:noProof/>
              </w:rPr>
              <w:t>2.13</w:t>
            </w:r>
          </w:p>
        </w:tc>
        <w:tc>
          <w:tcPr>
            <w:tcW w:w="1760" w:type="dxa"/>
            <w:shd w:val="clear" w:color="auto" w:fill="C4EFCE"/>
            <w:vAlign w:val="center"/>
            <w:hideMark/>
          </w:tcPr>
          <w:p w14:paraId="68C41028" w14:textId="77777777" w:rsidR="00F24946" w:rsidRDefault="00613B06">
            <w:pPr>
              <w:pStyle w:val="P68B1DB1-Normal23"/>
              <w:spacing w:after="0"/>
              <w:jc w:val="center"/>
              <w:rPr>
                <w:noProof/>
              </w:rPr>
            </w:pPr>
            <w:r>
              <w:rPr>
                <w:noProof/>
              </w:rPr>
              <w:t xml:space="preserve">Re-C02-i04-RAA </w:t>
            </w:r>
          </w:p>
        </w:tc>
        <w:tc>
          <w:tcPr>
            <w:tcW w:w="1520" w:type="dxa"/>
            <w:shd w:val="clear" w:color="auto" w:fill="C4EFCE"/>
            <w:vAlign w:val="center"/>
            <w:hideMark/>
          </w:tcPr>
          <w:p w14:paraId="44ACBEA0" w14:textId="77777777" w:rsidR="00F24946" w:rsidRDefault="00613B06">
            <w:pPr>
              <w:pStyle w:val="P68B1DB1-Normal23"/>
              <w:spacing w:after="0"/>
              <w:jc w:val="center"/>
              <w:rPr>
                <w:noProof/>
              </w:rPr>
            </w:pPr>
            <w:r>
              <w:rPr>
                <w:noProof/>
              </w:rPr>
              <w:t>T</w:t>
            </w:r>
          </w:p>
        </w:tc>
        <w:tc>
          <w:tcPr>
            <w:tcW w:w="5060" w:type="dxa"/>
            <w:shd w:val="clear" w:color="auto" w:fill="C4EFCE"/>
            <w:vAlign w:val="center"/>
            <w:hideMark/>
          </w:tcPr>
          <w:p w14:paraId="3219CFC6" w14:textId="77777777" w:rsidR="00F24946" w:rsidRDefault="00613B06">
            <w:pPr>
              <w:pStyle w:val="P68B1DB1-Normal23"/>
              <w:spacing w:after="0"/>
              <w:jc w:val="both"/>
              <w:rPr>
                <w:rFonts w:eastAsia="Calibri" w:cs="Calibri"/>
                <w:noProof/>
              </w:rPr>
            </w:pPr>
            <w:r>
              <w:rPr>
                <w:noProof/>
              </w:rPr>
              <w:t>Posegi v javni stanovanjski fond v avtonomni regiji Azori</w:t>
            </w:r>
          </w:p>
        </w:tc>
      </w:tr>
      <w:tr w:rsidR="00F24946" w14:paraId="3FC1CC3B" w14:textId="77777777">
        <w:trPr>
          <w:trHeight w:val="440"/>
        </w:trPr>
        <w:tc>
          <w:tcPr>
            <w:tcW w:w="1200" w:type="dxa"/>
            <w:shd w:val="clear" w:color="auto" w:fill="C4EFCE"/>
            <w:vAlign w:val="center"/>
            <w:hideMark/>
          </w:tcPr>
          <w:p w14:paraId="1EECC9AE" w14:textId="77777777" w:rsidR="00F24946" w:rsidRDefault="00613B06">
            <w:pPr>
              <w:pStyle w:val="P68B1DB1-Normal23"/>
              <w:spacing w:after="0"/>
              <w:jc w:val="center"/>
              <w:rPr>
                <w:noProof/>
              </w:rPr>
            </w:pPr>
            <w:r>
              <w:rPr>
                <w:noProof/>
              </w:rPr>
              <w:t>2.14</w:t>
            </w:r>
          </w:p>
        </w:tc>
        <w:tc>
          <w:tcPr>
            <w:tcW w:w="1760" w:type="dxa"/>
            <w:shd w:val="clear" w:color="auto" w:fill="C4EFCE"/>
            <w:vAlign w:val="center"/>
            <w:hideMark/>
          </w:tcPr>
          <w:p w14:paraId="7D01D9D8" w14:textId="77777777" w:rsidR="00F24946" w:rsidRDefault="00613B06">
            <w:pPr>
              <w:pStyle w:val="P68B1DB1-Normal23"/>
              <w:spacing w:after="0"/>
              <w:jc w:val="center"/>
              <w:rPr>
                <w:noProof/>
              </w:rPr>
            </w:pPr>
            <w:r>
              <w:rPr>
                <w:noProof/>
              </w:rPr>
              <w:t xml:space="preserve">Re-C02-i04-RAA </w:t>
            </w:r>
          </w:p>
        </w:tc>
        <w:tc>
          <w:tcPr>
            <w:tcW w:w="1520" w:type="dxa"/>
            <w:shd w:val="clear" w:color="auto" w:fill="C4EFCE"/>
            <w:vAlign w:val="center"/>
            <w:hideMark/>
          </w:tcPr>
          <w:p w14:paraId="4B0F382B" w14:textId="77777777" w:rsidR="00F24946" w:rsidRDefault="00613B06">
            <w:pPr>
              <w:pStyle w:val="P68B1DB1-Normal23"/>
              <w:spacing w:after="0"/>
              <w:jc w:val="center"/>
              <w:rPr>
                <w:noProof/>
              </w:rPr>
            </w:pPr>
            <w:r>
              <w:rPr>
                <w:noProof/>
              </w:rPr>
              <w:t>T</w:t>
            </w:r>
          </w:p>
        </w:tc>
        <w:tc>
          <w:tcPr>
            <w:tcW w:w="5060" w:type="dxa"/>
            <w:shd w:val="clear" w:color="auto" w:fill="C4EFCE"/>
            <w:vAlign w:val="center"/>
            <w:hideMark/>
          </w:tcPr>
          <w:p w14:paraId="21EA9779" w14:textId="77777777" w:rsidR="00F24946" w:rsidRDefault="00613B06">
            <w:pPr>
              <w:pStyle w:val="P68B1DB1-Normal23"/>
              <w:spacing w:after="0"/>
              <w:jc w:val="both"/>
              <w:rPr>
                <w:rFonts w:eastAsia="Calibri" w:cs="Calibri"/>
                <w:noProof/>
              </w:rPr>
            </w:pPr>
            <w:r>
              <w:rPr>
                <w:noProof/>
              </w:rPr>
              <w:t>Ukrepi v javnem stanovanjskem fondu avtonomne regije Azori – obnova</w:t>
            </w:r>
          </w:p>
        </w:tc>
      </w:tr>
      <w:tr w:rsidR="00F24946" w14:paraId="27E2DD10" w14:textId="77777777">
        <w:trPr>
          <w:trHeight w:val="440"/>
        </w:trPr>
        <w:tc>
          <w:tcPr>
            <w:tcW w:w="1200" w:type="dxa"/>
            <w:shd w:val="clear" w:color="auto" w:fill="C4EFCE"/>
            <w:vAlign w:val="center"/>
            <w:hideMark/>
          </w:tcPr>
          <w:p w14:paraId="08C4D405" w14:textId="77777777" w:rsidR="00F24946" w:rsidRDefault="00613B06">
            <w:pPr>
              <w:pStyle w:val="P68B1DB1-Normal23"/>
              <w:spacing w:after="0"/>
              <w:jc w:val="center"/>
              <w:rPr>
                <w:noProof/>
              </w:rPr>
            </w:pPr>
            <w:r>
              <w:rPr>
                <w:noProof/>
              </w:rPr>
              <w:t>2.19</w:t>
            </w:r>
          </w:p>
        </w:tc>
        <w:tc>
          <w:tcPr>
            <w:tcW w:w="1760" w:type="dxa"/>
            <w:shd w:val="clear" w:color="auto" w:fill="C4EFCE"/>
            <w:vAlign w:val="center"/>
            <w:hideMark/>
          </w:tcPr>
          <w:p w14:paraId="02067C77" w14:textId="77777777" w:rsidR="00F24946" w:rsidRDefault="00613B06">
            <w:pPr>
              <w:pStyle w:val="P68B1DB1-Normal23"/>
              <w:spacing w:after="0"/>
              <w:jc w:val="center"/>
              <w:rPr>
                <w:noProof/>
              </w:rPr>
            </w:pPr>
            <w:r>
              <w:rPr>
                <w:noProof/>
              </w:rPr>
              <w:t xml:space="preserve">Re-C02-r04 </w:t>
            </w:r>
          </w:p>
        </w:tc>
        <w:tc>
          <w:tcPr>
            <w:tcW w:w="1520" w:type="dxa"/>
            <w:shd w:val="clear" w:color="auto" w:fill="C4EFCE"/>
            <w:vAlign w:val="center"/>
            <w:hideMark/>
          </w:tcPr>
          <w:p w14:paraId="4DE1A0FE"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3EA2037" w14:textId="77777777" w:rsidR="00F24946" w:rsidRDefault="00613B06">
            <w:pPr>
              <w:pStyle w:val="P68B1DB1-Normal23"/>
              <w:spacing w:after="0"/>
              <w:jc w:val="both"/>
              <w:rPr>
                <w:rFonts w:eastAsia="Calibri" w:cs="Calibri"/>
                <w:noProof/>
              </w:rPr>
            </w:pPr>
            <w:r>
              <w:rPr>
                <w:noProof/>
              </w:rPr>
              <w:t>Začetek veljavnosti uredbe-zakona o odobritvi pravnega okvira za nacionalni nujni in začasni stanovanjski načrt</w:t>
            </w:r>
          </w:p>
        </w:tc>
      </w:tr>
      <w:tr w:rsidR="00F24946" w14:paraId="1A823EEC" w14:textId="77777777">
        <w:trPr>
          <w:trHeight w:val="440"/>
        </w:trPr>
        <w:tc>
          <w:tcPr>
            <w:tcW w:w="1200" w:type="dxa"/>
            <w:shd w:val="clear" w:color="auto" w:fill="C4EFCE"/>
            <w:vAlign w:val="center"/>
            <w:hideMark/>
          </w:tcPr>
          <w:p w14:paraId="454764B0" w14:textId="77777777" w:rsidR="00F24946" w:rsidRDefault="00613B06">
            <w:pPr>
              <w:pStyle w:val="P68B1DB1-Normal23"/>
              <w:spacing w:after="0"/>
              <w:jc w:val="center"/>
              <w:rPr>
                <w:noProof/>
              </w:rPr>
            </w:pPr>
            <w:r>
              <w:rPr>
                <w:noProof/>
              </w:rPr>
              <w:t>3.17</w:t>
            </w:r>
          </w:p>
        </w:tc>
        <w:tc>
          <w:tcPr>
            <w:tcW w:w="1760" w:type="dxa"/>
            <w:shd w:val="clear" w:color="auto" w:fill="C4EFCE"/>
            <w:vAlign w:val="center"/>
            <w:hideMark/>
          </w:tcPr>
          <w:p w14:paraId="5EEE7E6A" w14:textId="77777777" w:rsidR="00F24946" w:rsidRDefault="00613B06">
            <w:pPr>
              <w:pStyle w:val="P68B1DB1-Normal23"/>
              <w:spacing w:after="0"/>
              <w:jc w:val="center"/>
              <w:rPr>
                <w:noProof/>
              </w:rPr>
            </w:pPr>
            <w:r>
              <w:rPr>
                <w:noProof/>
              </w:rPr>
              <w:t xml:space="preserve">Re-C03-i05 </w:t>
            </w:r>
          </w:p>
        </w:tc>
        <w:tc>
          <w:tcPr>
            <w:tcW w:w="1520" w:type="dxa"/>
            <w:shd w:val="clear" w:color="auto" w:fill="C4EFCE"/>
            <w:vAlign w:val="center"/>
            <w:hideMark/>
          </w:tcPr>
          <w:p w14:paraId="7E749779"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59E3FD88" w14:textId="77777777" w:rsidR="00F24946" w:rsidRDefault="00613B06">
            <w:pPr>
              <w:pStyle w:val="P68B1DB1-Normal23"/>
              <w:spacing w:after="0"/>
              <w:jc w:val="both"/>
              <w:rPr>
                <w:rFonts w:eastAsia="Calibri" w:cs="Calibri"/>
                <w:noProof/>
              </w:rPr>
            </w:pPr>
            <w:r>
              <w:rPr>
                <w:noProof/>
              </w:rPr>
              <w:t>Objava ponudbe za izgradnjo digitalne infrastrukture za dostopnost 360°</w:t>
            </w:r>
          </w:p>
        </w:tc>
      </w:tr>
      <w:tr w:rsidR="00F24946" w14:paraId="4A7CD219" w14:textId="77777777">
        <w:trPr>
          <w:trHeight w:val="440"/>
        </w:trPr>
        <w:tc>
          <w:tcPr>
            <w:tcW w:w="1200" w:type="dxa"/>
            <w:shd w:val="clear" w:color="auto" w:fill="C4EFCE"/>
            <w:vAlign w:val="center"/>
            <w:hideMark/>
          </w:tcPr>
          <w:p w14:paraId="11B4A886" w14:textId="77777777" w:rsidR="00F24946" w:rsidRDefault="00613B06">
            <w:pPr>
              <w:pStyle w:val="P68B1DB1-Normal23"/>
              <w:spacing w:after="0"/>
              <w:jc w:val="center"/>
              <w:rPr>
                <w:noProof/>
              </w:rPr>
            </w:pPr>
            <w:r>
              <w:rPr>
                <w:noProof/>
              </w:rPr>
              <w:t>3.20</w:t>
            </w:r>
          </w:p>
        </w:tc>
        <w:tc>
          <w:tcPr>
            <w:tcW w:w="1760" w:type="dxa"/>
            <w:shd w:val="clear" w:color="auto" w:fill="C4EFCE"/>
            <w:vAlign w:val="center"/>
            <w:hideMark/>
          </w:tcPr>
          <w:p w14:paraId="5AB1C66A" w14:textId="77777777" w:rsidR="00F24946" w:rsidRDefault="00613B06">
            <w:pPr>
              <w:pStyle w:val="P68B1DB1-Normal23"/>
              <w:spacing w:after="0"/>
              <w:jc w:val="center"/>
              <w:rPr>
                <w:noProof/>
              </w:rPr>
            </w:pPr>
            <w:r>
              <w:rPr>
                <w:noProof/>
              </w:rPr>
              <w:t xml:space="preserve">Re-C03-r08 </w:t>
            </w:r>
          </w:p>
        </w:tc>
        <w:tc>
          <w:tcPr>
            <w:tcW w:w="1520" w:type="dxa"/>
            <w:shd w:val="clear" w:color="auto" w:fill="C4EFCE"/>
            <w:vAlign w:val="center"/>
            <w:hideMark/>
          </w:tcPr>
          <w:p w14:paraId="7115B103"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834BE7E" w14:textId="77777777" w:rsidR="00F24946" w:rsidRDefault="00613B06">
            <w:pPr>
              <w:pStyle w:val="P68B1DB1-Normal23"/>
              <w:spacing w:after="0"/>
              <w:jc w:val="both"/>
              <w:rPr>
                <w:rFonts w:eastAsia="Calibri" w:cs="Calibri"/>
                <w:noProof/>
              </w:rPr>
            </w:pPr>
            <w:r>
              <w:rPr>
                <w:noProof/>
              </w:rPr>
              <w:t>Sprejetje nacionalne strategije za boj proti revščini</w:t>
            </w:r>
          </w:p>
        </w:tc>
      </w:tr>
      <w:tr w:rsidR="00F24946" w14:paraId="1EA1FEC6" w14:textId="77777777">
        <w:trPr>
          <w:trHeight w:val="440"/>
        </w:trPr>
        <w:tc>
          <w:tcPr>
            <w:tcW w:w="1200" w:type="dxa"/>
            <w:shd w:val="clear" w:color="auto" w:fill="C4EFCE"/>
            <w:vAlign w:val="center"/>
            <w:hideMark/>
          </w:tcPr>
          <w:p w14:paraId="3194D942" w14:textId="77777777" w:rsidR="00F24946" w:rsidRDefault="00613B06">
            <w:pPr>
              <w:pStyle w:val="P68B1DB1-Normal23"/>
              <w:spacing w:after="0"/>
              <w:jc w:val="center"/>
              <w:rPr>
                <w:noProof/>
              </w:rPr>
            </w:pPr>
            <w:r>
              <w:rPr>
                <w:noProof/>
              </w:rPr>
              <w:t>3.21</w:t>
            </w:r>
          </w:p>
        </w:tc>
        <w:tc>
          <w:tcPr>
            <w:tcW w:w="1760" w:type="dxa"/>
            <w:shd w:val="clear" w:color="auto" w:fill="C4EFCE"/>
            <w:vAlign w:val="center"/>
            <w:hideMark/>
          </w:tcPr>
          <w:p w14:paraId="365F7A17" w14:textId="77777777" w:rsidR="00F24946" w:rsidRDefault="00613B06">
            <w:pPr>
              <w:pStyle w:val="P68B1DB1-Normal23"/>
              <w:spacing w:after="0"/>
              <w:jc w:val="center"/>
              <w:rPr>
                <w:noProof/>
              </w:rPr>
            </w:pPr>
            <w:r>
              <w:rPr>
                <w:noProof/>
              </w:rPr>
              <w:t xml:space="preserve">Re-C03-r06 </w:t>
            </w:r>
          </w:p>
        </w:tc>
        <w:tc>
          <w:tcPr>
            <w:tcW w:w="1520" w:type="dxa"/>
            <w:shd w:val="clear" w:color="auto" w:fill="C4EFCE"/>
            <w:vAlign w:val="center"/>
            <w:hideMark/>
          </w:tcPr>
          <w:p w14:paraId="07DB9847"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E6DA00E" w14:textId="77777777" w:rsidR="00F24946" w:rsidRDefault="00613B06">
            <w:pPr>
              <w:pStyle w:val="P68B1DB1-Normal23"/>
              <w:spacing w:after="0"/>
              <w:jc w:val="both"/>
              <w:rPr>
                <w:rFonts w:eastAsia="Calibri" w:cs="Calibri"/>
                <w:noProof/>
              </w:rPr>
            </w:pPr>
            <w:r>
              <w:rPr>
                <w:noProof/>
              </w:rPr>
              <w:t>Sprejetje nacionalne strategije za vključevanje invalidov za obdobje 2021–2025</w:t>
            </w:r>
          </w:p>
        </w:tc>
      </w:tr>
      <w:tr w:rsidR="00F24946" w14:paraId="35F21874" w14:textId="77777777">
        <w:trPr>
          <w:trHeight w:val="440"/>
        </w:trPr>
        <w:tc>
          <w:tcPr>
            <w:tcW w:w="1200" w:type="dxa"/>
            <w:shd w:val="clear" w:color="auto" w:fill="C4EFCE"/>
            <w:vAlign w:val="center"/>
            <w:hideMark/>
          </w:tcPr>
          <w:p w14:paraId="47B7A28F" w14:textId="77777777" w:rsidR="00F24946" w:rsidRDefault="00613B06">
            <w:pPr>
              <w:pStyle w:val="P68B1DB1-Normal23"/>
              <w:spacing w:after="0"/>
              <w:jc w:val="center"/>
              <w:rPr>
                <w:noProof/>
              </w:rPr>
            </w:pPr>
            <w:r>
              <w:rPr>
                <w:noProof/>
              </w:rPr>
              <w:t>3.22</w:t>
            </w:r>
          </w:p>
        </w:tc>
        <w:tc>
          <w:tcPr>
            <w:tcW w:w="1760" w:type="dxa"/>
            <w:shd w:val="clear" w:color="auto" w:fill="C4EFCE"/>
            <w:vAlign w:val="center"/>
            <w:hideMark/>
          </w:tcPr>
          <w:p w14:paraId="6AE41D5D" w14:textId="77777777" w:rsidR="00F24946" w:rsidRDefault="00613B06">
            <w:pPr>
              <w:pStyle w:val="P68B1DB1-Normal23"/>
              <w:spacing w:after="0"/>
              <w:jc w:val="center"/>
              <w:rPr>
                <w:noProof/>
              </w:rPr>
            </w:pPr>
            <w:r>
              <w:rPr>
                <w:noProof/>
              </w:rPr>
              <w:t xml:space="preserve">Re-C03-r05 </w:t>
            </w:r>
          </w:p>
        </w:tc>
        <w:tc>
          <w:tcPr>
            <w:tcW w:w="1520" w:type="dxa"/>
            <w:shd w:val="clear" w:color="auto" w:fill="C4EFCE"/>
            <w:vAlign w:val="center"/>
            <w:hideMark/>
          </w:tcPr>
          <w:p w14:paraId="4C477BAF"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D60CF00" w14:textId="77777777" w:rsidR="00F24946" w:rsidRDefault="00613B06">
            <w:pPr>
              <w:pStyle w:val="P68B1DB1-Normal23"/>
              <w:spacing w:after="0"/>
              <w:jc w:val="both"/>
              <w:rPr>
                <w:rFonts w:eastAsia="Calibri" w:cs="Calibri"/>
                <w:noProof/>
              </w:rPr>
            </w:pPr>
            <w:r>
              <w:rPr>
                <w:noProof/>
              </w:rPr>
              <w:t>Začetek veljavnosti poenostavljene ureditve namestitve socialne opreme</w:t>
            </w:r>
          </w:p>
        </w:tc>
      </w:tr>
      <w:tr w:rsidR="00F24946" w14:paraId="4430CD28" w14:textId="77777777">
        <w:trPr>
          <w:trHeight w:val="440"/>
        </w:trPr>
        <w:tc>
          <w:tcPr>
            <w:tcW w:w="1200" w:type="dxa"/>
            <w:shd w:val="clear" w:color="auto" w:fill="C4EFCE"/>
            <w:vAlign w:val="center"/>
            <w:hideMark/>
          </w:tcPr>
          <w:p w14:paraId="23A0F1E2" w14:textId="77777777" w:rsidR="00F24946" w:rsidRDefault="00613B06">
            <w:pPr>
              <w:pStyle w:val="P68B1DB1-Normal23"/>
              <w:spacing w:after="0"/>
              <w:jc w:val="center"/>
              <w:rPr>
                <w:noProof/>
              </w:rPr>
            </w:pPr>
            <w:r>
              <w:rPr>
                <w:noProof/>
              </w:rPr>
              <w:t>3.23</w:t>
            </w:r>
          </w:p>
        </w:tc>
        <w:tc>
          <w:tcPr>
            <w:tcW w:w="1760" w:type="dxa"/>
            <w:shd w:val="clear" w:color="auto" w:fill="C4EFCE"/>
            <w:vAlign w:val="center"/>
            <w:hideMark/>
          </w:tcPr>
          <w:p w14:paraId="706C3979" w14:textId="77777777" w:rsidR="00F24946" w:rsidRDefault="00613B06">
            <w:pPr>
              <w:pStyle w:val="P68B1DB1-Normal23"/>
              <w:spacing w:after="0"/>
              <w:jc w:val="center"/>
              <w:rPr>
                <w:noProof/>
              </w:rPr>
            </w:pPr>
            <w:r>
              <w:rPr>
                <w:noProof/>
              </w:rPr>
              <w:t xml:space="preserve">Re-C03-r07 </w:t>
            </w:r>
          </w:p>
        </w:tc>
        <w:tc>
          <w:tcPr>
            <w:tcW w:w="1520" w:type="dxa"/>
            <w:shd w:val="clear" w:color="auto" w:fill="C4EFCE"/>
            <w:vAlign w:val="center"/>
            <w:hideMark/>
          </w:tcPr>
          <w:p w14:paraId="02E5D703"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467651E6" w14:textId="77777777" w:rsidR="00F24946" w:rsidRDefault="00613B06">
            <w:pPr>
              <w:pStyle w:val="P68B1DB1-Normal23"/>
              <w:spacing w:after="0"/>
              <w:jc w:val="both"/>
              <w:rPr>
                <w:rFonts w:eastAsia="Calibri" w:cs="Calibri"/>
                <w:noProof/>
              </w:rPr>
            </w:pPr>
            <w:r>
              <w:rPr>
                <w:noProof/>
              </w:rPr>
              <w:t>Odobritev akcijskih načrtov za prikrajšane skupnosti na metropolitanskih območjih Lizbone in Porta</w:t>
            </w:r>
          </w:p>
        </w:tc>
      </w:tr>
      <w:tr w:rsidR="00F24946" w14:paraId="0188275D" w14:textId="77777777">
        <w:trPr>
          <w:trHeight w:val="440"/>
        </w:trPr>
        <w:tc>
          <w:tcPr>
            <w:tcW w:w="1200" w:type="dxa"/>
            <w:shd w:val="clear" w:color="auto" w:fill="C4EFCE"/>
            <w:vAlign w:val="center"/>
            <w:hideMark/>
          </w:tcPr>
          <w:p w14:paraId="1F3B57E4" w14:textId="77777777" w:rsidR="00F24946" w:rsidRDefault="00613B06">
            <w:pPr>
              <w:pStyle w:val="P68B1DB1-Normal23"/>
              <w:spacing w:after="0"/>
              <w:jc w:val="center"/>
              <w:rPr>
                <w:noProof/>
              </w:rPr>
            </w:pPr>
            <w:r>
              <w:rPr>
                <w:noProof/>
              </w:rPr>
              <w:t>5.1</w:t>
            </w:r>
          </w:p>
        </w:tc>
        <w:tc>
          <w:tcPr>
            <w:tcW w:w="1760" w:type="dxa"/>
            <w:shd w:val="clear" w:color="auto" w:fill="C4EFCE"/>
            <w:vAlign w:val="center"/>
            <w:hideMark/>
          </w:tcPr>
          <w:p w14:paraId="42A78FEF" w14:textId="77777777" w:rsidR="00F24946" w:rsidRDefault="00613B06">
            <w:pPr>
              <w:pStyle w:val="P68B1DB1-Normal23"/>
              <w:spacing w:after="0"/>
              <w:jc w:val="center"/>
              <w:rPr>
                <w:noProof/>
              </w:rPr>
            </w:pPr>
            <w:r>
              <w:rPr>
                <w:noProof/>
              </w:rPr>
              <w:t xml:space="preserve">Re-C05-r09 </w:t>
            </w:r>
          </w:p>
        </w:tc>
        <w:tc>
          <w:tcPr>
            <w:tcW w:w="1520" w:type="dxa"/>
            <w:shd w:val="clear" w:color="auto" w:fill="C4EFCE"/>
            <w:vAlign w:val="center"/>
            <w:hideMark/>
          </w:tcPr>
          <w:p w14:paraId="31498FF4"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E244C18" w14:textId="77777777" w:rsidR="00F24946" w:rsidRDefault="00613B06">
            <w:pPr>
              <w:pStyle w:val="P68B1DB1-Normal23"/>
              <w:spacing w:after="0"/>
              <w:jc w:val="both"/>
              <w:rPr>
                <w:rFonts w:eastAsia="Calibri" w:cs="Calibri"/>
                <w:noProof/>
              </w:rPr>
            </w:pPr>
            <w:r>
              <w:rPr>
                <w:noProof/>
              </w:rPr>
              <w:t>Posodobitev smernic za strategijo za tehnološke in poslovne inovacije za Portugalsko do leta 2030</w:t>
            </w:r>
          </w:p>
        </w:tc>
      </w:tr>
      <w:tr w:rsidR="00F24946" w14:paraId="78C3ED81" w14:textId="77777777">
        <w:trPr>
          <w:trHeight w:val="440"/>
        </w:trPr>
        <w:tc>
          <w:tcPr>
            <w:tcW w:w="1200" w:type="dxa"/>
            <w:shd w:val="clear" w:color="auto" w:fill="C4EFCE"/>
            <w:vAlign w:val="center"/>
            <w:hideMark/>
          </w:tcPr>
          <w:p w14:paraId="5F5ACAF6" w14:textId="77777777" w:rsidR="00F24946" w:rsidRDefault="00613B06">
            <w:pPr>
              <w:pStyle w:val="P68B1DB1-Normal23"/>
              <w:spacing w:after="0"/>
              <w:jc w:val="center"/>
              <w:rPr>
                <w:noProof/>
              </w:rPr>
            </w:pPr>
            <w:r>
              <w:rPr>
                <w:noProof/>
              </w:rPr>
              <w:t>5.11</w:t>
            </w:r>
          </w:p>
        </w:tc>
        <w:tc>
          <w:tcPr>
            <w:tcW w:w="1760" w:type="dxa"/>
            <w:shd w:val="clear" w:color="auto" w:fill="C4EFCE"/>
            <w:vAlign w:val="center"/>
            <w:hideMark/>
          </w:tcPr>
          <w:p w14:paraId="392937B4" w14:textId="77777777" w:rsidR="00F24946" w:rsidRDefault="00613B06">
            <w:pPr>
              <w:pStyle w:val="P68B1DB1-Normal23"/>
              <w:spacing w:after="0"/>
              <w:jc w:val="center"/>
              <w:rPr>
                <w:noProof/>
              </w:rPr>
            </w:pPr>
            <w:r>
              <w:rPr>
                <w:noProof/>
              </w:rPr>
              <w:t xml:space="preserve">Re-C05-i03 </w:t>
            </w:r>
          </w:p>
        </w:tc>
        <w:tc>
          <w:tcPr>
            <w:tcW w:w="1520" w:type="dxa"/>
            <w:shd w:val="clear" w:color="auto" w:fill="C4EFCE"/>
            <w:vAlign w:val="center"/>
            <w:hideMark/>
          </w:tcPr>
          <w:p w14:paraId="7D4ACEC0"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39EA9E33" w14:textId="77777777" w:rsidR="00F24946" w:rsidRDefault="00613B06">
            <w:pPr>
              <w:pStyle w:val="P68B1DB1-Normal23"/>
              <w:spacing w:after="0"/>
              <w:jc w:val="both"/>
              <w:rPr>
                <w:rFonts w:eastAsia="Calibri" w:cs="Calibri"/>
                <w:noProof/>
              </w:rPr>
            </w:pPr>
            <w:r>
              <w:rPr>
                <w:noProof/>
              </w:rPr>
              <w:t>Razpisni postopek za raziskovalne in inovacijske projekte</w:t>
            </w:r>
          </w:p>
        </w:tc>
      </w:tr>
      <w:tr w:rsidR="00F24946" w14:paraId="1D0B4AB1" w14:textId="77777777">
        <w:trPr>
          <w:trHeight w:val="440"/>
        </w:trPr>
        <w:tc>
          <w:tcPr>
            <w:tcW w:w="1200" w:type="dxa"/>
            <w:shd w:val="clear" w:color="auto" w:fill="C4EFCE"/>
            <w:vAlign w:val="center"/>
            <w:hideMark/>
          </w:tcPr>
          <w:p w14:paraId="0F7B6C0C" w14:textId="77777777" w:rsidR="00F24946" w:rsidRDefault="00613B06">
            <w:pPr>
              <w:pStyle w:val="P68B1DB1-Normal23"/>
              <w:spacing w:after="0"/>
              <w:jc w:val="center"/>
              <w:rPr>
                <w:noProof/>
              </w:rPr>
            </w:pPr>
            <w:r>
              <w:rPr>
                <w:noProof/>
              </w:rPr>
              <w:t>5.15</w:t>
            </w:r>
          </w:p>
        </w:tc>
        <w:tc>
          <w:tcPr>
            <w:tcW w:w="1760" w:type="dxa"/>
            <w:shd w:val="clear" w:color="auto" w:fill="C4EFCE"/>
            <w:vAlign w:val="center"/>
            <w:hideMark/>
          </w:tcPr>
          <w:p w14:paraId="0CECB758" w14:textId="77777777" w:rsidR="00F24946" w:rsidRDefault="00613B06">
            <w:pPr>
              <w:pStyle w:val="P68B1DB1-Normal23"/>
              <w:spacing w:after="0"/>
              <w:jc w:val="center"/>
              <w:rPr>
                <w:noProof/>
              </w:rPr>
            </w:pPr>
            <w:r>
              <w:rPr>
                <w:noProof/>
              </w:rPr>
              <w:t xml:space="preserve">Re-C05-i04-RAA </w:t>
            </w:r>
          </w:p>
        </w:tc>
        <w:tc>
          <w:tcPr>
            <w:tcW w:w="1520" w:type="dxa"/>
            <w:shd w:val="clear" w:color="auto" w:fill="C4EFCE"/>
            <w:vAlign w:val="center"/>
            <w:hideMark/>
          </w:tcPr>
          <w:p w14:paraId="70425A2C"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3C8A3475" w14:textId="77777777" w:rsidR="00F24946" w:rsidRDefault="00613B06">
            <w:pPr>
              <w:pStyle w:val="P68B1DB1-Normal23"/>
              <w:spacing w:after="0"/>
              <w:jc w:val="both"/>
              <w:rPr>
                <w:rFonts w:eastAsia="Calibri" w:cs="Calibri"/>
                <w:noProof/>
              </w:rPr>
            </w:pPr>
            <w:r>
              <w:rPr>
                <w:noProof/>
              </w:rPr>
              <w:t>Sprejetje uredbe o instrumentu dokapitalizacije podjetij na Azorih</w:t>
            </w:r>
          </w:p>
        </w:tc>
      </w:tr>
      <w:tr w:rsidR="00F24946" w14:paraId="176FDD0D" w14:textId="77777777">
        <w:trPr>
          <w:trHeight w:val="440"/>
        </w:trPr>
        <w:tc>
          <w:tcPr>
            <w:tcW w:w="1200" w:type="dxa"/>
            <w:shd w:val="clear" w:color="auto" w:fill="C4EFCE"/>
            <w:vAlign w:val="center"/>
            <w:hideMark/>
          </w:tcPr>
          <w:p w14:paraId="553D2824" w14:textId="77777777" w:rsidR="00F24946" w:rsidRDefault="00613B06">
            <w:pPr>
              <w:pStyle w:val="P68B1DB1-Normal23"/>
              <w:spacing w:after="0"/>
              <w:jc w:val="center"/>
              <w:rPr>
                <w:noProof/>
              </w:rPr>
            </w:pPr>
            <w:r>
              <w:rPr>
                <w:noProof/>
              </w:rPr>
              <w:t>5.16</w:t>
            </w:r>
          </w:p>
        </w:tc>
        <w:tc>
          <w:tcPr>
            <w:tcW w:w="1760" w:type="dxa"/>
            <w:shd w:val="clear" w:color="auto" w:fill="C4EFCE"/>
            <w:vAlign w:val="center"/>
            <w:hideMark/>
          </w:tcPr>
          <w:p w14:paraId="2639BDA1" w14:textId="77777777" w:rsidR="00F24946" w:rsidRDefault="00613B06">
            <w:pPr>
              <w:pStyle w:val="P68B1DB1-Normal23"/>
              <w:spacing w:after="0"/>
              <w:jc w:val="center"/>
              <w:rPr>
                <w:noProof/>
              </w:rPr>
            </w:pPr>
            <w:r>
              <w:rPr>
                <w:noProof/>
              </w:rPr>
              <w:t xml:space="preserve">Re-C05-i04-RAA </w:t>
            </w:r>
          </w:p>
        </w:tc>
        <w:tc>
          <w:tcPr>
            <w:tcW w:w="1520" w:type="dxa"/>
            <w:shd w:val="clear" w:color="auto" w:fill="C4EFCE"/>
            <w:vAlign w:val="center"/>
            <w:hideMark/>
          </w:tcPr>
          <w:p w14:paraId="102C8715"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746EFF2" w14:textId="77777777" w:rsidR="00F24946" w:rsidRDefault="00613B06">
            <w:pPr>
              <w:pStyle w:val="P68B1DB1-Normal23"/>
              <w:spacing w:after="0"/>
              <w:jc w:val="both"/>
              <w:rPr>
                <w:rFonts w:eastAsia="Calibri" w:cs="Calibri"/>
                <w:noProof/>
              </w:rPr>
            </w:pPr>
            <w:r>
              <w:rPr>
                <w:noProof/>
              </w:rPr>
              <w:t>Sprejetje naložbene politike za instrument dokapitalizacije podjetij na Azorih</w:t>
            </w:r>
          </w:p>
        </w:tc>
      </w:tr>
      <w:tr w:rsidR="00F24946" w14:paraId="07EDB729" w14:textId="77777777">
        <w:trPr>
          <w:trHeight w:val="440"/>
        </w:trPr>
        <w:tc>
          <w:tcPr>
            <w:tcW w:w="1200" w:type="dxa"/>
            <w:shd w:val="clear" w:color="auto" w:fill="C4EFCE"/>
            <w:vAlign w:val="center"/>
            <w:hideMark/>
          </w:tcPr>
          <w:p w14:paraId="397FEFCC" w14:textId="77777777" w:rsidR="00F24946" w:rsidRDefault="00613B06">
            <w:pPr>
              <w:pStyle w:val="P68B1DB1-Normal23"/>
              <w:spacing w:after="0"/>
              <w:jc w:val="center"/>
              <w:rPr>
                <w:noProof/>
              </w:rPr>
            </w:pPr>
            <w:r>
              <w:rPr>
                <w:noProof/>
              </w:rPr>
              <w:t>5.2</w:t>
            </w:r>
          </w:p>
        </w:tc>
        <w:tc>
          <w:tcPr>
            <w:tcW w:w="1760" w:type="dxa"/>
            <w:shd w:val="clear" w:color="auto" w:fill="C4EFCE"/>
            <w:vAlign w:val="center"/>
            <w:hideMark/>
          </w:tcPr>
          <w:p w14:paraId="7C1F4829" w14:textId="77777777" w:rsidR="00F24946" w:rsidRDefault="00613B06">
            <w:pPr>
              <w:pStyle w:val="P68B1DB1-Normal23"/>
              <w:spacing w:after="0"/>
              <w:jc w:val="center"/>
              <w:rPr>
                <w:noProof/>
              </w:rPr>
            </w:pPr>
            <w:r>
              <w:rPr>
                <w:noProof/>
              </w:rPr>
              <w:t xml:space="preserve">Re-C05-r11 </w:t>
            </w:r>
          </w:p>
        </w:tc>
        <w:tc>
          <w:tcPr>
            <w:tcW w:w="1520" w:type="dxa"/>
            <w:shd w:val="clear" w:color="auto" w:fill="C4EFCE"/>
            <w:vAlign w:val="center"/>
            <w:hideMark/>
          </w:tcPr>
          <w:p w14:paraId="5720520B" w14:textId="77777777" w:rsidR="00F24946" w:rsidRDefault="00613B06">
            <w:pPr>
              <w:pStyle w:val="P68B1DB1-Normal23"/>
              <w:spacing w:after="0"/>
              <w:jc w:val="center"/>
              <w:rPr>
                <w:noProof/>
              </w:rPr>
            </w:pPr>
            <w:r>
              <w:rPr>
                <w:noProof/>
              </w:rPr>
              <w:t>T</w:t>
            </w:r>
          </w:p>
        </w:tc>
        <w:tc>
          <w:tcPr>
            <w:tcW w:w="5060" w:type="dxa"/>
            <w:shd w:val="clear" w:color="auto" w:fill="C4EFCE"/>
            <w:vAlign w:val="center"/>
            <w:hideMark/>
          </w:tcPr>
          <w:p w14:paraId="0DF8414C" w14:textId="77777777" w:rsidR="00F24946" w:rsidRDefault="00613B06">
            <w:pPr>
              <w:pStyle w:val="P68B1DB1-Normal23"/>
              <w:spacing w:after="0"/>
              <w:jc w:val="both"/>
              <w:rPr>
                <w:rFonts w:eastAsia="Calibri" w:cs="Calibri"/>
                <w:noProof/>
              </w:rPr>
            </w:pPr>
            <w:r>
              <w:rPr>
                <w:noProof/>
              </w:rPr>
              <w:t>Razširitev mreže priznanih sodelovalnih laboratorijev</w:t>
            </w:r>
          </w:p>
        </w:tc>
      </w:tr>
      <w:tr w:rsidR="00F24946" w14:paraId="5A009809" w14:textId="77777777">
        <w:trPr>
          <w:trHeight w:val="440"/>
        </w:trPr>
        <w:tc>
          <w:tcPr>
            <w:tcW w:w="1200" w:type="dxa"/>
            <w:shd w:val="clear" w:color="auto" w:fill="C4EFCE"/>
            <w:vAlign w:val="center"/>
            <w:hideMark/>
          </w:tcPr>
          <w:p w14:paraId="45985C5D" w14:textId="77777777" w:rsidR="00F24946" w:rsidRDefault="00613B06">
            <w:pPr>
              <w:pStyle w:val="P68B1DB1-Normal23"/>
              <w:spacing w:after="0"/>
              <w:jc w:val="center"/>
              <w:rPr>
                <w:noProof/>
              </w:rPr>
            </w:pPr>
            <w:r>
              <w:rPr>
                <w:noProof/>
              </w:rPr>
              <w:t>5.3</w:t>
            </w:r>
          </w:p>
        </w:tc>
        <w:tc>
          <w:tcPr>
            <w:tcW w:w="1760" w:type="dxa"/>
            <w:shd w:val="clear" w:color="auto" w:fill="C4EFCE"/>
            <w:vAlign w:val="center"/>
            <w:hideMark/>
          </w:tcPr>
          <w:p w14:paraId="011C25AB" w14:textId="77777777" w:rsidR="00F24946" w:rsidRDefault="00613B06">
            <w:pPr>
              <w:pStyle w:val="P68B1DB1-Normal23"/>
              <w:spacing w:after="0"/>
              <w:jc w:val="center"/>
              <w:rPr>
                <w:noProof/>
              </w:rPr>
            </w:pPr>
            <w:r>
              <w:rPr>
                <w:noProof/>
              </w:rPr>
              <w:t xml:space="preserve">Re-C05-r11 </w:t>
            </w:r>
          </w:p>
        </w:tc>
        <w:tc>
          <w:tcPr>
            <w:tcW w:w="1520" w:type="dxa"/>
            <w:shd w:val="clear" w:color="auto" w:fill="C4EFCE"/>
            <w:vAlign w:val="center"/>
            <w:hideMark/>
          </w:tcPr>
          <w:p w14:paraId="2FDDC858"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A5BACC9" w14:textId="77777777" w:rsidR="00F24946" w:rsidRDefault="00613B06">
            <w:pPr>
              <w:pStyle w:val="P68B1DB1-Normal23"/>
              <w:spacing w:after="0"/>
              <w:jc w:val="both"/>
              <w:rPr>
                <w:rFonts w:eastAsia="Calibri" w:cs="Calibri"/>
                <w:noProof/>
              </w:rPr>
            </w:pPr>
            <w:r>
              <w:rPr>
                <w:noProof/>
              </w:rPr>
              <w:t>Začetek veljavnosti nove pravne ureditve za tehnološka in inovacijska središča</w:t>
            </w:r>
          </w:p>
        </w:tc>
      </w:tr>
      <w:tr w:rsidR="00F24946" w14:paraId="19FDD4F0" w14:textId="77777777">
        <w:trPr>
          <w:trHeight w:val="440"/>
        </w:trPr>
        <w:tc>
          <w:tcPr>
            <w:tcW w:w="1200" w:type="dxa"/>
            <w:shd w:val="clear" w:color="auto" w:fill="C4EFCE"/>
            <w:vAlign w:val="center"/>
            <w:hideMark/>
          </w:tcPr>
          <w:p w14:paraId="63D580E9" w14:textId="77777777" w:rsidR="00F24946" w:rsidRDefault="00613B06">
            <w:pPr>
              <w:pStyle w:val="P68B1DB1-Normal23"/>
              <w:spacing w:after="0"/>
              <w:jc w:val="center"/>
              <w:rPr>
                <w:noProof/>
              </w:rPr>
            </w:pPr>
            <w:r>
              <w:rPr>
                <w:noProof/>
              </w:rPr>
              <w:t>5.4</w:t>
            </w:r>
          </w:p>
        </w:tc>
        <w:tc>
          <w:tcPr>
            <w:tcW w:w="1760" w:type="dxa"/>
            <w:shd w:val="clear" w:color="auto" w:fill="C4EFCE"/>
            <w:vAlign w:val="center"/>
            <w:hideMark/>
          </w:tcPr>
          <w:p w14:paraId="10BF5D37" w14:textId="77777777" w:rsidR="00F24946" w:rsidRDefault="00613B06">
            <w:pPr>
              <w:pStyle w:val="P68B1DB1-Normal23"/>
              <w:spacing w:after="0"/>
              <w:jc w:val="center"/>
              <w:rPr>
                <w:noProof/>
              </w:rPr>
            </w:pPr>
            <w:r>
              <w:rPr>
                <w:noProof/>
              </w:rPr>
              <w:t xml:space="preserve">Re-C05-r12 </w:t>
            </w:r>
          </w:p>
        </w:tc>
        <w:tc>
          <w:tcPr>
            <w:tcW w:w="1520" w:type="dxa"/>
            <w:shd w:val="clear" w:color="auto" w:fill="C4EFCE"/>
            <w:vAlign w:val="center"/>
            <w:hideMark/>
          </w:tcPr>
          <w:p w14:paraId="1867B00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5CD95E27" w14:textId="77777777" w:rsidR="00F24946" w:rsidRDefault="00613B06">
            <w:pPr>
              <w:pStyle w:val="P68B1DB1-Normal23"/>
              <w:spacing w:after="0"/>
              <w:jc w:val="both"/>
              <w:rPr>
                <w:rFonts w:eastAsia="Calibri" w:cs="Calibri"/>
                <w:noProof/>
              </w:rPr>
            </w:pPr>
            <w:r>
              <w:rPr>
                <w:noProof/>
              </w:rPr>
              <w:t>Odobritev inovacijskega programa za kmetijstvo</w:t>
            </w:r>
          </w:p>
        </w:tc>
      </w:tr>
      <w:tr w:rsidR="00F24946" w14:paraId="12F9AFB2" w14:textId="77777777">
        <w:trPr>
          <w:trHeight w:val="440"/>
        </w:trPr>
        <w:tc>
          <w:tcPr>
            <w:tcW w:w="1200" w:type="dxa"/>
            <w:shd w:val="clear" w:color="auto" w:fill="C4EFCE"/>
            <w:vAlign w:val="center"/>
            <w:hideMark/>
          </w:tcPr>
          <w:p w14:paraId="39DEBBB4" w14:textId="77777777" w:rsidR="00F24946" w:rsidRDefault="00613B06">
            <w:pPr>
              <w:pStyle w:val="P68B1DB1-Normal23"/>
              <w:spacing w:after="0"/>
              <w:jc w:val="center"/>
              <w:rPr>
                <w:noProof/>
              </w:rPr>
            </w:pPr>
            <w:r>
              <w:rPr>
                <w:noProof/>
              </w:rPr>
              <w:t>6.13</w:t>
            </w:r>
          </w:p>
        </w:tc>
        <w:tc>
          <w:tcPr>
            <w:tcW w:w="1760" w:type="dxa"/>
            <w:shd w:val="clear" w:color="auto" w:fill="C4EFCE"/>
            <w:vAlign w:val="center"/>
            <w:hideMark/>
          </w:tcPr>
          <w:p w14:paraId="30D3AAEE" w14:textId="77777777" w:rsidR="00F24946" w:rsidRDefault="00613B06">
            <w:pPr>
              <w:pStyle w:val="P68B1DB1-Normal23"/>
              <w:spacing w:after="0"/>
              <w:jc w:val="center"/>
              <w:rPr>
                <w:noProof/>
              </w:rPr>
            </w:pPr>
            <w:r>
              <w:rPr>
                <w:noProof/>
              </w:rPr>
              <w:t xml:space="preserve">Re-C06-r15 </w:t>
            </w:r>
          </w:p>
        </w:tc>
        <w:tc>
          <w:tcPr>
            <w:tcW w:w="1520" w:type="dxa"/>
            <w:shd w:val="clear" w:color="auto" w:fill="C4EFCE"/>
            <w:vAlign w:val="center"/>
            <w:hideMark/>
          </w:tcPr>
          <w:p w14:paraId="43512B53"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BF7F834" w14:textId="77777777" w:rsidR="00F24946" w:rsidRDefault="00613B06">
            <w:pPr>
              <w:pStyle w:val="P68B1DB1-Normal23"/>
              <w:spacing w:after="0"/>
              <w:jc w:val="both"/>
              <w:rPr>
                <w:rFonts w:eastAsia="Calibri" w:cs="Calibri"/>
                <w:noProof/>
              </w:rPr>
            </w:pPr>
            <w:r>
              <w:rPr>
                <w:noProof/>
              </w:rPr>
              <w:t>Začetek veljavnosti zakona o uvedbi posebnih natečajev za sprejem v visokošolsko izobraževanje</w:t>
            </w:r>
          </w:p>
        </w:tc>
      </w:tr>
      <w:tr w:rsidR="00F24946" w14:paraId="61C18867" w14:textId="77777777">
        <w:trPr>
          <w:trHeight w:val="440"/>
        </w:trPr>
        <w:tc>
          <w:tcPr>
            <w:tcW w:w="1200" w:type="dxa"/>
            <w:shd w:val="clear" w:color="auto" w:fill="C4EFCE"/>
            <w:vAlign w:val="center"/>
            <w:hideMark/>
          </w:tcPr>
          <w:p w14:paraId="0FD5FA1D" w14:textId="77777777" w:rsidR="00F24946" w:rsidRDefault="00613B06">
            <w:pPr>
              <w:pStyle w:val="P68B1DB1-Normal23"/>
              <w:spacing w:after="0"/>
              <w:jc w:val="center"/>
              <w:rPr>
                <w:noProof/>
              </w:rPr>
            </w:pPr>
            <w:r>
              <w:rPr>
                <w:noProof/>
              </w:rPr>
              <w:t>6.14</w:t>
            </w:r>
          </w:p>
        </w:tc>
        <w:tc>
          <w:tcPr>
            <w:tcW w:w="1760" w:type="dxa"/>
            <w:shd w:val="clear" w:color="auto" w:fill="C4EFCE"/>
            <w:vAlign w:val="center"/>
            <w:hideMark/>
          </w:tcPr>
          <w:p w14:paraId="1EE8D1BA" w14:textId="77777777" w:rsidR="00F24946" w:rsidRDefault="00613B06">
            <w:pPr>
              <w:pStyle w:val="P68B1DB1-Normal23"/>
              <w:spacing w:after="0"/>
              <w:jc w:val="center"/>
              <w:rPr>
                <w:noProof/>
              </w:rPr>
            </w:pPr>
            <w:r>
              <w:rPr>
                <w:noProof/>
              </w:rPr>
              <w:t xml:space="preserve">Re-C06-r15 </w:t>
            </w:r>
          </w:p>
        </w:tc>
        <w:tc>
          <w:tcPr>
            <w:tcW w:w="1520" w:type="dxa"/>
            <w:shd w:val="clear" w:color="auto" w:fill="C4EFCE"/>
            <w:vAlign w:val="center"/>
            <w:hideMark/>
          </w:tcPr>
          <w:p w14:paraId="64C27FF8"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4B43E2A" w14:textId="77777777" w:rsidR="00F24946" w:rsidRDefault="00613B06">
            <w:pPr>
              <w:pStyle w:val="P68B1DB1-Normal23"/>
              <w:spacing w:after="0"/>
              <w:jc w:val="both"/>
              <w:rPr>
                <w:rFonts w:eastAsia="Calibri" w:cs="Calibri"/>
                <w:noProof/>
              </w:rPr>
            </w:pPr>
            <w:r>
              <w:rPr>
                <w:noProof/>
              </w:rPr>
              <w:t>Začetek veljavnosti novega pravnega okvira, ki ureja sodelovanje visokošolskih ustanov z javno upravo in podjetji</w:t>
            </w:r>
          </w:p>
        </w:tc>
      </w:tr>
      <w:tr w:rsidR="00F24946" w14:paraId="4A58B578" w14:textId="77777777">
        <w:trPr>
          <w:trHeight w:val="440"/>
        </w:trPr>
        <w:tc>
          <w:tcPr>
            <w:tcW w:w="1200" w:type="dxa"/>
            <w:shd w:val="clear" w:color="auto" w:fill="C4EFCE"/>
            <w:vAlign w:val="center"/>
            <w:hideMark/>
          </w:tcPr>
          <w:p w14:paraId="589ACBA1" w14:textId="77777777" w:rsidR="00F24946" w:rsidRDefault="00613B06">
            <w:pPr>
              <w:pStyle w:val="P68B1DB1-Normal23"/>
              <w:spacing w:after="0"/>
              <w:jc w:val="center"/>
              <w:rPr>
                <w:noProof/>
              </w:rPr>
            </w:pPr>
            <w:r>
              <w:rPr>
                <w:noProof/>
              </w:rPr>
              <w:t>7.13</w:t>
            </w:r>
          </w:p>
        </w:tc>
        <w:tc>
          <w:tcPr>
            <w:tcW w:w="1760" w:type="dxa"/>
            <w:shd w:val="clear" w:color="auto" w:fill="C4EFCE"/>
            <w:vAlign w:val="center"/>
            <w:hideMark/>
          </w:tcPr>
          <w:p w14:paraId="4582D520" w14:textId="77777777" w:rsidR="00F24946" w:rsidRDefault="00613B06">
            <w:pPr>
              <w:pStyle w:val="P68B1DB1-Normal23"/>
              <w:spacing w:after="0"/>
              <w:jc w:val="center"/>
              <w:rPr>
                <w:noProof/>
              </w:rPr>
            </w:pPr>
            <w:r>
              <w:rPr>
                <w:noProof/>
              </w:rPr>
              <w:t xml:space="preserve">Re-C07-i05-RAA </w:t>
            </w:r>
          </w:p>
        </w:tc>
        <w:tc>
          <w:tcPr>
            <w:tcW w:w="1520" w:type="dxa"/>
            <w:shd w:val="clear" w:color="auto" w:fill="C4EFCE"/>
            <w:vAlign w:val="center"/>
            <w:hideMark/>
          </w:tcPr>
          <w:p w14:paraId="47370D35"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26028944" w14:textId="77777777" w:rsidR="00F24946" w:rsidRDefault="00613B06">
            <w:pPr>
              <w:pStyle w:val="P68B1DB1-Normal23"/>
              <w:spacing w:after="0"/>
              <w:jc w:val="both"/>
              <w:rPr>
                <w:rFonts w:eastAsia="Calibri" w:cs="Calibri"/>
                <w:noProof/>
              </w:rPr>
            </w:pPr>
            <w:r>
              <w:rPr>
                <w:noProof/>
              </w:rPr>
              <w:t>Podpisana pogodba za dva cestna projekta</w:t>
            </w:r>
          </w:p>
        </w:tc>
      </w:tr>
      <w:tr w:rsidR="00F24946" w14:paraId="5A75393F" w14:textId="77777777">
        <w:trPr>
          <w:trHeight w:val="440"/>
        </w:trPr>
        <w:tc>
          <w:tcPr>
            <w:tcW w:w="1200" w:type="dxa"/>
            <w:shd w:val="clear" w:color="auto" w:fill="C4EFCE"/>
            <w:vAlign w:val="center"/>
            <w:hideMark/>
          </w:tcPr>
          <w:p w14:paraId="4836862C" w14:textId="77777777" w:rsidR="00F24946" w:rsidRDefault="00613B06">
            <w:pPr>
              <w:pStyle w:val="P68B1DB1-Normal23"/>
              <w:spacing w:after="0"/>
              <w:jc w:val="center"/>
              <w:rPr>
                <w:noProof/>
              </w:rPr>
            </w:pPr>
            <w:r>
              <w:rPr>
                <w:noProof/>
              </w:rPr>
              <w:t>7.4</w:t>
            </w:r>
          </w:p>
        </w:tc>
        <w:tc>
          <w:tcPr>
            <w:tcW w:w="1760" w:type="dxa"/>
            <w:shd w:val="clear" w:color="auto" w:fill="C4EFCE"/>
            <w:vAlign w:val="center"/>
            <w:hideMark/>
          </w:tcPr>
          <w:p w14:paraId="6EC62E0F" w14:textId="77777777" w:rsidR="00F24946" w:rsidRDefault="00613B06">
            <w:pPr>
              <w:pStyle w:val="P68B1DB1-Normal23"/>
              <w:spacing w:after="0"/>
              <w:jc w:val="center"/>
              <w:rPr>
                <w:noProof/>
              </w:rPr>
            </w:pPr>
            <w:r>
              <w:rPr>
                <w:noProof/>
              </w:rPr>
              <w:t xml:space="preserve">Re-C07-i01 </w:t>
            </w:r>
          </w:p>
        </w:tc>
        <w:tc>
          <w:tcPr>
            <w:tcW w:w="1520" w:type="dxa"/>
            <w:shd w:val="clear" w:color="auto" w:fill="C4EFCE"/>
            <w:vAlign w:val="center"/>
            <w:hideMark/>
          </w:tcPr>
          <w:p w14:paraId="43E1DAC1"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4A91E7C4" w14:textId="77777777" w:rsidR="00F24946" w:rsidRDefault="00613B06">
            <w:pPr>
              <w:pStyle w:val="P68B1DB1-Normal23"/>
              <w:spacing w:after="0"/>
              <w:jc w:val="both"/>
              <w:rPr>
                <w:rFonts w:eastAsia="Calibri" w:cs="Calibri"/>
                <w:noProof/>
              </w:rPr>
            </w:pPr>
            <w:r>
              <w:rPr>
                <w:noProof/>
              </w:rPr>
              <w:t>Izbira področij za sprejem podjetij za ukrepe za izboljšanje okoljske trajnostnosti in digitalizacije</w:t>
            </w:r>
          </w:p>
        </w:tc>
      </w:tr>
      <w:tr w:rsidR="00F24946" w14:paraId="75CC5DDC" w14:textId="77777777">
        <w:trPr>
          <w:trHeight w:val="440"/>
        </w:trPr>
        <w:tc>
          <w:tcPr>
            <w:tcW w:w="1200" w:type="dxa"/>
            <w:shd w:val="clear" w:color="auto" w:fill="C4EFCE"/>
            <w:vAlign w:val="center"/>
            <w:hideMark/>
          </w:tcPr>
          <w:p w14:paraId="5E220711" w14:textId="77777777" w:rsidR="00F24946" w:rsidRDefault="00613B06">
            <w:pPr>
              <w:pStyle w:val="P68B1DB1-Normal23"/>
              <w:spacing w:after="0"/>
              <w:jc w:val="center"/>
              <w:rPr>
                <w:noProof/>
              </w:rPr>
            </w:pPr>
            <w:r>
              <w:rPr>
                <w:noProof/>
              </w:rPr>
              <w:t>7.6</w:t>
            </w:r>
          </w:p>
        </w:tc>
        <w:tc>
          <w:tcPr>
            <w:tcW w:w="1760" w:type="dxa"/>
            <w:shd w:val="clear" w:color="auto" w:fill="C4EFCE"/>
            <w:vAlign w:val="center"/>
            <w:hideMark/>
          </w:tcPr>
          <w:p w14:paraId="5A760791" w14:textId="77777777" w:rsidR="00F24946" w:rsidRDefault="00613B06">
            <w:pPr>
              <w:pStyle w:val="P68B1DB1-Normal23"/>
              <w:spacing w:after="0"/>
              <w:jc w:val="center"/>
              <w:rPr>
                <w:noProof/>
              </w:rPr>
            </w:pPr>
            <w:r>
              <w:rPr>
                <w:noProof/>
              </w:rPr>
              <w:t xml:space="preserve">Re-C07-i02 </w:t>
            </w:r>
          </w:p>
        </w:tc>
        <w:tc>
          <w:tcPr>
            <w:tcW w:w="1520" w:type="dxa"/>
            <w:shd w:val="clear" w:color="auto" w:fill="C4EFCE"/>
            <w:vAlign w:val="center"/>
            <w:hideMark/>
          </w:tcPr>
          <w:p w14:paraId="7D0D3132"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7E253E1A" w14:textId="77777777" w:rsidR="00F24946" w:rsidRDefault="00613B06">
            <w:pPr>
              <w:pStyle w:val="P68B1DB1-Normal23"/>
              <w:spacing w:after="0"/>
              <w:jc w:val="both"/>
              <w:rPr>
                <w:rFonts w:eastAsia="Calibri" w:cs="Calibri"/>
                <w:noProof/>
              </w:rPr>
            </w:pPr>
            <w:r>
              <w:rPr>
                <w:noProof/>
              </w:rPr>
              <w:t>Podpisana pogodba za 1 cestni projekt</w:t>
            </w:r>
          </w:p>
        </w:tc>
      </w:tr>
      <w:tr w:rsidR="00F24946" w14:paraId="5BEA9678" w14:textId="77777777">
        <w:trPr>
          <w:trHeight w:val="440"/>
        </w:trPr>
        <w:tc>
          <w:tcPr>
            <w:tcW w:w="1200" w:type="dxa"/>
            <w:shd w:val="clear" w:color="auto" w:fill="C4EFCE"/>
            <w:vAlign w:val="center"/>
            <w:hideMark/>
          </w:tcPr>
          <w:p w14:paraId="3C39A8D9" w14:textId="77777777" w:rsidR="00F24946" w:rsidRDefault="00613B06">
            <w:pPr>
              <w:pStyle w:val="P68B1DB1-Normal23"/>
              <w:spacing w:after="0"/>
              <w:jc w:val="center"/>
              <w:rPr>
                <w:noProof/>
              </w:rPr>
            </w:pPr>
            <w:r>
              <w:rPr>
                <w:noProof/>
              </w:rPr>
              <w:t>8.17</w:t>
            </w:r>
          </w:p>
        </w:tc>
        <w:tc>
          <w:tcPr>
            <w:tcW w:w="1760" w:type="dxa"/>
            <w:shd w:val="clear" w:color="auto" w:fill="C4EFCE"/>
            <w:vAlign w:val="center"/>
            <w:hideMark/>
          </w:tcPr>
          <w:p w14:paraId="0B0F6447" w14:textId="77777777" w:rsidR="00F24946" w:rsidRDefault="00613B06">
            <w:pPr>
              <w:pStyle w:val="P68B1DB1-Normal23"/>
              <w:spacing w:after="0"/>
              <w:jc w:val="center"/>
              <w:rPr>
                <w:noProof/>
              </w:rPr>
            </w:pPr>
            <w:r>
              <w:rPr>
                <w:noProof/>
              </w:rPr>
              <w:t xml:space="preserve">Re-C08-r19 </w:t>
            </w:r>
          </w:p>
        </w:tc>
        <w:tc>
          <w:tcPr>
            <w:tcW w:w="1520" w:type="dxa"/>
            <w:shd w:val="clear" w:color="auto" w:fill="C4EFCE"/>
            <w:vAlign w:val="center"/>
            <w:hideMark/>
          </w:tcPr>
          <w:p w14:paraId="6886AA4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13FE96C" w14:textId="77777777" w:rsidR="00F24946" w:rsidRDefault="00613B06">
            <w:pPr>
              <w:pStyle w:val="P68B1DB1-Normal23"/>
              <w:spacing w:after="0"/>
              <w:jc w:val="both"/>
              <w:rPr>
                <w:rFonts w:eastAsia="Calibri" w:cs="Calibri"/>
                <w:noProof/>
              </w:rPr>
            </w:pPr>
            <w:r>
              <w:rPr>
                <w:noProof/>
              </w:rPr>
              <w:t>Pravni okvir o obvezni zemljiški posesti na gozdnih območjih</w:t>
            </w:r>
          </w:p>
        </w:tc>
      </w:tr>
      <w:tr w:rsidR="00F24946" w14:paraId="5B8ABD10" w14:textId="77777777">
        <w:trPr>
          <w:trHeight w:val="440"/>
        </w:trPr>
        <w:tc>
          <w:tcPr>
            <w:tcW w:w="1200" w:type="dxa"/>
            <w:shd w:val="clear" w:color="auto" w:fill="C4EFCE"/>
            <w:vAlign w:val="center"/>
            <w:hideMark/>
          </w:tcPr>
          <w:p w14:paraId="519B6950" w14:textId="77777777" w:rsidR="00F24946" w:rsidRDefault="00613B06">
            <w:pPr>
              <w:pStyle w:val="P68B1DB1-Normal23"/>
              <w:spacing w:after="0"/>
              <w:jc w:val="center"/>
              <w:rPr>
                <w:noProof/>
              </w:rPr>
            </w:pPr>
            <w:r>
              <w:rPr>
                <w:noProof/>
              </w:rPr>
              <w:t>8.19</w:t>
            </w:r>
          </w:p>
        </w:tc>
        <w:tc>
          <w:tcPr>
            <w:tcW w:w="1760" w:type="dxa"/>
            <w:shd w:val="clear" w:color="auto" w:fill="C4EFCE"/>
            <w:vAlign w:val="center"/>
            <w:hideMark/>
          </w:tcPr>
          <w:p w14:paraId="5223F53B" w14:textId="77777777" w:rsidR="00F24946" w:rsidRDefault="00613B06">
            <w:pPr>
              <w:pStyle w:val="P68B1DB1-Normal23"/>
              <w:spacing w:after="0"/>
              <w:jc w:val="center"/>
              <w:rPr>
                <w:noProof/>
              </w:rPr>
            </w:pPr>
            <w:r>
              <w:rPr>
                <w:noProof/>
              </w:rPr>
              <w:t xml:space="preserve">Re-C08-r21 </w:t>
            </w:r>
          </w:p>
        </w:tc>
        <w:tc>
          <w:tcPr>
            <w:tcW w:w="1520" w:type="dxa"/>
            <w:shd w:val="clear" w:color="auto" w:fill="C4EFCE"/>
            <w:vAlign w:val="center"/>
            <w:hideMark/>
          </w:tcPr>
          <w:p w14:paraId="4883CA1A"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2ED0FFB" w14:textId="77777777" w:rsidR="00F24946" w:rsidRDefault="00613B06">
            <w:pPr>
              <w:pStyle w:val="P68B1DB1-Normal23"/>
              <w:spacing w:after="0"/>
              <w:jc w:val="both"/>
              <w:rPr>
                <w:rFonts w:eastAsia="Calibri" w:cs="Calibri"/>
                <w:noProof/>
              </w:rPr>
            </w:pPr>
            <w:r>
              <w:rPr>
                <w:noProof/>
              </w:rPr>
              <w:t>Zakon o vzpostavitvi integriranega sistema upravljanja za požare na podeželju (SGIFR)</w:t>
            </w:r>
          </w:p>
        </w:tc>
      </w:tr>
      <w:tr w:rsidR="00F24946" w14:paraId="7BBE62F1" w14:textId="77777777">
        <w:trPr>
          <w:trHeight w:val="440"/>
        </w:trPr>
        <w:tc>
          <w:tcPr>
            <w:tcW w:w="1200" w:type="dxa"/>
            <w:shd w:val="clear" w:color="auto" w:fill="C4EFCE"/>
            <w:vAlign w:val="center"/>
            <w:hideMark/>
          </w:tcPr>
          <w:p w14:paraId="74840772" w14:textId="77777777" w:rsidR="00F24946" w:rsidRDefault="00613B06">
            <w:pPr>
              <w:pStyle w:val="P68B1DB1-Normal23"/>
              <w:spacing w:after="0"/>
              <w:jc w:val="center"/>
              <w:rPr>
                <w:noProof/>
              </w:rPr>
            </w:pPr>
            <w:r>
              <w:rPr>
                <w:noProof/>
              </w:rPr>
              <w:t>10.1</w:t>
            </w:r>
          </w:p>
        </w:tc>
        <w:tc>
          <w:tcPr>
            <w:tcW w:w="1760" w:type="dxa"/>
            <w:shd w:val="clear" w:color="auto" w:fill="C4EFCE"/>
            <w:vAlign w:val="center"/>
            <w:hideMark/>
          </w:tcPr>
          <w:p w14:paraId="081EA232" w14:textId="77777777" w:rsidR="00F24946" w:rsidRDefault="00613B06">
            <w:pPr>
              <w:pStyle w:val="P68B1DB1-Normal23"/>
              <w:spacing w:after="0"/>
              <w:jc w:val="center"/>
              <w:rPr>
                <w:noProof/>
              </w:rPr>
            </w:pPr>
            <w:r>
              <w:rPr>
                <w:noProof/>
              </w:rPr>
              <w:t xml:space="preserve">TC-C10-r23 </w:t>
            </w:r>
          </w:p>
        </w:tc>
        <w:tc>
          <w:tcPr>
            <w:tcW w:w="1520" w:type="dxa"/>
            <w:shd w:val="clear" w:color="auto" w:fill="C4EFCE"/>
            <w:vAlign w:val="center"/>
            <w:hideMark/>
          </w:tcPr>
          <w:p w14:paraId="1A40FC5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4A1DFEA2" w14:textId="77777777" w:rsidR="00F24946" w:rsidRDefault="00613B06">
            <w:pPr>
              <w:pStyle w:val="P68B1DB1-Normal23"/>
              <w:spacing w:after="0"/>
              <w:jc w:val="both"/>
              <w:rPr>
                <w:rFonts w:eastAsia="Calibri" w:cs="Calibri"/>
                <w:noProof/>
              </w:rPr>
            </w:pPr>
            <w:r>
              <w:rPr>
                <w:noProof/>
              </w:rPr>
              <w:t>Začetek veljavnosti revizije aktov ministrstva za morje v zvezi s krepitvijo zmogljivosti financiranja pomorskega gospodarstva in inovacij prek modrega sklada</w:t>
            </w:r>
          </w:p>
        </w:tc>
      </w:tr>
      <w:tr w:rsidR="00F24946" w14:paraId="595FF18B" w14:textId="77777777">
        <w:trPr>
          <w:trHeight w:val="440"/>
        </w:trPr>
        <w:tc>
          <w:tcPr>
            <w:tcW w:w="1200" w:type="dxa"/>
            <w:shd w:val="clear" w:color="auto" w:fill="C4EFCE"/>
            <w:vAlign w:val="center"/>
            <w:hideMark/>
          </w:tcPr>
          <w:p w14:paraId="51E6AC70" w14:textId="77777777" w:rsidR="00F24946" w:rsidRDefault="00613B06">
            <w:pPr>
              <w:pStyle w:val="P68B1DB1-Normal23"/>
              <w:spacing w:after="0"/>
              <w:jc w:val="center"/>
              <w:rPr>
                <w:noProof/>
              </w:rPr>
            </w:pPr>
            <w:r>
              <w:rPr>
                <w:noProof/>
              </w:rPr>
              <w:t>11.1</w:t>
            </w:r>
          </w:p>
        </w:tc>
        <w:tc>
          <w:tcPr>
            <w:tcW w:w="1760" w:type="dxa"/>
            <w:shd w:val="clear" w:color="auto" w:fill="C4EFCE"/>
            <w:vAlign w:val="center"/>
            <w:hideMark/>
          </w:tcPr>
          <w:p w14:paraId="19722C51" w14:textId="77777777" w:rsidR="00F24946" w:rsidRDefault="00613B06">
            <w:pPr>
              <w:pStyle w:val="P68B1DB1-Normal23"/>
              <w:spacing w:after="0"/>
              <w:jc w:val="center"/>
              <w:rPr>
                <w:noProof/>
              </w:rPr>
            </w:pPr>
            <w:r>
              <w:rPr>
                <w:noProof/>
              </w:rPr>
              <w:t xml:space="preserve">TC-C11-i01 </w:t>
            </w:r>
          </w:p>
        </w:tc>
        <w:tc>
          <w:tcPr>
            <w:tcW w:w="1520" w:type="dxa"/>
            <w:shd w:val="clear" w:color="auto" w:fill="C4EFCE"/>
            <w:vAlign w:val="center"/>
            <w:hideMark/>
          </w:tcPr>
          <w:p w14:paraId="4C1ADAE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3D4D4BC1" w14:textId="77777777" w:rsidR="00F24946" w:rsidRDefault="00613B06">
            <w:pPr>
              <w:pStyle w:val="P68B1DB1-Normal23"/>
              <w:spacing w:after="0"/>
              <w:jc w:val="both"/>
              <w:rPr>
                <w:rFonts w:eastAsia="Calibri" w:cs="Calibri"/>
                <w:noProof/>
              </w:rPr>
            </w:pPr>
            <w:r>
              <w:rPr>
                <w:noProof/>
              </w:rPr>
              <w:t>Prvi javni razpis za projekte razogljičenja industrije</w:t>
            </w:r>
          </w:p>
        </w:tc>
      </w:tr>
      <w:tr w:rsidR="00F24946" w14:paraId="31460A21" w14:textId="77777777">
        <w:trPr>
          <w:trHeight w:val="440"/>
        </w:trPr>
        <w:tc>
          <w:tcPr>
            <w:tcW w:w="1200" w:type="dxa"/>
            <w:shd w:val="clear" w:color="auto" w:fill="C4EFCE"/>
            <w:vAlign w:val="center"/>
            <w:hideMark/>
          </w:tcPr>
          <w:p w14:paraId="50C257CF" w14:textId="77777777" w:rsidR="00F24946" w:rsidRDefault="00613B06">
            <w:pPr>
              <w:pStyle w:val="P68B1DB1-Normal23"/>
              <w:spacing w:after="0"/>
              <w:jc w:val="center"/>
              <w:rPr>
                <w:noProof/>
              </w:rPr>
            </w:pPr>
            <w:r>
              <w:rPr>
                <w:noProof/>
              </w:rPr>
              <w:t>12.1</w:t>
            </w:r>
          </w:p>
        </w:tc>
        <w:tc>
          <w:tcPr>
            <w:tcW w:w="1760" w:type="dxa"/>
            <w:shd w:val="clear" w:color="auto" w:fill="C4EFCE"/>
            <w:vAlign w:val="center"/>
            <w:hideMark/>
          </w:tcPr>
          <w:p w14:paraId="4AAF72C5" w14:textId="77777777" w:rsidR="00F24946" w:rsidRDefault="00613B06">
            <w:pPr>
              <w:pStyle w:val="P68B1DB1-Normal23"/>
              <w:spacing w:after="0"/>
              <w:jc w:val="center"/>
              <w:rPr>
                <w:noProof/>
              </w:rPr>
            </w:pPr>
            <w:r>
              <w:rPr>
                <w:noProof/>
              </w:rPr>
              <w:t xml:space="preserve">TC-C12-i01 </w:t>
            </w:r>
          </w:p>
        </w:tc>
        <w:tc>
          <w:tcPr>
            <w:tcW w:w="1520" w:type="dxa"/>
            <w:shd w:val="clear" w:color="auto" w:fill="C4EFCE"/>
            <w:vAlign w:val="center"/>
            <w:hideMark/>
          </w:tcPr>
          <w:p w14:paraId="47D2CFD9"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7D7CA154" w14:textId="77777777" w:rsidR="00F24946" w:rsidRDefault="00613B06">
            <w:pPr>
              <w:pStyle w:val="P68B1DB1-Normal23"/>
              <w:spacing w:after="0"/>
              <w:jc w:val="both"/>
              <w:rPr>
                <w:rFonts w:eastAsia="Calibri" w:cs="Calibri"/>
                <w:noProof/>
              </w:rPr>
            </w:pPr>
            <w:r>
              <w:rPr>
                <w:noProof/>
              </w:rPr>
              <w:t>Podpis protokola za leto 2021 programa „Resineiros Vigiserves“</w:t>
            </w:r>
          </w:p>
        </w:tc>
      </w:tr>
      <w:tr w:rsidR="00F24946" w14:paraId="64499990" w14:textId="77777777">
        <w:trPr>
          <w:trHeight w:val="440"/>
        </w:trPr>
        <w:tc>
          <w:tcPr>
            <w:tcW w:w="1200" w:type="dxa"/>
            <w:shd w:val="clear" w:color="auto" w:fill="C4EFCE"/>
            <w:vAlign w:val="center"/>
            <w:hideMark/>
          </w:tcPr>
          <w:p w14:paraId="66FF5C24" w14:textId="77777777" w:rsidR="00F24946" w:rsidRDefault="00613B06">
            <w:pPr>
              <w:pStyle w:val="P68B1DB1-Normal23"/>
              <w:spacing w:after="0"/>
              <w:jc w:val="center"/>
              <w:rPr>
                <w:noProof/>
              </w:rPr>
            </w:pPr>
            <w:r>
              <w:rPr>
                <w:noProof/>
              </w:rPr>
              <w:t>12.5</w:t>
            </w:r>
          </w:p>
        </w:tc>
        <w:tc>
          <w:tcPr>
            <w:tcW w:w="1760" w:type="dxa"/>
            <w:shd w:val="clear" w:color="auto" w:fill="C4EFCE"/>
            <w:vAlign w:val="center"/>
            <w:hideMark/>
          </w:tcPr>
          <w:p w14:paraId="6D7ECE35" w14:textId="77777777" w:rsidR="00F24946" w:rsidRDefault="00613B06">
            <w:pPr>
              <w:pStyle w:val="P68B1DB1-Normal23"/>
              <w:spacing w:after="0"/>
              <w:jc w:val="center"/>
              <w:rPr>
                <w:noProof/>
              </w:rPr>
            </w:pPr>
            <w:r>
              <w:rPr>
                <w:noProof/>
              </w:rPr>
              <w:t xml:space="preserve">TC-C12-r25 </w:t>
            </w:r>
          </w:p>
        </w:tc>
        <w:tc>
          <w:tcPr>
            <w:tcW w:w="1520" w:type="dxa"/>
            <w:shd w:val="clear" w:color="auto" w:fill="C4EFCE"/>
            <w:vAlign w:val="center"/>
            <w:hideMark/>
          </w:tcPr>
          <w:p w14:paraId="34B9AE22"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525A10F6" w14:textId="77777777" w:rsidR="00F24946" w:rsidRDefault="00613B06">
            <w:pPr>
              <w:pStyle w:val="P68B1DB1-Normal23"/>
              <w:spacing w:after="0"/>
              <w:jc w:val="both"/>
              <w:rPr>
                <w:rFonts w:eastAsia="Calibri" w:cs="Calibri"/>
                <w:noProof/>
              </w:rPr>
            </w:pPr>
            <w:r>
              <w:rPr>
                <w:noProof/>
              </w:rPr>
              <w:t>Začetek veljavnosti novega splošnega režima ravnanja z odpadki</w:t>
            </w:r>
          </w:p>
        </w:tc>
      </w:tr>
      <w:tr w:rsidR="00F24946" w14:paraId="3629E8EE" w14:textId="77777777">
        <w:trPr>
          <w:trHeight w:val="440"/>
        </w:trPr>
        <w:tc>
          <w:tcPr>
            <w:tcW w:w="1200" w:type="dxa"/>
            <w:shd w:val="clear" w:color="auto" w:fill="C4EFCE"/>
            <w:vAlign w:val="center"/>
            <w:hideMark/>
          </w:tcPr>
          <w:p w14:paraId="76950E3D" w14:textId="77777777" w:rsidR="00F24946" w:rsidRDefault="00613B06">
            <w:pPr>
              <w:pStyle w:val="P68B1DB1-Normal23"/>
              <w:spacing w:after="0"/>
              <w:jc w:val="center"/>
              <w:rPr>
                <w:noProof/>
              </w:rPr>
            </w:pPr>
            <w:r>
              <w:rPr>
                <w:noProof/>
              </w:rPr>
              <w:t>14.1</w:t>
            </w:r>
          </w:p>
        </w:tc>
        <w:tc>
          <w:tcPr>
            <w:tcW w:w="1760" w:type="dxa"/>
            <w:shd w:val="clear" w:color="auto" w:fill="C4EFCE"/>
            <w:vAlign w:val="center"/>
            <w:hideMark/>
          </w:tcPr>
          <w:p w14:paraId="4F502DB3" w14:textId="77777777" w:rsidR="00F24946" w:rsidRDefault="00613B06">
            <w:pPr>
              <w:pStyle w:val="P68B1DB1-Normal23"/>
              <w:spacing w:after="0"/>
              <w:jc w:val="center"/>
              <w:rPr>
                <w:noProof/>
              </w:rPr>
            </w:pPr>
            <w:r>
              <w:rPr>
                <w:noProof/>
              </w:rPr>
              <w:t xml:space="preserve">TC-C14-r29 </w:t>
            </w:r>
          </w:p>
        </w:tc>
        <w:tc>
          <w:tcPr>
            <w:tcW w:w="1520" w:type="dxa"/>
            <w:shd w:val="clear" w:color="auto" w:fill="C4EFCE"/>
            <w:vAlign w:val="center"/>
            <w:hideMark/>
          </w:tcPr>
          <w:p w14:paraId="51F60976"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6D5E11C" w14:textId="77777777" w:rsidR="00F24946" w:rsidRDefault="00613B06">
            <w:pPr>
              <w:pStyle w:val="P68B1DB1-Normal23"/>
              <w:spacing w:after="0"/>
              <w:jc w:val="both"/>
              <w:rPr>
                <w:rFonts w:eastAsia="Calibri" w:cs="Calibri"/>
                <w:noProof/>
              </w:rPr>
            </w:pPr>
            <w:r>
              <w:rPr>
                <w:noProof/>
              </w:rPr>
              <w:t>Začetek veljavnosti uredbe o nacionalnem omrežju za prenos plina in uredbe o nacionalnem omrežju za distribucijo plina</w:t>
            </w:r>
          </w:p>
        </w:tc>
      </w:tr>
      <w:tr w:rsidR="00F24946" w14:paraId="10966324" w14:textId="77777777">
        <w:trPr>
          <w:trHeight w:val="440"/>
        </w:trPr>
        <w:tc>
          <w:tcPr>
            <w:tcW w:w="1200" w:type="dxa"/>
            <w:shd w:val="clear" w:color="auto" w:fill="C4EFCE"/>
            <w:vAlign w:val="center"/>
            <w:hideMark/>
          </w:tcPr>
          <w:p w14:paraId="00D9D2AC" w14:textId="77777777" w:rsidR="00F24946" w:rsidRDefault="00613B06">
            <w:pPr>
              <w:pStyle w:val="P68B1DB1-Normal23"/>
              <w:spacing w:after="0"/>
              <w:jc w:val="center"/>
              <w:rPr>
                <w:noProof/>
              </w:rPr>
            </w:pPr>
            <w:r>
              <w:rPr>
                <w:noProof/>
              </w:rPr>
              <w:t>14.2</w:t>
            </w:r>
          </w:p>
        </w:tc>
        <w:tc>
          <w:tcPr>
            <w:tcW w:w="1760" w:type="dxa"/>
            <w:shd w:val="clear" w:color="auto" w:fill="C4EFCE"/>
            <w:vAlign w:val="center"/>
            <w:hideMark/>
          </w:tcPr>
          <w:p w14:paraId="3F73CCA7" w14:textId="77777777" w:rsidR="00F24946" w:rsidRDefault="00613B06">
            <w:pPr>
              <w:pStyle w:val="P68B1DB1-Normal23"/>
              <w:spacing w:after="0"/>
              <w:jc w:val="center"/>
              <w:rPr>
                <w:noProof/>
              </w:rPr>
            </w:pPr>
            <w:r>
              <w:rPr>
                <w:noProof/>
              </w:rPr>
              <w:t xml:space="preserve">TC-C14-i01 </w:t>
            </w:r>
          </w:p>
        </w:tc>
        <w:tc>
          <w:tcPr>
            <w:tcW w:w="1520" w:type="dxa"/>
            <w:shd w:val="clear" w:color="auto" w:fill="C4EFCE"/>
            <w:vAlign w:val="center"/>
            <w:hideMark/>
          </w:tcPr>
          <w:p w14:paraId="587EF70A"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9D80DCE" w14:textId="77777777" w:rsidR="00F24946" w:rsidRDefault="00613B06">
            <w:pPr>
              <w:pStyle w:val="P68B1DB1-Normal23"/>
              <w:spacing w:after="0"/>
              <w:jc w:val="both"/>
              <w:rPr>
                <w:rFonts w:eastAsia="Calibri" w:cs="Calibri"/>
                <w:noProof/>
              </w:rPr>
            </w:pPr>
            <w:r>
              <w:rPr>
                <w:noProof/>
              </w:rPr>
              <w:t>Prvi javni razpis za projekte za proizvodnjo plina iz obnovljivih virov</w:t>
            </w:r>
          </w:p>
        </w:tc>
      </w:tr>
      <w:tr w:rsidR="00F24946" w14:paraId="757BF45A" w14:textId="77777777">
        <w:trPr>
          <w:trHeight w:val="440"/>
        </w:trPr>
        <w:tc>
          <w:tcPr>
            <w:tcW w:w="1200" w:type="dxa"/>
            <w:shd w:val="clear" w:color="auto" w:fill="C4EFCE"/>
            <w:vAlign w:val="center"/>
            <w:hideMark/>
          </w:tcPr>
          <w:p w14:paraId="7466249B" w14:textId="77777777" w:rsidR="00F24946" w:rsidRDefault="00613B06">
            <w:pPr>
              <w:pStyle w:val="P68B1DB1-Normal23"/>
              <w:spacing w:after="0"/>
              <w:jc w:val="center"/>
              <w:rPr>
                <w:noProof/>
              </w:rPr>
            </w:pPr>
            <w:r>
              <w:rPr>
                <w:noProof/>
              </w:rPr>
              <w:t>16.13</w:t>
            </w:r>
          </w:p>
        </w:tc>
        <w:tc>
          <w:tcPr>
            <w:tcW w:w="1760" w:type="dxa"/>
            <w:shd w:val="clear" w:color="auto" w:fill="C4EFCE"/>
            <w:vAlign w:val="center"/>
            <w:hideMark/>
          </w:tcPr>
          <w:p w14:paraId="0D9747EC" w14:textId="77777777" w:rsidR="00F24946" w:rsidRDefault="00613B06">
            <w:pPr>
              <w:pStyle w:val="P68B1DB1-Normal23"/>
              <w:spacing w:after="0"/>
              <w:jc w:val="center"/>
              <w:rPr>
                <w:noProof/>
              </w:rPr>
            </w:pPr>
            <w:r>
              <w:rPr>
                <w:noProof/>
              </w:rPr>
              <w:t xml:space="preserve">TD-C16-i03 </w:t>
            </w:r>
          </w:p>
        </w:tc>
        <w:tc>
          <w:tcPr>
            <w:tcW w:w="1520" w:type="dxa"/>
            <w:shd w:val="clear" w:color="auto" w:fill="C4EFCE"/>
            <w:vAlign w:val="center"/>
            <w:hideMark/>
          </w:tcPr>
          <w:p w14:paraId="7FAED4B7" w14:textId="77777777" w:rsidR="00F24946" w:rsidRDefault="00613B06">
            <w:pPr>
              <w:pStyle w:val="P68B1DB1-Normal23"/>
              <w:spacing w:after="0"/>
              <w:jc w:val="center"/>
              <w:rPr>
                <w:noProof/>
              </w:rPr>
            </w:pPr>
            <w:r>
              <w:rPr>
                <w:noProof/>
              </w:rPr>
              <w:t>T</w:t>
            </w:r>
          </w:p>
        </w:tc>
        <w:tc>
          <w:tcPr>
            <w:tcW w:w="5060" w:type="dxa"/>
            <w:shd w:val="clear" w:color="auto" w:fill="C4EFCE"/>
            <w:vAlign w:val="center"/>
            <w:hideMark/>
          </w:tcPr>
          <w:p w14:paraId="71236238" w14:textId="77777777" w:rsidR="00F24946" w:rsidRDefault="00613B06">
            <w:pPr>
              <w:pStyle w:val="P68B1DB1-Normal23"/>
              <w:spacing w:after="0"/>
              <w:jc w:val="both"/>
              <w:rPr>
                <w:rFonts w:eastAsia="Calibri" w:cs="Calibri"/>
                <w:noProof/>
              </w:rPr>
            </w:pPr>
            <w:r>
              <w:rPr>
                <w:noProof/>
              </w:rPr>
              <w:t>Vozlišča za digitalne inovacije</w:t>
            </w:r>
          </w:p>
        </w:tc>
      </w:tr>
      <w:tr w:rsidR="00F24946" w14:paraId="52D708E9" w14:textId="77777777">
        <w:trPr>
          <w:trHeight w:val="440"/>
        </w:trPr>
        <w:tc>
          <w:tcPr>
            <w:tcW w:w="1200" w:type="dxa"/>
            <w:shd w:val="clear" w:color="auto" w:fill="C4EFCE"/>
            <w:vAlign w:val="center"/>
            <w:hideMark/>
          </w:tcPr>
          <w:p w14:paraId="2F5A2432" w14:textId="77777777" w:rsidR="00F24946" w:rsidRDefault="00613B06">
            <w:pPr>
              <w:pStyle w:val="P68B1DB1-Normal23"/>
              <w:spacing w:after="0"/>
              <w:jc w:val="center"/>
              <w:rPr>
                <w:noProof/>
              </w:rPr>
            </w:pPr>
            <w:r>
              <w:rPr>
                <w:noProof/>
              </w:rPr>
              <w:t>17.6</w:t>
            </w:r>
          </w:p>
        </w:tc>
        <w:tc>
          <w:tcPr>
            <w:tcW w:w="1760" w:type="dxa"/>
            <w:shd w:val="clear" w:color="auto" w:fill="C4EFCE"/>
            <w:vAlign w:val="center"/>
            <w:hideMark/>
          </w:tcPr>
          <w:p w14:paraId="302B639D" w14:textId="77777777" w:rsidR="00F24946" w:rsidRDefault="00613B06">
            <w:pPr>
              <w:pStyle w:val="P68B1DB1-Normal23"/>
              <w:spacing w:after="0"/>
              <w:jc w:val="center"/>
              <w:rPr>
                <w:noProof/>
              </w:rPr>
            </w:pPr>
            <w:r>
              <w:rPr>
                <w:noProof/>
              </w:rPr>
              <w:t xml:space="preserve">TD-C17-r32 </w:t>
            </w:r>
          </w:p>
        </w:tc>
        <w:tc>
          <w:tcPr>
            <w:tcW w:w="1520" w:type="dxa"/>
            <w:shd w:val="clear" w:color="auto" w:fill="C4EFCE"/>
            <w:vAlign w:val="center"/>
            <w:hideMark/>
          </w:tcPr>
          <w:p w14:paraId="0B994286"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199C2E8" w14:textId="77777777" w:rsidR="00F24946" w:rsidRDefault="00613B06">
            <w:pPr>
              <w:pStyle w:val="P68B1DB1-Normal23"/>
              <w:spacing w:after="0"/>
              <w:jc w:val="both"/>
              <w:rPr>
                <w:rFonts w:eastAsia="Calibri" w:cs="Calibri"/>
                <w:noProof/>
              </w:rPr>
            </w:pPr>
            <w:r>
              <w:rPr>
                <w:noProof/>
              </w:rPr>
              <w:t>Začetek veljavnosti nove predloge pogodbe o upravljanju v okviru novega sistema spodbud/kazni za upravljanje podjetij v državni lasti</w:t>
            </w:r>
          </w:p>
        </w:tc>
      </w:tr>
      <w:tr w:rsidR="00F24946" w14:paraId="5F2EFFB2" w14:textId="77777777">
        <w:trPr>
          <w:trHeight w:val="440"/>
        </w:trPr>
        <w:tc>
          <w:tcPr>
            <w:tcW w:w="1200" w:type="dxa"/>
            <w:shd w:val="clear" w:color="auto" w:fill="C4EFCE"/>
            <w:vAlign w:val="center"/>
            <w:hideMark/>
          </w:tcPr>
          <w:p w14:paraId="1E7DA930" w14:textId="77777777" w:rsidR="00F24946" w:rsidRDefault="00613B06">
            <w:pPr>
              <w:pStyle w:val="P68B1DB1-Normal23"/>
              <w:spacing w:after="0"/>
              <w:jc w:val="center"/>
              <w:rPr>
                <w:noProof/>
              </w:rPr>
            </w:pPr>
            <w:r>
              <w:rPr>
                <w:noProof/>
              </w:rPr>
              <w:t>19.22</w:t>
            </w:r>
          </w:p>
        </w:tc>
        <w:tc>
          <w:tcPr>
            <w:tcW w:w="1760" w:type="dxa"/>
            <w:shd w:val="clear" w:color="auto" w:fill="C4EFCE"/>
            <w:vAlign w:val="center"/>
            <w:hideMark/>
          </w:tcPr>
          <w:p w14:paraId="55D06868" w14:textId="77777777" w:rsidR="00F24946" w:rsidRDefault="00613B06">
            <w:pPr>
              <w:pStyle w:val="P68B1DB1-Normal23"/>
              <w:spacing w:after="0"/>
              <w:jc w:val="center"/>
              <w:rPr>
                <w:noProof/>
              </w:rPr>
            </w:pPr>
            <w:r>
              <w:rPr>
                <w:noProof/>
              </w:rPr>
              <w:t xml:space="preserve">TD-C19-r34 </w:t>
            </w:r>
          </w:p>
        </w:tc>
        <w:tc>
          <w:tcPr>
            <w:tcW w:w="1520" w:type="dxa"/>
            <w:shd w:val="clear" w:color="auto" w:fill="C4EFCE"/>
            <w:vAlign w:val="center"/>
            <w:hideMark/>
          </w:tcPr>
          <w:p w14:paraId="3742530B"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678B11B" w14:textId="77777777" w:rsidR="00F24946" w:rsidRDefault="00613B06">
            <w:pPr>
              <w:pStyle w:val="P68B1DB1-Normal23"/>
              <w:spacing w:after="0"/>
              <w:jc w:val="both"/>
              <w:rPr>
                <w:rFonts w:eastAsia="Calibri" w:cs="Calibri"/>
                <w:noProof/>
              </w:rPr>
            </w:pPr>
            <w:r>
              <w:rPr>
                <w:noProof/>
              </w:rPr>
              <w:t>Začetek veljavnosti pravnega okvira za digitalno preobrazbo javne uprave</w:t>
            </w:r>
          </w:p>
        </w:tc>
      </w:tr>
      <w:tr w:rsidR="00F24946" w14:paraId="6872084D" w14:textId="77777777">
        <w:trPr>
          <w:trHeight w:val="440"/>
        </w:trPr>
        <w:tc>
          <w:tcPr>
            <w:tcW w:w="1200" w:type="dxa"/>
            <w:shd w:val="clear" w:color="auto" w:fill="C4EFCE"/>
            <w:vAlign w:val="center"/>
            <w:hideMark/>
          </w:tcPr>
          <w:p w14:paraId="291433EB" w14:textId="77777777" w:rsidR="00F24946" w:rsidRDefault="00613B06">
            <w:pPr>
              <w:pStyle w:val="P68B1DB1-Normal23"/>
              <w:spacing w:after="0"/>
              <w:jc w:val="center"/>
              <w:rPr>
                <w:noProof/>
              </w:rPr>
            </w:pPr>
            <w:r>
              <w:rPr>
                <w:noProof/>
              </w:rPr>
              <w:t>19.24</w:t>
            </w:r>
          </w:p>
        </w:tc>
        <w:tc>
          <w:tcPr>
            <w:tcW w:w="1760" w:type="dxa"/>
            <w:shd w:val="clear" w:color="auto" w:fill="C4EFCE"/>
            <w:vAlign w:val="center"/>
            <w:hideMark/>
          </w:tcPr>
          <w:p w14:paraId="07189990" w14:textId="77777777" w:rsidR="00F24946" w:rsidRDefault="00613B06">
            <w:pPr>
              <w:pStyle w:val="P68B1DB1-Normal23"/>
              <w:spacing w:after="0"/>
              <w:jc w:val="center"/>
              <w:rPr>
                <w:noProof/>
              </w:rPr>
            </w:pPr>
            <w:r>
              <w:rPr>
                <w:noProof/>
              </w:rPr>
              <w:t xml:space="preserve">TD-C19-r36 </w:t>
            </w:r>
          </w:p>
        </w:tc>
        <w:tc>
          <w:tcPr>
            <w:tcW w:w="1520" w:type="dxa"/>
            <w:shd w:val="clear" w:color="auto" w:fill="C4EFCE"/>
            <w:vAlign w:val="center"/>
            <w:hideMark/>
          </w:tcPr>
          <w:p w14:paraId="55C7DEF6"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6FC15F4D" w14:textId="77777777" w:rsidR="00F24946" w:rsidRDefault="00613B06">
            <w:pPr>
              <w:pStyle w:val="P68B1DB1-Normal23"/>
              <w:spacing w:after="0"/>
              <w:jc w:val="both"/>
              <w:rPr>
                <w:rFonts w:eastAsia="Calibri" w:cs="Calibri"/>
                <w:noProof/>
              </w:rPr>
            </w:pPr>
            <w:r>
              <w:rPr>
                <w:noProof/>
              </w:rPr>
              <w:t>Ustanovitev nacionalnega upravnega inštituta, I.P.</w:t>
            </w:r>
          </w:p>
        </w:tc>
      </w:tr>
      <w:tr w:rsidR="00F24946" w14:paraId="3A0CB96A" w14:textId="77777777">
        <w:trPr>
          <w:trHeight w:val="440"/>
        </w:trPr>
        <w:tc>
          <w:tcPr>
            <w:tcW w:w="1200" w:type="dxa"/>
            <w:shd w:val="clear" w:color="auto" w:fill="C4EFCE"/>
            <w:vAlign w:val="center"/>
            <w:hideMark/>
          </w:tcPr>
          <w:p w14:paraId="79B57193" w14:textId="77777777" w:rsidR="00F24946" w:rsidRDefault="00613B06">
            <w:pPr>
              <w:pStyle w:val="P68B1DB1-Normal23"/>
              <w:spacing w:after="0"/>
              <w:jc w:val="center"/>
              <w:rPr>
                <w:noProof/>
              </w:rPr>
            </w:pPr>
            <w:r>
              <w:rPr>
                <w:noProof/>
              </w:rPr>
              <w:t>20.2</w:t>
            </w:r>
          </w:p>
        </w:tc>
        <w:tc>
          <w:tcPr>
            <w:tcW w:w="1760" w:type="dxa"/>
            <w:shd w:val="clear" w:color="auto" w:fill="C4EFCE"/>
            <w:vAlign w:val="center"/>
            <w:hideMark/>
          </w:tcPr>
          <w:p w14:paraId="40D2FB0E" w14:textId="77777777" w:rsidR="00F24946" w:rsidRDefault="00613B06">
            <w:pPr>
              <w:pStyle w:val="P68B1DB1-Normal23"/>
              <w:spacing w:after="0"/>
              <w:jc w:val="center"/>
              <w:rPr>
                <w:noProof/>
              </w:rPr>
            </w:pPr>
            <w:r>
              <w:rPr>
                <w:noProof/>
              </w:rPr>
              <w:t xml:space="preserve">TD-C20-i01 </w:t>
            </w:r>
          </w:p>
        </w:tc>
        <w:tc>
          <w:tcPr>
            <w:tcW w:w="1520" w:type="dxa"/>
            <w:shd w:val="clear" w:color="auto" w:fill="C4EFCE"/>
            <w:vAlign w:val="center"/>
            <w:hideMark/>
          </w:tcPr>
          <w:p w14:paraId="78F61C3A"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14A5DC9A" w14:textId="77777777" w:rsidR="00F24946" w:rsidRDefault="00613B06">
            <w:pPr>
              <w:pStyle w:val="P68B1DB1-Normal23"/>
              <w:spacing w:after="0"/>
              <w:jc w:val="both"/>
              <w:rPr>
                <w:rFonts w:eastAsia="Calibri" w:cs="Calibri"/>
                <w:noProof/>
              </w:rPr>
            </w:pPr>
            <w:r>
              <w:rPr>
                <w:noProof/>
              </w:rPr>
              <w:t>Podpis pogodb za nakup posameznih računalnikov za učence in učitelje</w:t>
            </w:r>
          </w:p>
        </w:tc>
      </w:tr>
      <w:tr w:rsidR="00F24946" w14:paraId="6E3E4880" w14:textId="77777777">
        <w:trPr>
          <w:trHeight w:val="440"/>
        </w:trPr>
        <w:tc>
          <w:tcPr>
            <w:tcW w:w="1200" w:type="dxa"/>
            <w:shd w:val="clear" w:color="auto" w:fill="C4EFCE"/>
            <w:vAlign w:val="center"/>
            <w:hideMark/>
          </w:tcPr>
          <w:p w14:paraId="1531FD90"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9D93FED"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E762CEE"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76A68B63" w14:textId="6ADCE395" w:rsidR="00F24946" w:rsidRDefault="00613B06">
            <w:pPr>
              <w:pStyle w:val="P68B1DB1-Normal25"/>
              <w:spacing w:after="0" w:line="240" w:lineRule="auto"/>
              <w:jc w:val="center"/>
              <w:rPr>
                <w:rFonts w:cs="Calibri"/>
                <w:noProof/>
              </w:rPr>
            </w:pPr>
            <w:r>
              <w:rPr>
                <w:noProof/>
              </w:rPr>
              <w:t xml:space="preserve">636 139 080 EUR </w:t>
            </w:r>
          </w:p>
        </w:tc>
      </w:tr>
    </w:tbl>
    <w:p w14:paraId="66705A4C" w14:textId="77777777" w:rsidR="00F24946" w:rsidRDefault="00F24946">
      <w:pPr>
        <w:keepNext/>
        <w:spacing w:after="160" w:line="259" w:lineRule="auto"/>
        <w:ind w:left="1571" w:hanging="360"/>
        <w:contextualSpacing/>
        <w:jc w:val="both"/>
        <w:rPr>
          <w:rFonts w:ascii="Times New Roman" w:eastAsiaTheme="minorEastAsia" w:hAnsi="Times New Roman" w:cs="Times New Roman"/>
          <w:noProof/>
          <w:sz w:val="24"/>
        </w:rPr>
      </w:pPr>
    </w:p>
    <w:p w14:paraId="7F4502ED"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Drugi zahtevek za plačilo (nepovratna podpora): </w:t>
      </w:r>
    </w:p>
    <w:p w14:paraId="158E3ED4"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352FB160" w14:textId="77777777">
        <w:trPr>
          <w:trHeight w:val="509"/>
          <w:tblHeader/>
        </w:trPr>
        <w:tc>
          <w:tcPr>
            <w:tcW w:w="1200" w:type="dxa"/>
            <w:vMerge w:val="restart"/>
            <w:shd w:val="clear" w:color="auto" w:fill="BDD7EE"/>
            <w:vAlign w:val="center"/>
            <w:hideMark/>
          </w:tcPr>
          <w:p w14:paraId="0D0D00E4"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46E7F54F"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4BBAA04E"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51A4AA8D"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1F6741B5" w14:textId="77777777">
        <w:trPr>
          <w:trHeight w:val="509"/>
          <w:tblHeader/>
        </w:trPr>
        <w:tc>
          <w:tcPr>
            <w:tcW w:w="1200" w:type="dxa"/>
            <w:vMerge/>
            <w:vAlign w:val="center"/>
            <w:hideMark/>
          </w:tcPr>
          <w:p w14:paraId="01B474AA"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02EC477F"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3D7F8D49"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615BF232" w14:textId="77777777" w:rsidR="00F24946" w:rsidRDefault="00F24946">
            <w:pPr>
              <w:spacing w:after="0" w:line="240" w:lineRule="auto"/>
              <w:rPr>
                <w:rFonts w:ascii="Times New Roman" w:eastAsia="Times New Roman" w:hAnsi="Times New Roman" w:cs="Times New Roman"/>
                <w:noProof/>
                <w:sz w:val="20"/>
              </w:rPr>
            </w:pPr>
          </w:p>
        </w:tc>
      </w:tr>
      <w:tr w:rsidR="00F24946" w14:paraId="4081C04E" w14:textId="77777777">
        <w:trPr>
          <w:trHeight w:val="440"/>
        </w:trPr>
        <w:tc>
          <w:tcPr>
            <w:tcW w:w="1200" w:type="dxa"/>
            <w:shd w:val="clear" w:color="auto" w:fill="C4EFCE"/>
            <w:vAlign w:val="center"/>
            <w:hideMark/>
          </w:tcPr>
          <w:p w14:paraId="5750728D" w14:textId="77777777" w:rsidR="00F24946" w:rsidRDefault="00613B06">
            <w:pPr>
              <w:pStyle w:val="P68B1DB1-Normal23"/>
              <w:spacing w:after="0"/>
              <w:jc w:val="center"/>
              <w:rPr>
                <w:rFonts w:eastAsia="Calibri" w:cs="Calibri"/>
                <w:noProof/>
              </w:rPr>
            </w:pPr>
            <w:r>
              <w:rPr>
                <w:noProof/>
              </w:rPr>
              <w:t>1.13</w:t>
            </w:r>
          </w:p>
        </w:tc>
        <w:tc>
          <w:tcPr>
            <w:tcW w:w="1760" w:type="dxa"/>
            <w:shd w:val="clear" w:color="auto" w:fill="C4EFCE"/>
            <w:vAlign w:val="center"/>
            <w:hideMark/>
          </w:tcPr>
          <w:p w14:paraId="44477519" w14:textId="77777777" w:rsidR="00F24946" w:rsidRDefault="00613B06">
            <w:pPr>
              <w:pStyle w:val="P68B1DB1-Normal23"/>
              <w:spacing w:after="0"/>
              <w:jc w:val="center"/>
              <w:rPr>
                <w:rFonts w:eastAsia="Calibri" w:cs="Calibri"/>
                <w:noProof/>
              </w:rPr>
            </w:pPr>
            <w:r>
              <w:rPr>
                <w:noProof/>
              </w:rPr>
              <w:t xml:space="preserve">Re-C01-i02 </w:t>
            </w:r>
          </w:p>
        </w:tc>
        <w:tc>
          <w:tcPr>
            <w:tcW w:w="1520" w:type="dxa"/>
            <w:shd w:val="clear" w:color="auto" w:fill="C4EFCE"/>
            <w:vAlign w:val="center"/>
            <w:hideMark/>
          </w:tcPr>
          <w:p w14:paraId="04640CD0"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D4C3B0B" w14:textId="77777777" w:rsidR="00F24946" w:rsidRDefault="00613B06">
            <w:pPr>
              <w:pStyle w:val="P68B1DB1-Normal23"/>
              <w:spacing w:after="0"/>
              <w:jc w:val="both"/>
              <w:rPr>
                <w:rFonts w:eastAsia="Calibri" w:cs="Calibri"/>
                <w:noProof/>
              </w:rPr>
            </w:pPr>
            <w:r>
              <w:rPr>
                <w:noProof/>
              </w:rPr>
              <w:t>Začetek veljavnosti pogojev za sklicevanje na nujne primere v belih, modrih ali zelenih bolnišničnih službah za nujne primere za druge vrste zdravstvenih storitev, vključno s storitvami primarnega zdravstvenega varstva</w:t>
            </w:r>
          </w:p>
        </w:tc>
      </w:tr>
      <w:tr w:rsidR="00F24946" w14:paraId="0C6EEC60" w14:textId="77777777">
        <w:trPr>
          <w:trHeight w:val="440"/>
        </w:trPr>
        <w:tc>
          <w:tcPr>
            <w:tcW w:w="1200" w:type="dxa"/>
            <w:shd w:val="clear" w:color="auto" w:fill="C4EFCE"/>
            <w:vAlign w:val="center"/>
            <w:hideMark/>
          </w:tcPr>
          <w:p w14:paraId="4CBB49BA" w14:textId="77777777" w:rsidR="00F24946" w:rsidRDefault="00613B06">
            <w:pPr>
              <w:pStyle w:val="P68B1DB1-Normal23"/>
              <w:spacing w:after="0"/>
              <w:jc w:val="center"/>
              <w:rPr>
                <w:rFonts w:eastAsia="Calibri" w:cs="Calibri"/>
                <w:noProof/>
              </w:rPr>
            </w:pPr>
            <w:r>
              <w:rPr>
                <w:noProof/>
              </w:rPr>
              <w:t>1.20</w:t>
            </w:r>
          </w:p>
        </w:tc>
        <w:tc>
          <w:tcPr>
            <w:tcW w:w="1760" w:type="dxa"/>
            <w:shd w:val="clear" w:color="auto" w:fill="C4EFCE"/>
            <w:vAlign w:val="center"/>
            <w:hideMark/>
          </w:tcPr>
          <w:p w14:paraId="480832CC" w14:textId="77777777" w:rsidR="00F24946" w:rsidRDefault="00613B06">
            <w:pPr>
              <w:pStyle w:val="P68B1DB1-Normal23"/>
              <w:spacing w:after="0"/>
              <w:jc w:val="center"/>
              <w:rPr>
                <w:rFonts w:eastAsia="Calibri" w:cs="Calibri"/>
                <w:noProof/>
              </w:rPr>
            </w:pPr>
            <w:r>
              <w:rPr>
                <w:noProof/>
              </w:rPr>
              <w:t xml:space="preserve">Re-C01-r03 </w:t>
            </w:r>
          </w:p>
        </w:tc>
        <w:tc>
          <w:tcPr>
            <w:tcW w:w="1520" w:type="dxa"/>
            <w:shd w:val="clear" w:color="auto" w:fill="C4EFCE"/>
            <w:vAlign w:val="center"/>
            <w:hideMark/>
          </w:tcPr>
          <w:p w14:paraId="7D9187DC"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315F543" w14:textId="77777777" w:rsidR="00F24946" w:rsidRDefault="00613B06">
            <w:pPr>
              <w:pStyle w:val="P68B1DB1-Normal23"/>
              <w:spacing w:after="0"/>
              <w:jc w:val="both"/>
              <w:rPr>
                <w:rFonts w:eastAsia="Calibri" w:cs="Calibri"/>
                <w:noProof/>
              </w:rPr>
            </w:pPr>
            <w:r>
              <w:rPr>
                <w:noProof/>
              </w:rPr>
              <w:t>Začetek veljavnosti uredbe o dodelitvi finančne podpore regionalnih zdravstvenih organov</w:t>
            </w:r>
          </w:p>
        </w:tc>
      </w:tr>
      <w:tr w:rsidR="00F24946" w14:paraId="69F0FF9C" w14:textId="77777777">
        <w:trPr>
          <w:trHeight w:val="440"/>
        </w:trPr>
        <w:tc>
          <w:tcPr>
            <w:tcW w:w="1200" w:type="dxa"/>
            <w:shd w:val="clear" w:color="auto" w:fill="C4EFCE"/>
            <w:vAlign w:val="center"/>
            <w:hideMark/>
          </w:tcPr>
          <w:p w14:paraId="166EDAF8" w14:textId="31004DB1" w:rsidR="00F24946" w:rsidRDefault="00613B06">
            <w:pPr>
              <w:pStyle w:val="P68B1DB1-Normal23"/>
              <w:spacing w:after="0"/>
              <w:jc w:val="center"/>
              <w:rPr>
                <w:rFonts w:eastAsia="Calibri" w:cs="Calibri"/>
                <w:noProof/>
              </w:rPr>
            </w:pPr>
            <w:r>
              <w:rPr>
                <w:noProof/>
              </w:rPr>
              <w:t>1.6</w:t>
            </w:r>
          </w:p>
        </w:tc>
        <w:tc>
          <w:tcPr>
            <w:tcW w:w="1760" w:type="dxa"/>
            <w:shd w:val="clear" w:color="auto" w:fill="C4EFCE"/>
            <w:vAlign w:val="center"/>
            <w:hideMark/>
          </w:tcPr>
          <w:p w14:paraId="35D3297F" w14:textId="77777777" w:rsidR="00F24946" w:rsidRDefault="00613B06">
            <w:pPr>
              <w:pStyle w:val="P68B1DB1-Normal23"/>
              <w:spacing w:after="0"/>
              <w:jc w:val="center"/>
              <w:rPr>
                <w:rFonts w:eastAsia="Calibri" w:cs="Calibri"/>
                <w:noProof/>
              </w:rPr>
            </w:pPr>
            <w:r>
              <w:rPr>
                <w:noProof/>
              </w:rPr>
              <w:t xml:space="preserve">Re-C01-i01 </w:t>
            </w:r>
          </w:p>
        </w:tc>
        <w:tc>
          <w:tcPr>
            <w:tcW w:w="1520" w:type="dxa"/>
            <w:shd w:val="clear" w:color="auto" w:fill="C4EFCE"/>
            <w:vAlign w:val="center"/>
            <w:hideMark/>
          </w:tcPr>
          <w:p w14:paraId="00EBB8F8"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E23AEAC" w14:textId="77777777" w:rsidR="00F24946" w:rsidRDefault="00613B06">
            <w:pPr>
              <w:pStyle w:val="P68B1DB1-Normal23"/>
              <w:spacing w:after="0"/>
              <w:jc w:val="both"/>
              <w:rPr>
                <w:rFonts w:eastAsia="Calibri" w:cs="Calibri"/>
                <w:noProof/>
              </w:rPr>
            </w:pPr>
            <w:r>
              <w:rPr>
                <w:noProof/>
              </w:rPr>
              <w:t>Začetek veljavnosti nove predloge pogodbe o upravljanju</w:t>
            </w:r>
          </w:p>
        </w:tc>
      </w:tr>
      <w:tr w:rsidR="00F24946" w14:paraId="5EFCE41E" w14:textId="77777777">
        <w:trPr>
          <w:trHeight w:val="440"/>
        </w:trPr>
        <w:tc>
          <w:tcPr>
            <w:tcW w:w="1200" w:type="dxa"/>
            <w:shd w:val="clear" w:color="auto" w:fill="C4EFCE"/>
            <w:vAlign w:val="center"/>
            <w:hideMark/>
          </w:tcPr>
          <w:p w14:paraId="5D8AE41A" w14:textId="77777777" w:rsidR="00F24946" w:rsidRDefault="00613B06">
            <w:pPr>
              <w:pStyle w:val="P68B1DB1-Normal23"/>
              <w:spacing w:after="0"/>
              <w:jc w:val="center"/>
              <w:rPr>
                <w:rFonts w:eastAsia="Calibri" w:cs="Calibri"/>
                <w:noProof/>
              </w:rPr>
            </w:pPr>
            <w:r>
              <w:rPr>
                <w:noProof/>
              </w:rPr>
              <w:t>3.24</w:t>
            </w:r>
          </w:p>
        </w:tc>
        <w:tc>
          <w:tcPr>
            <w:tcW w:w="1760" w:type="dxa"/>
            <w:shd w:val="clear" w:color="auto" w:fill="C4EFCE"/>
            <w:vAlign w:val="center"/>
            <w:hideMark/>
          </w:tcPr>
          <w:p w14:paraId="345DB0E2" w14:textId="77777777" w:rsidR="00F24946" w:rsidRDefault="00613B06">
            <w:pPr>
              <w:pStyle w:val="P68B1DB1-Normal23"/>
              <w:spacing w:after="0"/>
              <w:jc w:val="center"/>
              <w:rPr>
                <w:rFonts w:eastAsia="Calibri" w:cs="Calibri"/>
                <w:noProof/>
              </w:rPr>
            </w:pPr>
            <w:r>
              <w:rPr>
                <w:noProof/>
              </w:rPr>
              <w:t xml:space="preserve">Re-C03-i01 </w:t>
            </w:r>
          </w:p>
        </w:tc>
        <w:tc>
          <w:tcPr>
            <w:tcW w:w="1520" w:type="dxa"/>
            <w:shd w:val="clear" w:color="auto" w:fill="C4EFCE"/>
            <w:vAlign w:val="center"/>
            <w:hideMark/>
          </w:tcPr>
          <w:p w14:paraId="0957961C"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0267902" w14:textId="77777777" w:rsidR="00F24946" w:rsidRDefault="00613B06">
            <w:pPr>
              <w:pStyle w:val="P68B1DB1-Normal23"/>
              <w:spacing w:after="0"/>
              <w:jc w:val="both"/>
              <w:rPr>
                <w:rFonts w:eastAsia="Calibri" w:cs="Calibri"/>
                <w:noProof/>
              </w:rPr>
            </w:pPr>
            <w:r>
              <w:rPr>
                <w:noProof/>
              </w:rPr>
              <w:t>Podpis sporazumov med občinami Lizbone/Porto in lokalnimi tehničnimi enotami, ki določajo obseg ukrepov, ki jih je treba podpreti.</w:t>
            </w:r>
          </w:p>
        </w:tc>
      </w:tr>
      <w:tr w:rsidR="00F24946" w14:paraId="6D1DB67B" w14:textId="77777777">
        <w:trPr>
          <w:trHeight w:val="440"/>
        </w:trPr>
        <w:tc>
          <w:tcPr>
            <w:tcW w:w="1200" w:type="dxa"/>
            <w:shd w:val="clear" w:color="auto" w:fill="C4EFCE"/>
            <w:vAlign w:val="center"/>
            <w:hideMark/>
          </w:tcPr>
          <w:p w14:paraId="26C83B0D" w14:textId="77777777" w:rsidR="00F24946" w:rsidRDefault="00613B06">
            <w:pPr>
              <w:pStyle w:val="P68B1DB1-Normal23"/>
              <w:spacing w:after="0"/>
              <w:jc w:val="center"/>
              <w:rPr>
                <w:rFonts w:eastAsia="Calibri" w:cs="Calibri"/>
                <w:noProof/>
              </w:rPr>
            </w:pPr>
            <w:r>
              <w:rPr>
                <w:noProof/>
              </w:rPr>
              <w:t>3.3</w:t>
            </w:r>
          </w:p>
        </w:tc>
        <w:tc>
          <w:tcPr>
            <w:tcW w:w="1760" w:type="dxa"/>
            <w:shd w:val="clear" w:color="auto" w:fill="C4EFCE"/>
            <w:vAlign w:val="center"/>
            <w:hideMark/>
          </w:tcPr>
          <w:p w14:paraId="6A8E3604" w14:textId="77777777" w:rsidR="00F24946" w:rsidRDefault="00613B06">
            <w:pPr>
              <w:pStyle w:val="P68B1DB1-Normal23"/>
              <w:spacing w:after="0"/>
              <w:jc w:val="center"/>
              <w:rPr>
                <w:rFonts w:eastAsia="Calibri" w:cs="Calibri"/>
                <w:noProof/>
              </w:rPr>
            </w:pPr>
            <w:r>
              <w:rPr>
                <w:noProof/>
              </w:rPr>
              <w:t xml:space="preserve">Re-C03-i06 </w:t>
            </w:r>
          </w:p>
        </w:tc>
        <w:tc>
          <w:tcPr>
            <w:tcW w:w="1520" w:type="dxa"/>
            <w:shd w:val="clear" w:color="auto" w:fill="C4EFCE"/>
            <w:vAlign w:val="center"/>
            <w:hideMark/>
          </w:tcPr>
          <w:p w14:paraId="6CBB1E8D"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1900507" w14:textId="77777777" w:rsidR="00F24946" w:rsidRDefault="00613B06">
            <w:pPr>
              <w:pStyle w:val="P68B1DB1-Normal23"/>
              <w:spacing w:after="0"/>
              <w:jc w:val="both"/>
              <w:rPr>
                <w:rFonts w:eastAsia="Calibri" w:cs="Calibri"/>
                <w:noProof/>
              </w:rPr>
            </w:pPr>
            <w:r>
              <w:rPr>
                <w:noProof/>
              </w:rPr>
              <w:t>Oddaja naročil podpore za spodbujanje organov za vzpostavitev in širitev mreže socialnih ustanov/socialnih odzivov.</w:t>
            </w:r>
          </w:p>
        </w:tc>
      </w:tr>
      <w:tr w:rsidR="00F24946" w14:paraId="5CF43042" w14:textId="77777777">
        <w:trPr>
          <w:trHeight w:val="440"/>
        </w:trPr>
        <w:tc>
          <w:tcPr>
            <w:tcW w:w="1200" w:type="dxa"/>
            <w:shd w:val="clear" w:color="auto" w:fill="C4EFCE"/>
            <w:vAlign w:val="center"/>
            <w:hideMark/>
          </w:tcPr>
          <w:p w14:paraId="27EE7DD4" w14:textId="77777777" w:rsidR="00F24946" w:rsidRDefault="00613B06">
            <w:pPr>
              <w:pStyle w:val="P68B1DB1-Normal23"/>
              <w:spacing w:after="0"/>
              <w:jc w:val="center"/>
              <w:rPr>
                <w:rFonts w:eastAsia="Calibri" w:cs="Calibri"/>
                <w:noProof/>
              </w:rPr>
            </w:pPr>
            <w:r>
              <w:rPr>
                <w:noProof/>
              </w:rPr>
              <w:t>4.1</w:t>
            </w:r>
          </w:p>
        </w:tc>
        <w:tc>
          <w:tcPr>
            <w:tcW w:w="1760" w:type="dxa"/>
            <w:shd w:val="clear" w:color="auto" w:fill="C4EFCE"/>
            <w:vAlign w:val="center"/>
            <w:hideMark/>
          </w:tcPr>
          <w:p w14:paraId="035DEC49" w14:textId="625BA17C" w:rsidR="00F24946" w:rsidRDefault="00613B06">
            <w:pPr>
              <w:pStyle w:val="P68B1DB1-Normal23"/>
              <w:spacing w:after="0"/>
              <w:jc w:val="center"/>
              <w:rPr>
                <w:rFonts w:eastAsia="Calibri" w:cs="Calibri"/>
                <w:noProof/>
              </w:rPr>
            </w:pPr>
            <w:r>
              <w:rPr>
                <w:noProof/>
              </w:rPr>
              <w:t xml:space="preserve">Re-C04-i01 </w:t>
            </w:r>
          </w:p>
        </w:tc>
        <w:tc>
          <w:tcPr>
            <w:tcW w:w="1520" w:type="dxa"/>
            <w:shd w:val="clear" w:color="auto" w:fill="C4EFCE"/>
            <w:vAlign w:val="center"/>
            <w:hideMark/>
          </w:tcPr>
          <w:p w14:paraId="453E5DD3"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4A22F10" w14:textId="77777777" w:rsidR="00F24946" w:rsidRDefault="00613B06">
            <w:pPr>
              <w:pStyle w:val="P68B1DB1-Normal23"/>
              <w:spacing w:after="0"/>
              <w:jc w:val="both"/>
              <w:rPr>
                <w:rFonts w:eastAsia="Calibri" w:cs="Calibri"/>
                <w:noProof/>
              </w:rPr>
            </w:pPr>
            <w:r>
              <w:rPr>
                <w:noProof/>
              </w:rPr>
              <w:t>Tehnološke specifikacije za mrežo kulturnih objektov</w:t>
            </w:r>
          </w:p>
        </w:tc>
      </w:tr>
      <w:tr w:rsidR="00F24946" w14:paraId="1D67278E" w14:textId="77777777">
        <w:trPr>
          <w:trHeight w:val="440"/>
        </w:trPr>
        <w:tc>
          <w:tcPr>
            <w:tcW w:w="1200" w:type="dxa"/>
            <w:shd w:val="clear" w:color="auto" w:fill="C4EFCE"/>
            <w:vAlign w:val="center"/>
            <w:hideMark/>
          </w:tcPr>
          <w:p w14:paraId="1EEC3DB4" w14:textId="77777777" w:rsidR="00F24946" w:rsidRDefault="00613B06">
            <w:pPr>
              <w:pStyle w:val="P68B1DB1-Normal23"/>
              <w:spacing w:after="0"/>
              <w:jc w:val="center"/>
              <w:rPr>
                <w:rFonts w:eastAsia="Calibri" w:cs="Calibri"/>
                <w:noProof/>
              </w:rPr>
            </w:pPr>
            <w:r>
              <w:rPr>
                <w:noProof/>
              </w:rPr>
              <w:t>5.18</w:t>
            </w:r>
          </w:p>
        </w:tc>
        <w:tc>
          <w:tcPr>
            <w:tcW w:w="1760" w:type="dxa"/>
            <w:shd w:val="clear" w:color="auto" w:fill="C4EFCE"/>
            <w:vAlign w:val="center"/>
            <w:hideMark/>
          </w:tcPr>
          <w:p w14:paraId="6807E12E" w14:textId="77777777" w:rsidR="00F24946" w:rsidRDefault="00613B06">
            <w:pPr>
              <w:pStyle w:val="P68B1DB1-Normal23"/>
              <w:spacing w:after="0"/>
              <w:jc w:val="center"/>
              <w:rPr>
                <w:rFonts w:eastAsia="Calibri" w:cs="Calibri"/>
                <w:noProof/>
              </w:rPr>
            </w:pPr>
            <w:r>
              <w:rPr>
                <w:noProof/>
              </w:rPr>
              <w:t xml:space="preserve">Re-C05-i05-RAA </w:t>
            </w:r>
          </w:p>
        </w:tc>
        <w:tc>
          <w:tcPr>
            <w:tcW w:w="1520" w:type="dxa"/>
            <w:shd w:val="clear" w:color="auto" w:fill="C4EFCE"/>
            <w:vAlign w:val="center"/>
            <w:hideMark/>
          </w:tcPr>
          <w:p w14:paraId="115683CC"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F0AD3AB" w14:textId="77777777" w:rsidR="00F24946" w:rsidRDefault="00613B06">
            <w:pPr>
              <w:pStyle w:val="P68B1DB1-Normal23"/>
              <w:spacing w:after="0"/>
              <w:jc w:val="both"/>
              <w:rPr>
                <w:rFonts w:eastAsia="Calibri" w:cs="Calibri"/>
                <w:noProof/>
              </w:rPr>
            </w:pPr>
            <w:r>
              <w:rPr>
                <w:noProof/>
              </w:rPr>
              <w:t>Objava programa Azorov za inovacije in digitalizacijo kmetijstva</w:t>
            </w:r>
          </w:p>
        </w:tc>
      </w:tr>
      <w:tr w:rsidR="00F24946" w14:paraId="12652084" w14:textId="77777777">
        <w:trPr>
          <w:trHeight w:val="440"/>
        </w:trPr>
        <w:tc>
          <w:tcPr>
            <w:tcW w:w="1200" w:type="dxa"/>
            <w:shd w:val="clear" w:color="auto" w:fill="C4EFCE"/>
            <w:vAlign w:val="center"/>
            <w:hideMark/>
          </w:tcPr>
          <w:p w14:paraId="196543A9" w14:textId="77777777" w:rsidR="00F24946" w:rsidRDefault="00613B06">
            <w:pPr>
              <w:pStyle w:val="P68B1DB1-Normal23"/>
              <w:spacing w:after="0"/>
              <w:jc w:val="center"/>
              <w:rPr>
                <w:rFonts w:eastAsia="Calibri" w:cs="Calibri"/>
                <w:noProof/>
              </w:rPr>
            </w:pPr>
            <w:r>
              <w:rPr>
                <w:noProof/>
              </w:rPr>
              <w:t>8.14</w:t>
            </w:r>
          </w:p>
        </w:tc>
        <w:tc>
          <w:tcPr>
            <w:tcW w:w="1760" w:type="dxa"/>
            <w:shd w:val="clear" w:color="auto" w:fill="C4EFCE"/>
            <w:vAlign w:val="center"/>
            <w:hideMark/>
          </w:tcPr>
          <w:p w14:paraId="5CE17266" w14:textId="77777777" w:rsidR="00F24946" w:rsidRDefault="00613B06">
            <w:pPr>
              <w:pStyle w:val="P68B1DB1-Normal23"/>
              <w:spacing w:after="0"/>
              <w:jc w:val="center"/>
              <w:rPr>
                <w:rFonts w:eastAsia="Calibri" w:cs="Calibri"/>
                <w:noProof/>
              </w:rPr>
            </w:pPr>
            <w:r>
              <w:rPr>
                <w:noProof/>
              </w:rPr>
              <w:t xml:space="preserve">Re-C08-i02 </w:t>
            </w:r>
          </w:p>
        </w:tc>
        <w:tc>
          <w:tcPr>
            <w:tcW w:w="1520" w:type="dxa"/>
            <w:shd w:val="clear" w:color="auto" w:fill="C4EFCE"/>
            <w:vAlign w:val="center"/>
            <w:hideMark/>
          </w:tcPr>
          <w:p w14:paraId="4FEEA23F" w14:textId="77777777" w:rsidR="00F24946" w:rsidRDefault="00613B06">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0D33A02" w14:textId="77777777" w:rsidR="00F24946" w:rsidRDefault="00613B06">
            <w:pPr>
              <w:pStyle w:val="P68B1DB1-Normal23"/>
              <w:spacing w:after="0"/>
              <w:jc w:val="both"/>
              <w:rPr>
                <w:rFonts w:eastAsia="Calibri" w:cs="Calibri"/>
                <w:noProof/>
              </w:rPr>
            </w:pPr>
            <w:r>
              <w:rPr>
                <w:noProof/>
              </w:rPr>
              <w:t>Vzpostavitev regionalnih in podregionalnih struktur nacionalnega organa za nujno in civilno zaščito (ANEPC)</w:t>
            </w:r>
          </w:p>
        </w:tc>
      </w:tr>
      <w:tr w:rsidR="00F24946" w14:paraId="35EFEA47" w14:textId="77777777">
        <w:trPr>
          <w:trHeight w:val="440"/>
        </w:trPr>
        <w:tc>
          <w:tcPr>
            <w:tcW w:w="1200" w:type="dxa"/>
            <w:shd w:val="clear" w:color="auto" w:fill="C4EFCE"/>
            <w:vAlign w:val="center"/>
            <w:hideMark/>
          </w:tcPr>
          <w:p w14:paraId="4C9D2DDC" w14:textId="77777777" w:rsidR="00F24946" w:rsidRDefault="00613B06">
            <w:pPr>
              <w:pStyle w:val="P68B1DB1-Normal23"/>
              <w:spacing w:after="0"/>
              <w:jc w:val="center"/>
              <w:rPr>
                <w:rFonts w:eastAsia="Calibri" w:cs="Calibri"/>
                <w:noProof/>
              </w:rPr>
            </w:pPr>
            <w:r>
              <w:rPr>
                <w:noProof/>
              </w:rPr>
              <w:t>8.15</w:t>
            </w:r>
          </w:p>
        </w:tc>
        <w:tc>
          <w:tcPr>
            <w:tcW w:w="1760" w:type="dxa"/>
            <w:shd w:val="clear" w:color="auto" w:fill="C4EFCE"/>
            <w:vAlign w:val="center"/>
            <w:hideMark/>
          </w:tcPr>
          <w:p w14:paraId="44F53CD2" w14:textId="77777777" w:rsidR="00F24946" w:rsidRDefault="00613B06">
            <w:pPr>
              <w:pStyle w:val="P68B1DB1-Normal23"/>
              <w:spacing w:after="0"/>
              <w:jc w:val="center"/>
              <w:rPr>
                <w:rFonts w:eastAsia="Calibri" w:cs="Calibri"/>
                <w:noProof/>
              </w:rPr>
            </w:pPr>
            <w:r>
              <w:rPr>
                <w:noProof/>
              </w:rPr>
              <w:t xml:space="preserve">Re-C08-i03 </w:t>
            </w:r>
          </w:p>
        </w:tc>
        <w:tc>
          <w:tcPr>
            <w:tcW w:w="1520" w:type="dxa"/>
            <w:shd w:val="clear" w:color="auto" w:fill="C4EFCE"/>
            <w:vAlign w:val="center"/>
            <w:hideMark/>
          </w:tcPr>
          <w:p w14:paraId="0F2B0D59"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1ABC6A2" w14:textId="77777777" w:rsidR="00F24946" w:rsidRDefault="00613B06">
            <w:pPr>
              <w:pStyle w:val="P68B1DB1-Normal23"/>
              <w:spacing w:after="0"/>
              <w:jc w:val="both"/>
              <w:rPr>
                <w:rFonts w:eastAsia="Calibri" w:cs="Calibri"/>
                <w:noProof/>
              </w:rPr>
            </w:pPr>
            <w:r>
              <w:rPr>
                <w:noProof/>
              </w:rPr>
              <w:t>Objava začetnega poročila Inštituta za ohranjanje narave in gozdove, I.P.</w:t>
            </w:r>
          </w:p>
        </w:tc>
      </w:tr>
      <w:tr w:rsidR="00F24946" w14:paraId="07159476" w14:textId="77777777">
        <w:trPr>
          <w:trHeight w:val="440"/>
        </w:trPr>
        <w:tc>
          <w:tcPr>
            <w:tcW w:w="1200" w:type="dxa"/>
            <w:shd w:val="clear" w:color="auto" w:fill="C4EFCE"/>
            <w:vAlign w:val="center"/>
            <w:hideMark/>
          </w:tcPr>
          <w:p w14:paraId="4FFB6CD4" w14:textId="77777777" w:rsidR="00F24946" w:rsidRDefault="00613B06">
            <w:pPr>
              <w:pStyle w:val="P68B1DB1-Normal23"/>
              <w:spacing w:after="0"/>
              <w:jc w:val="center"/>
              <w:rPr>
                <w:rFonts w:eastAsia="Calibri" w:cs="Calibri"/>
                <w:noProof/>
              </w:rPr>
            </w:pPr>
            <w:r>
              <w:rPr>
                <w:noProof/>
              </w:rPr>
              <w:t>8.4</w:t>
            </w:r>
          </w:p>
        </w:tc>
        <w:tc>
          <w:tcPr>
            <w:tcW w:w="1760" w:type="dxa"/>
            <w:shd w:val="clear" w:color="auto" w:fill="C4EFCE"/>
            <w:vAlign w:val="center"/>
            <w:hideMark/>
          </w:tcPr>
          <w:p w14:paraId="7B8AD2FC" w14:textId="77777777" w:rsidR="00F24946" w:rsidRDefault="00613B06">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17CD02D0"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2EF1A361" w14:textId="77777777" w:rsidR="00F24946" w:rsidRDefault="00613B06">
            <w:pPr>
              <w:pStyle w:val="P68B1DB1-Normal23"/>
              <w:spacing w:after="0"/>
              <w:jc w:val="both"/>
              <w:rPr>
                <w:rFonts w:eastAsia="Calibri" w:cs="Calibri"/>
                <w:noProof/>
              </w:rPr>
            </w:pPr>
            <w:r>
              <w:rPr>
                <w:noProof/>
              </w:rPr>
              <w:t>Prehod na platformo BUPi 2.0</w:t>
            </w:r>
          </w:p>
        </w:tc>
      </w:tr>
      <w:tr w:rsidR="00F24946" w14:paraId="6124AF89" w14:textId="77777777">
        <w:trPr>
          <w:trHeight w:val="440"/>
        </w:trPr>
        <w:tc>
          <w:tcPr>
            <w:tcW w:w="1200" w:type="dxa"/>
            <w:shd w:val="clear" w:color="auto" w:fill="C4EFCE"/>
            <w:vAlign w:val="center"/>
            <w:hideMark/>
          </w:tcPr>
          <w:p w14:paraId="61ED2CA3" w14:textId="77777777" w:rsidR="00F24946" w:rsidRDefault="00613B06">
            <w:pPr>
              <w:pStyle w:val="P68B1DB1-Normal23"/>
              <w:spacing w:after="0"/>
              <w:jc w:val="center"/>
              <w:rPr>
                <w:rFonts w:eastAsia="Calibri" w:cs="Calibri"/>
                <w:noProof/>
              </w:rPr>
            </w:pPr>
            <w:r>
              <w:rPr>
                <w:noProof/>
              </w:rPr>
              <w:t>8.7</w:t>
            </w:r>
          </w:p>
        </w:tc>
        <w:tc>
          <w:tcPr>
            <w:tcW w:w="1760" w:type="dxa"/>
            <w:shd w:val="clear" w:color="auto" w:fill="C4EFCE"/>
            <w:vAlign w:val="center"/>
            <w:hideMark/>
          </w:tcPr>
          <w:p w14:paraId="62D644C7" w14:textId="77777777" w:rsidR="00F24946" w:rsidRDefault="00613B06">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51195EC8"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5560C5A" w14:textId="77777777" w:rsidR="00F24946" w:rsidRDefault="00613B06">
            <w:pPr>
              <w:pStyle w:val="P68B1DB1-Normal23"/>
              <w:spacing w:after="0"/>
              <w:jc w:val="both"/>
              <w:rPr>
                <w:rFonts w:eastAsia="Calibri" w:cs="Calibri"/>
                <w:noProof/>
              </w:rPr>
            </w:pPr>
            <w:r>
              <w:rPr>
                <w:noProof/>
              </w:rPr>
              <w:t>Objava pogodbe o mreži za strukturiranje upravljanja primarnih goriv (RPFGC)</w:t>
            </w:r>
          </w:p>
        </w:tc>
      </w:tr>
      <w:tr w:rsidR="00F24946" w14:paraId="119565A8" w14:textId="77777777">
        <w:trPr>
          <w:trHeight w:val="440"/>
        </w:trPr>
        <w:tc>
          <w:tcPr>
            <w:tcW w:w="1200" w:type="dxa"/>
            <w:shd w:val="clear" w:color="auto" w:fill="C4EFCE"/>
            <w:vAlign w:val="center"/>
            <w:hideMark/>
          </w:tcPr>
          <w:p w14:paraId="576F089D" w14:textId="77777777" w:rsidR="00F24946" w:rsidRDefault="00613B06">
            <w:pPr>
              <w:pStyle w:val="P68B1DB1-Normal23"/>
              <w:spacing w:after="0"/>
              <w:jc w:val="center"/>
              <w:rPr>
                <w:rFonts w:eastAsia="Calibri" w:cs="Calibri"/>
                <w:noProof/>
              </w:rPr>
            </w:pPr>
            <w:r>
              <w:rPr>
                <w:noProof/>
              </w:rPr>
              <w:t>9.9</w:t>
            </w:r>
          </w:p>
        </w:tc>
        <w:tc>
          <w:tcPr>
            <w:tcW w:w="1760" w:type="dxa"/>
            <w:shd w:val="clear" w:color="auto" w:fill="C4EFCE"/>
            <w:vAlign w:val="center"/>
            <w:hideMark/>
          </w:tcPr>
          <w:p w14:paraId="59AA53D0" w14:textId="77777777" w:rsidR="00F24946" w:rsidRDefault="00613B06">
            <w:pPr>
              <w:pStyle w:val="P68B1DB1-Normal23"/>
              <w:spacing w:after="0"/>
              <w:jc w:val="center"/>
              <w:rPr>
                <w:rFonts w:eastAsia="Calibri" w:cs="Calibri"/>
                <w:noProof/>
              </w:rPr>
            </w:pPr>
            <w:r>
              <w:rPr>
                <w:noProof/>
              </w:rPr>
              <w:t xml:space="preserve">Re-C09-i02 </w:t>
            </w:r>
          </w:p>
        </w:tc>
        <w:tc>
          <w:tcPr>
            <w:tcW w:w="1520" w:type="dxa"/>
            <w:shd w:val="clear" w:color="auto" w:fill="C4EFCE"/>
            <w:vAlign w:val="center"/>
            <w:hideMark/>
          </w:tcPr>
          <w:p w14:paraId="765E382A"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179D88CA" w14:textId="77777777" w:rsidR="00F24946" w:rsidRDefault="00613B06">
            <w:pPr>
              <w:pStyle w:val="P68B1DB1-Normal23"/>
              <w:spacing w:after="0"/>
              <w:jc w:val="both"/>
              <w:rPr>
                <w:rFonts w:eastAsia="Calibri" w:cs="Calibri"/>
                <w:noProof/>
              </w:rPr>
            </w:pPr>
            <w:r>
              <w:rPr>
                <w:noProof/>
              </w:rPr>
              <w:t>Objava dokumentacije o načrtovanju ukrepa, ki v celoti vključuje vse rezultate in pogoje iz presoje vplivov na okolje</w:t>
            </w:r>
          </w:p>
        </w:tc>
      </w:tr>
      <w:tr w:rsidR="00F24946" w14:paraId="22E0EAB1" w14:textId="77777777">
        <w:trPr>
          <w:trHeight w:val="440"/>
        </w:trPr>
        <w:tc>
          <w:tcPr>
            <w:tcW w:w="1200" w:type="dxa"/>
            <w:shd w:val="clear" w:color="auto" w:fill="C4EFCE"/>
            <w:vAlign w:val="center"/>
            <w:hideMark/>
          </w:tcPr>
          <w:p w14:paraId="2B69A152" w14:textId="77777777" w:rsidR="00F24946" w:rsidRDefault="00613B06">
            <w:pPr>
              <w:pStyle w:val="P68B1DB1-Normal23"/>
              <w:spacing w:after="0"/>
              <w:jc w:val="center"/>
              <w:rPr>
                <w:rFonts w:eastAsia="Calibri" w:cs="Calibri"/>
                <w:noProof/>
              </w:rPr>
            </w:pPr>
            <w:r>
              <w:rPr>
                <w:noProof/>
              </w:rPr>
              <w:t>12.2</w:t>
            </w:r>
          </w:p>
        </w:tc>
        <w:tc>
          <w:tcPr>
            <w:tcW w:w="1760" w:type="dxa"/>
            <w:shd w:val="clear" w:color="auto" w:fill="C4EFCE"/>
            <w:vAlign w:val="center"/>
            <w:hideMark/>
          </w:tcPr>
          <w:p w14:paraId="0E5E7E9D" w14:textId="77777777" w:rsidR="00F24946" w:rsidRDefault="00613B06">
            <w:pPr>
              <w:pStyle w:val="P68B1DB1-Normal23"/>
              <w:spacing w:after="0"/>
              <w:jc w:val="center"/>
              <w:rPr>
                <w:rFonts w:eastAsia="Calibri" w:cs="Calibri"/>
                <w:noProof/>
              </w:rPr>
            </w:pPr>
            <w:r>
              <w:rPr>
                <w:noProof/>
              </w:rPr>
              <w:t xml:space="preserve">TC-C12-i01 </w:t>
            </w:r>
          </w:p>
        </w:tc>
        <w:tc>
          <w:tcPr>
            <w:tcW w:w="1520" w:type="dxa"/>
            <w:shd w:val="clear" w:color="auto" w:fill="C4EFCE"/>
            <w:vAlign w:val="center"/>
            <w:hideMark/>
          </w:tcPr>
          <w:p w14:paraId="5A2C0CDF"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6F6BDEC" w14:textId="77777777" w:rsidR="00F24946" w:rsidRDefault="00613B06">
            <w:pPr>
              <w:pStyle w:val="P68B1DB1-Normal23"/>
              <w:spacing w:after="0"/>
              <w:jc w:val="both"/>
              <w:rPr>
                <w:rFonts w:eastAsia="Calibri" w:cs="Calibri"/>
                <w:noProof/>
              </w:rPr>
            </w:pPr>
            <w:r>
              <w:rPr>
                <w:noProof/>
              </w:rPr>
              <w:t>Odobritev projektov, ki jih je predložila Konzorcija za razvoj novih biogospodarskih proizvodov, tehnologij in procesov v tekstilnem sektorju, sektorju oblačil, obutve in naravne smole</w:t>
            </w:r>
          </w:p>
        </w:tc>
      </w:tr>
      <w:tr w:rsidR="00F24946" w14:paraId="714F199C" w14:textId="77777777">
        <w:trPr>
          <w:trHeight w:val="440"/>
        </w:trPr>
        <w:tc>
          <w:tcPr>
            <w:tcW w:w="1200" w:type="dxa"/>
            <w:shd w:val="clear" w:color="auto" w:fill="C4EFCE"/>
            <w:vAlign w:val="center"/>
            <w:hideMark/>
          </w:tcPr>
          <w:p w14:paraId="2998479E" w14:textId="77777777" w:rsidR="00F24946" w:rsidRDefault="00613B06">
            <w:pPr>
              <w:pStyle w:val="P68B1DB1-Normal23"/>
              <w:spacing w:after="0"/>
              <w:jc w:val="center"/>
              <w:rPr>
                <w:rFonts w:eastAsia="Calibri" w:cs="Calibri"/>
                <w:noProof/>
              </w:rPr>
            </w:pPr>
            <w:r>
              <w:rPr>
                <w:noProof/>
              </w:rPr>
              <w:t>15.10</w:t>
            </w:r>
          </w:p>
        </w:tc>
        <w:tc>
          <w:tcPr>
            <w:tcW w:w="1760" w:type="dxa"/>
            <w:shd w:val="clear" w:color="auto" w:fill="C4EFCE"/>
            <w:vAlign w:val="center"/>
            <w:hideMark/>
          </w:tcPr>
          <w:p w14:paraId="52003E88" w14:textId="77777777" w:rsidR="00F24946" w:rsidRDefault="00613B06">
            <w:pPr>
              <w:pStyle w:val="P68B1DB1-Normal23"/>
              <w:spacing w:after="0"/>
              <w:jc w:val="center"/>
              <w:rPr>
                <w:rFonts w:eastAsia="Calibri" w:cs="Calibri"/>
                <w:noProof/>
              </w:rPr>
            </w:pPr>
            <w:r>
              <w:rPr>
                <w:noProof/>
              </w:rPr>
              <w:t xml:space="preserve">TC-C15-i04 </w:t>
            </w:r>
          </w:p>
        </w:tc>
        <w:tc>
          <w:tcPr>
            <w:tcW w:w="1520" w:type="dxa"/>
            <w:shd w:val="clear" w:color="auto" w:fill="C4EFCE"/>
            <w:vAlign w:val="center"/>
            <w:hideMark/>
          </w:tcPr>
          <w:p w14:paraId="6E6BC1D8"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6F85E86" w14:textId="77777777" w:rsidR="00F24946" w:rsidRDefault="00613B06">
            <w:pPr>
              <w:pStyle w:val="P68B1DB1-Normal23"/>
              <w:spacing w:after="0"/>
              <w:jc w:val="both"/>
              <w:rPr>
                <w:rFonts w:eastAsia="Calibri" w:cs="Calibri"/>
                <w:noProof/>
              </w:rPr>
            </w:pPr>
            <w:r>
              <w:rPr>
                <w:noProof/>
              </w:rPr>
              <w:t>Podpis pogodbe za izgradnjo avtobusne proge za hitri tranzit med Praça do Império in Praça Albuquerque Mouzinho v Portu</w:t>
            </w:r>
          </w:p>
        </w:tc>
      </w:tr>
      <w:tr w:rsidR="00F24946" w14:paraId="533E7E79" w14:textId="77777777">
        <w:trPr>
          <w:trHeight w:val="440"/>
        </w:trPr>
        <w:tc>
          <w:tcPr>
            <w:tcW w:w="1200" w:type="dxa"/>
            <w:shd w:val="clear" w:color="auto" w:fill="C4EFCE"/>
            <w:vAlign w:val="center"/>
            <w:hideMark/>
          </w:tcPr>
          <w:p w14:paraId="02967B33" w14:textId="77777777" w:rsidR="00F24946" w:rsidRDefault="00613B06">
            <w:pPr>
              <w:pStyle w:val="P68B1DB1-Normal23"/>
              <w:spacing w:after="0"/>
              <w:jc w:val="center"/>
              <w:rPr>
                <w:rFonts w:eastAsia="Calibri" w:cs="Calibri"/>
                <w:noProof/>
              </w:rPr>
            </w:pPr>
            <w:r>
              <w:rPr>
                <w:noProof/>
              </w:rPr>
              <w:t>16.1</w:t>
            </w:r>
          </w:p>
        </w:tc>
        <w:tc>
          <w:tcPr>
            <w:tcW w:w="1760" w:type="dxa"/>
            <w:shd w:val="clear" w:color="auto" w:fill="C4EFCE"/>
            <w:vAlign w:val="center"/>
            <w:hideMark/>
          </w:tcPr>
          <w:p w14:paraId="6200FB03" w14:textId="77777777" w:rsidR="00F24946" w:rsidRDefault="00613B06">
            <w:pPr>
              <w:pStyle w:val="P68B1DB1-Normal23"/>
              <w:spacing w:after="0"/>
              <w:jc w:val="center"/>
              <w:rPr>
                <w:rFonts w:eastAsia="Calibri" w:cs="Calibri"/>
                <w:noProof/>
              </w:rPr>
            </w:pPr>
            <w:r>
              <w:rPr>
                <w:noProof/>
              </w:rPr>
              <w:t xml:space="preserve">TD-C16-r31 </w:t>
            </w:r>
          </w:p>
        </w:tc>
        <w:tc>
          <w:tcPr>
            <w:tcW w:w="1520" w:type="dxa"/>
            <w:shd w:val="clear" w:color="auto" w:fill="C4EFCE"/>
            <w:vAlign w:val="center"/>
            <w:hideMark/>
          </w:tcPr>
          <w:p w14:paraId="5AAA97BA"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D8BB228" w14:textId="77777777" w:rsidR="00F24946" w:rsidRDefault="00613B06">
            <w:pPr>
              <w:pStyle w:val="P68B1DB1-Normal23"/>
              <w:spacing w:after="0"/>
              <w:jc w:val="both"/>
              <w:rPr>
                <w:rFonts w:eastAsia="Calibri" w:cs="Calibri"/>
                <w:noProof/>
              </w:rPr>
            </w:pPr>
            <w:r>
              <w:rPr>
                <w:noProof/>
              </w:rPr>
              <w:t>Začetek veljavnosti pregleda vsebine usposabljanja, vključene v nacionalni katalog kvalifikacij v zvezi z moduli na področju digitalnih znanj in spretnosti ter zakonodajo ali uredbo za ustvarjanje digitalnih podpisov in žigov</w:t>
            </w:r>
          </w:p>
        </w:tc>
      </w:tr>
      <w:tr w:rsidR="00F24946" w14:paraId="5CC4D3D1" w14:textId="77777777">
        <w:trPr>
          <w:trHeight w:val="440"/>
        </w:trPr>
        <w:tc>
          <w:tcPr>
            <w:tcW w:w="1200" w:type="dxa"/>
            <w:shd w:val="clear" w:color="auto" w:fill="C4EFCE"/>
            <w:vAlign w:val="center"/>
            <w:hideMark/>
          </w:tcPr>
          <w:p w14:paraId="1F86CEE9" w14:textId="77777777" w:rsidR="00F24946" w:rsidRDefault="00613B06">
            <w:pPr>
              <w:pStyle w:val="P68B1DB1-Normal23"/>
              <w:spacing w:after="0"/>
              <w:jc w:val="center"/>
              <w:rPr>
                <w:rFonts w:eastAsia="Calibri" w:cs="Calibri"/>
                <w:noProof/>
              </w:rPr>
            </w:pPr>
            <w:r>
              <w:rPr>
                <w:noProof/>
              </w:rPr>
              <w:t>16.2</w:t>
            </w:r>
          </w:p>
        </w:tc>
        <w:tc>
          <w:tcPr>
            <w:tcW w:w="1760" w:type="dxa"/>
            <w:shd w:val="clear" w:color="auto" w:fill="C4EFCE"/>
            <w:vAlign w:val="center"/>
            <w:hideMark/>
          </w:tcPr>
          <w:p w14:paraId="11BC8A27" w14:textId="77777777" w:rsidR="00F24946" w:rsidRDefault="00613B06">
            <w:pPr>
              <w:pStyle w:val="P68B1DB1-Normal23"/>
              <w:spacing w:after="0"/>
              <w:jc w:val="center"/>
              <w:rPr>
                <w:rFonts w:eastAsia="Calibri" w:cs="Calibri"/>
                <w:noProof/>
              </w:rPr>
            </w:pPr>
            <w:r>
              <w:rPr>
                <w:noProof/>
              </w:rPr>
              <w:t xml:space="preserve">TD-C16-i01 </w:t>
            </w:r>
          </w:p>
        </w:tc>
        <w:tc>
          <w:tcPr>
            <w:tcW w:w="1520" w:type="dxa"/>
            <w:shd w:val="clear" w:color="auto" w:fill="C4EFCE"/>
            <w:vAlign w:val="center"/>
            <w:hideMark/>
          </w:tcPr>
          <w:p w14:paraId="090CB4EA"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47853812" w14:textId="77777777" w:rsidR="00F24946" w:rsidRDefault="00613B06">
            <w:pPr>
              <w:pStyle w:val="P68B1DB1-Normal23"/>
              <w:spacing w:after="0"/>
              <w:jc w:val="both"/>
              <w:rPr>
                <w:rFonts w:eastAsia="Calibri" w:cs="Calibri"/>
                <w:noProof/>
              </w:rPr>
            </w:pPr>
            <w:r>
              <w:rPr>
                <w:noProof/>
              </w:rPr>
              <w:t>Začetek portugalske digitalne akademije in programov za zaposlovanje + Digitalno področje</w:t>
            </w:r>
          </w:p>
        </w:tc>
      </w:tr>
      <w:tr w:rsidR="00F24946" w14:paraId="3200DC7C" w14:textId="77777777">
        <w:trPr>
          <w:trHeight w:val="440"/>
        </w:trPr>
        <w:tc>
          <w:tcPr>
            <w:tcW w:w="1200" w:type="dxa"/>
            <w:shd w:val="clear" w:color="auto" w:fill="C4EFCE"/>
            <w:vAlign w:val="center"/>
            <w:hideMark/>
          </w:tcPr>
          <w:p w14:paraId="05FEEB7F" w14:textId="77777777" w:rsidR="00F24946" w:rsidRDefault="00613B06">
            <w:pPr>
              <w:pStyle w:val="P68B1DB1-Normal23"/>
              <w:spacing w:after="0"/>
              <w:jc w:val="center"/>
              <w:rPr>
                <w:rFonts w:eastAsia="Calibri" w:cs="Calibri"/>
                <w:noProof/>
              </w:rPr>
            </w:pPr>
            <w:r>
              <w:rPr>
                <w:noProof/>
              </w:rPr>
              <w:t>17.15</w:t>
            </w:r>
          </w:p>
        </w:tc>
        <w:tc>
          <w:tcPr>
            <w:tcW w:w="1760" w:type="dxa"/>
            <w:shd w:val="clear" w:color="auto" w:fill="C4EFCE"/>
            <w:vAlign w:val="center"/>
            <w:hideMark/>
          </w:tcPr>
          <w:p w14:paraId="1F9D1033" w14:textId="77777777" w:rsidR="00F24946" w:rsidRDefault="00613B06">
            <w:pPr>
              <w:pStyle w:val="P68B1DB1-Normal23"/>
              <w:spacing w:after="0"/>
              <w:jc w:val="center"/>
              <w:rPr>
                <w:rFonts w:eastAsia="Calibri" w:cs="Calibri"/>
                <w:noProof/>
              </w:rPr>
            </w:pPr>
            <w:r>
              <w:rPr>
                <w:noProof/>
              </w:rPr>
              <w:t xml:space="preserve">TD-C17-i02 </w:t>
            </w:r>
          </w:p>
        </w:tc>
        <w:tc>
          <w:tcPr>
            <w:tcW w:w="1520" w:type="dxa"/>
            <w:shd w:val="clear" w:color="auto" w:fill="C4EFCE"/>
            <w:vAlign w:val="center"/>
            <w:hideMark/>
          </w:tcPr>
          <w:p w14:paraId="67833CAE" w14:textId="77777777" w:rsidR="00F24946" w:rsidRDefault="00613B06">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0BBDC58" w14:textId="77777777" w:rsidR="00F24946" w:rsidRDefault="00613B06">
            <w:pPr>
              <w:pStyle w:val="P68B1DB1-Normal23"/>
              <w:spacing w:after="0"/>
              <w:jc w:val="both"/>
              <w:rPr>
                <w:rFonts w:eastAsia="Calibri" w:cs="Calibri"/>
                <w:noProof/>
              </w:rPr>
            </w:pPr>
            <w:r>
              <w:rPr>
                <w:noProof/>
              </w:rPr>
              <w:t>Dokončati predhodno izpolnitev prijave vzorca 1 občinskega davka na nepremičnine (IMI) na podlagi podatkov, ki jih ima na voljo davčna in carinska uprava;</w:t>
            </w:r>
          </w:p>
        </w:tc>
      </w:tr>
      <w:tr w:rsidR="00F24946" w14:paraId="67713344" w14:textId="77777777">
        <w:trPr>
          <w:trHeight w:val="440"/>
        </w:trPr>
        <w:tc>
          <w:tcPr>
            <w:tcW w:w="1200" w:type="dxa"/>
            <w:shd w:val="clear" w:color="auto" w:fill="C4EFCE"/>
            <w:vAlign w:val="center"/>
            <w:hideMark/>
          </w:tcPr>
          <w:p w14:paraId="66174395" w14:textId="77777777" w:rsidR="00F24946" w:rsidRDefault="00613B06">
            <w:pPr>
              <w:pStyle w:val="P68B1DB1-Normal23"/>
              <w:spacing w:after="0"/>
              <w:jc w:val="center"/>
              <w:rPr>
                <w:rFonts w:eastAsia="Calibri" w:cs="Calibri"/>
                <w:noProof/>
              </w:rPr>
            </w:pPr>
            <w:r>
              <w:rPr>
                <w:noProof/>
              </w:rPr>
              <w:t>19.11</w:t>
            </w:r>
          </w:p>
        </w:tc>
        <w:tc>
          <w:tcPr>
            <w:tcW w:w="1760" w:type="dxa"/>
            <w:shd w:val="clear" w:color="auto" w:fill="C4EFCE"/>
            <w:vAlign w:val="center"/>
            <w:hideMark/>
          </w:tcPr>
          <w:p w14:paraId="2588905C" w14:textId="77777777" w:rsidR="00F24946" w:rsidRDefault="00613B06">
            <w:pPr>
              <w:pStyle w:val="P68B1DB1-Normal23"/>
              <w:spacing w:after="0"/>
              <w:jc w:val="center"/>
              <w:rPr>
                <w:rFonts w:eastAsia="Calibri" w:cs="Calibri"/>
                <w:noProof/>
              </w:rPr>
            </w:pPr>
            <w:r>
              <w:rPr>
                <w:noProof/>
              </w:rPr>
              <w:t xml:space="preserve">TD-C19-i04 </w:t>
            </w:r>
          </w:p>
        </w:tc>
        <w:tc>
          <w:tcPr>
            <w:tcW w:w="1520" w:type="dxa"/>
            <w:shd w:val="clear" w:color="auto" w:fill="C4EFCE"/>
            <w:vAlign w:val="center"/>
            <w:hideMark/>
          </w:tcPr>
          <w:p w14:paraId="0316DC1D" w14:textId="77777777" w:rsidR="00F24946" w:rsidRDefault="00613B06">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F06EAFA" w14:textId="77777777" w:rsidR="00F24946" w:rsidRDefault="00613B06">
            <w:pPr>
              <w:pStyle w:val="P68B1DB1-Normal23"/>
              <w:spacing w:after="0"/>
              <w:jc w:val="both"/>
              <w:rPr>
                <w:rFonts w:eastAsia="Calibri" w:cs="Calibri"/>
                <w:noProof/>
              </w:rPr>
            </w:pPr>
            <w:r>
              <w:rPr>
                <w:noProof/>
              </w:rPr>
              <w:t>Sistem varnih mobilnih komunikacij za vladne uslužbence</w:t>
            </w:r>
          </w:p>
        </w:tc>
      </w:tr>
      <w:tr w:rsidR="00F24946" w14:paraId="53A0C5D6" w14:textId="77777777">
        <w:trPr>
          <w:trHeight w:val="440"/>
        </w:trPr>
        <w:tc>
          <w:tcPr>
            <w:tcW w:w="1200" w:type="dxa"/>
            <w:shd w:val="clear" w:color="auto" w:fill="C4EFCE"/>
            <w:vAlign w:val="center"/>
            <w:hideMark/>
          </w:tcPr>
          <w:p w14:paraId="7CC89C41"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71F60AD"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49CC9873"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4901582E" w14:textId="2E4933F5" w:rsidR="00F24946" w:rsidRDefault="00613B06">
            <w:pPr>
              <w:pStyle w:val="P68B1DB1-Normal25"/>
              <w:spacing w:after="0" w:line="240" w:lineRule="auto"/>
              <w:jc w:val="center"/>
              <w:rPr>
                <w:rFonts w:cs="Calibri"/>
                <w:noProof/>
              </w:rPr>
            </w:pPr>
            <w:r>
              <w:rPr>
                <w:noProof/>
              </w:rPr>
              <w:t xml:space="preserve"> 1 967 365 517 EUR</w:t>
            </w:r>
          </w:p>
        </w:tc>
      </w:tr>
    </w:tbl>
    <w:p w14:paraId="59D27683"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7A195C46"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Tretji zahtevek za plačilo (nepovratna podpora): </w:t>
      </w:r>
    </w:p>
    <w:p w14:paraId="39F5DDB8"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1430A9DC" w14:textId="77777777">
        <w:trPr>
          <w:trHeight w:val="1018"/>
          <w:tblHeader/>
        </w:trPr>
        <w:tc>
          <w:tcPr>
            <w:tcW w:w="1200" w:type="dxa"/>
            <w:shd w:val="clear" w:color="auto" w:fill="BDD7EE"/>
            <w:vAlign w:val="center"/>
            <w:hideMark/>
          </w:tcPr>
          <w:p w14:paraId="2847B217"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shd w:val="clear" w:color="auto" w:fill="BDD7EE"/>
            <w:vAlign w:val="center"/>
            <w:hideMark/>
          </w:tcPr>
          <w:p w14:paraId="6187D274"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shd w:val="clear" w:color="auto" w:fill="BDD7EE"/>
            <w:vAlign w:val="center"/>
            <w:hideMark/>
          </w:tcPr>
          <w:p w14:paraId="32A18B87"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shd w:val="clear" w:color="auto" w:fill="BDD7EE"/>
            <w:vAlign w:val="center"/>
            <w:hideMark/>
          </w:tcPr>
          <w:p w14:paraId="7A727648"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433173AD" w14:textId="77777777">
        <w:trPr>
          <w:trHeight w:val="440"/>
        </w:trPr>
        <w:tc>
          <w:tcPr>
            <w:tcW w:w="1200" w:type="dxa"/>
            <w:shd w:val="clear" w:color="auto" w:fill="C4EFCE"/>
            <w:vAlign w:val="center"/>
            <w:hideMark/>
          </w:tcPr>
          <w:p w14:paraId="29F12095" w14:textId="77777777" w:rsidR="00F24946" w:rsidRDefault="00613B06">
            <w:pPr>
              <w:pStyle w:val="P68B1DB1-Normal23"/>
              <w:spacing w:after="0"/>
              <w:jc w:val="center"/>
              <w:rPr>
                <w:noProof/>
              </w:rPr>
            </w:pPr>
            <w:r>
              <w:rPr>
                <w:noProof/>
              </w:rPr>
              <w:t>1.3</w:t>
            </w:r>
          </w:p>
        </w:tc>
        <w:tc>
          <w:tcPr>
            <w:tcW w:w="1760" w:type="dxa"/>
            <w:shd w:val="clear" w:color="auto" w:fill="C4EFCE"/>
            <w:vAlign w:val="center"/>
            <w:hideMark/>
          </w:tcPr>
          <w:p w14:paraId="227BCECB" w14:textId="77777777" w:rsidR="00F24946" w:rsidRDefault="00613B06">
            <w:pPr>
              <w:pStyle w:val="P68B1DB1-Normal23"/>
              <w:spacing w:after="0"/>
              <w:jc w:val="center"/>
              <w:rPr>
                <w:noProof/>
              </w:rPr>
            </w:pPr>
            <w:r>
              <w:rPr>
                <w:noProof/>
              </w:rPr>
              <w:t xml:space="preserve">Re-C01-r01 </w:t>
            </w:r>
          </w:p>
        </w:tc>
        <w:tc>
          <w:tcPr>
            <w:tcW w:w="1520" w:type="dxa"/>
            <w:shd w:val="clear" w:color="auto" w:fill="C4EFCE"/>
            <w:vAlign w:val="center"/>
            <w:hideMark/>
          </w:tcPr>
          <w:p w14:paraId="02B91359"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127E965" w14:textId="77777777" w:rsidR="00F24946" w:rsidRDefault="00613B06">
            <w:pPr>
              <w:pStyle w:val="P68B1DB1-Normal23"/>
              <w:spacing w:after="0"/>
              <w:jc w:val="both"/>
              <w:rPr>
                <w:rFonts w:eastAsia="Calibri" w:cs="Calibri"/>
                <w:noProof/>
              </w:rPr>
            </w:pPr>
            <w:r>
              <w:rPr>
                <w:noProof/>
              </w:rPr>
              <w:t>Zaključek procesa decentralizacije odgovornosti na področju zdravja v občinah</w:t>
            </w:r>
          </w:p>
        </w:tc>
      </w:tr>
      <w:tr w:rsidR="00F24946" w14:paraId="35C8B374" w14:textId="77777777">
        <w:trPr>
          <w:trHeight w:val="440"/>
        </w:trPr>
        <w:tc>
          <w:tcPr>
            <w:tcW w:w="1200" w:type="dxa"/>
            <w:shd w:val="clear" w:color="auto" w:fill="C4EFCE"/>
            <w:vAlign w:val="center"/>
            <w:hideMark/>
          </w:tcPr>
          <w:p w14:paraId="5B2F963A" w14:textId="77777777" w:rsidR="00F24946" w:rsidRDefault="00613B06">
            <w:pPr>
              <w:pStyle w:val="P68B1DB1-Normal23"/>
              <w:spacing w:after="0"/>
              <w:jc w:val="center"/>
              <w:rPr>
                <w:noProof/>
              </w:rPr>
            </w:pPr>
            <w:r>
              <w:rPr>
                <w:noProof/>
              </w:rPr>
              <w:t>1.8</w:t>
            </w:r>
          </w:p>
        </w:tc>
        <w:tc>
          <w:tcPr>
            <w:tcW w:w="1760" w:type="dxa"/>
            <w:shd w:val="clear" w:color="auto" w:fill="C4EFCE"/>
            <w:vAlign w:val="center"/>
            <w:hideMark/>
          </w:tcPr>
          <w:p w14:paraId="4BA31BDE" w14:textId="77777777" w:rsidR="00F24946" w:rsidRDefault="00613B06">
            <w:pPr>
              <w:pStyle w:val="P68B1DB1-Normal23"/>
              <w:spacing w:after="0"/>
              <w:jc w:val="center"/>
              <w:rPr>
                <w:noProof/>
              </w:rPr>
            </w:pPr>
            <w:r>
              <w:rPr>
                <w:noProof/>
              </w:rPr>
              <w:t xml:space="preserve">Re-C01-r03 </w:t>
            </w:r>
          </w:p>
        </w:tc>
        <w:tc>
          <w:tcPr>
            <w:tcW w:w="1520" w:type="dxa"/>
            <w:shd w:val="clear" w:color="auto" w:fill="C4EFCE"/>
            <w:vAlign w:val="center"/>
            <w:hideMark/>
          </w:tcPr>
          <w:p w14:paraId="4B70E399"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D83727" w14:textId="77777777" w:rsidR="00F24946" w:rsidRDefault="00613B06">
            <w:pPr>
              <w:pStyle w:val="P68B1DB1-Normal23"/>
              <w:spacing w:after="0"/>
              <w:jc w:val="both"/>
              <w:rPr>
                <w:rFonts w:eastAsia="Calibri" w:cs="Calibri"/>
                <w:noProof/>
              </w:rPr>
            </w:pPr>
            <w:r>
              <w:rPr>
                <w:noProof/>
              </w:rPr>
              <w:t>Ustanovitev novih centrov integrirane odgovornosti v bolnišnicah nacionalne zdravstvene službe</w:t>
            </w:r>
          </w:p>
        </w:tc>
      </w:tr>
      <w:tr w:rsidR="00F24946" w14:paraId="612E7BD9" w14:textId="77777777">
        <w:trPr>
          <w:trHeight w:val="440"/>
        </w:trPr>
        <w:tc>
          <w:tcPr>
            <w:tcW w:w="1200" w:type="dxa"/>
            <w:shd w:val="clear" w:color="auto" w:fill="C4EFCE"/>
            <w:vAlign w:val="center"/>
            <w:hideMark/>
          </w:tcPr>
          <w:p w14:paraId="6F992C46" w14:textId="77777777" w:rsidR="00F24946" w:rsidRDefault="00613B06">
            <w:pPr>
              <w:pStyle w:val="P68B1DB1-Normal23"/>
              <w:spacing w:after="0"/>
              <w:jc w:val="center"/>
              <w:rPr>
                <w:noProof/>
              </w:rPr>
            </w:pPr>
            <w:r>
              <w:rPr>
                <w:noProof/>
              </w:rPr>
              <w:t>1.24</w:t>
            </w:r>
          </w:p>
        </w:tc>
        <w:tc>
          <w:tcPr>
            <w:tcW w:w="1760" w:type="dxa"/>
            <w:shd w:val="clear" w:color="auto" w:fill="C4EFCE"/>
            <w:vAlign w:val="center"/>
            <w:hideMark/>
          </w:tcPr>
          <w:p w14:paraId="6244700A" w14:textId="77777777" w:rsidR="00F24946" w:rsidRDefault="00613B06">
            <w:pPr>
              <w:pStyle w:val="P68B1DB1-Normal23"/>
              <w:spacing w:after="0"/>
              <w:jc w:val="center"/>
              <w:rPr>
                <w:noProof/>
              </w:rPr>
            </w:pPr>
            <w:r>
              <w:rPr>
                <w:noProof/>
              </w:rPr>
              <w:t xml:space="preserve">Re-C01-i03 </w:t>
            </w:r>
          </w:p>
        </w:tc>
        <w:tc>
          <w:tcPr>
            <w:tcW w:w="1520" w:type="dxa"/>
            <w:shd w:val="clear" w:color="auto" w:fill="C4EFCE"/>
            <w:vAlign w:val="center"/>
            <w:hideMark/>
          </w:tcPr>
          <w:p w14:paraId="768B1E26"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21094EF" w14:textId="77777777" w:rsidR="00F24946" w:rsidRDefault="00613B06">
            <w:pPr>
              <w:pStyle w:val="P68B1DB1-Normal23"/>
              <w:spacing w:after="0"/>
              <w:jc w:val="both"/>
              <w:rPr>
                <w:rFonts w:eastAsia="Calibri" w:cs="Calibri"/>
                <w:noProof/>
              </w:rPr>
            </w:pPr>
            <w:r>
              <w:rPr>
                <w:noProof/>
              </w:rPr>
              <w:t>Razvoj ukrepov ozaveščanja in usposabljanja za „oblikovanje poti pacientov“ v okviru demence</w:t>
            </w:r>
          </w:p>
        </w:tc>
      </w:tr>
      <w:tr w:rsidR="00F24946" w14:paraId="16774000" w14:textId="77777777">
        <w:trPr>
          <w:trHeight w:val="440"/>
        </w:trPr>
        <w:tc>
          <w:tcPr>
            <w:tcW w:w="1200" w:type="dxa"/>
            <w:shd w:val="clear" w:color="auto" w:fill="C4EFCE"/>
            <w:vAlign w:val="center"/>
            <w:hideMark/>
          </w:tcPr>
          <w:p w14:paraId="4F522AAB" w14:textId="77777777" w:rsidR="00F24946" w:rsidRDefault="00613B06">
            <w:pPr>
              <w:pStyle w:val="P68B1DB1-Normal23"/>
              <w:spacing w:after="0"/>
              <w:jc w:val="center"/>
              <w:rPr>
                <w:noProof/>
              </w:rPr>
            </w:pPr>
            <w:r>
              <w:rPr>
                <w:noProof/>
              </w:rPr>
              <w:t>1.32</w:t>
            </w:r>
          </w:p>
        </w:tc>
        <w:tc>
          <w:tcPr>
            <w:tcW w:w="1760" w:type="dxa"/>
            <w:shd w:val="clear" w:color="auto" w:fill="C4EFCE"/>
            <w:vAlign w:val="center"/>
            <w:hideMark/>
          </w:tcPr>
          <w:p w14:paraId="1E3BBF1C" w14:textId="77777777" w:rsidR="00F24946" w:rsidRDefault="00613B06">
            <w:pPr>
              <w:pStyle w:val="P68B1DB1-Normal23"/>
              <w:spacing w:after="0"/>
              <w:jc w:val="center"/>
              <w:rPr>
                <w:noProof/>
              </w:rPr>
            </w:pPr>
            <w:r>
              <w:rPr>
                <w:noProof/>
              </w:rPr>
              <w:t xml:space="preserve">Re-C01-i06 </w:t>
            </w:r>
          </w:p>
        </w:tc>
        <w:tc>
          <w:tcPr>
            <w:tcW w:w="1520" w:type="dxa"/>
            <w:shd w:val="clear" w:color="auto" w:fill="C4EFCE"/>
            <w:vAlign w:val="center"/>
            <w:hideMark/>
          </w:tcPr>
          <w:p w14:paraId="751F589B"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E971E6E" w14:textId="77777777" w:rsidR="00F24946" w:rsidRDefault="00613B06">
            <w:pPr>
              <w:pStyle w:val="P68B1DB1-Normal23"/>
              <w:spacing w:after="0"/>
              <w:jc w:val="both"/>
              <w:rPr>
                <w:rFonts w:eastAsia="Calibri" w:cs="Calibri"/>
                <w:noProof/>
              </w:rPr>
            </w:pPr>
            <w:r>
              <w:rPr>
                <w:noProof/>
              </w:rPr>
              <w:t>Nadgradnja lokalnih omrežij informacijske tehnologije</w:t>
            </w:r>
          </w:p>
        </w:tc>
      </w:tr>
      <w:tr w:rsidR="00F24946" w14:paraId="30A3EA71" w14:textId="77777777">
        <w:trPr>
          <w:trHeight w:val="440"/>
        </w:trPr>
        <w:tc>
          <w:tcPr>
            <w:tcW w:w="1200" w:type="dxa"/>
            <w:shd w:val="clear" w:color="auto" w:fill="C4EFCE"/>
            <w:vAlign w:val="center"/>
            <w:hideMark/>
          </w:tcPr>
          <w:p w14:paraId="77DEF1E6" w14:textId="77777777" w:rsidR="00F24946" w:rsidRDefault="00613B06">
            <w:pPr>
              <w:pStyle w:val="P68B1DB1-Normal23"/>
              <w:spacing w:after="0"/>
              <w:jc w:val="center"/>
              <w:rPr>
                <w:noProof/>
              </w:rPr>
            </w:pPr>
            <w:r>
              <w:rPr>
                <w:noProof/>
              </w:rPr>
              <w:t>1.33</w:t>
            </w:r>
          </w:p>
        </w:tc>
        <w:tc>
          <w:tcPr>
            <w:tcW w:w="1760" w:type="dxa"/>
            <w:shd w:val="clear" w:color="auto" w:fill="C4EFCE"/>
            <w:vAlign w:val="center"/>
            <w:hideMark/>
          </w:tcPr>
          <w:p w14:paraId="3EF303B5" w14:textId="77777777" w:rsidR="00F24946" w:rsidRDefault="00613B06">
            <w:pPr>
              <w:pStyle w:val="P68B1DB1-Normal23"/>
              <w:spacing w:after="0"/>
              <w:jc w:val="center"/>
              <w:rPr>
                <w:noProof/>
              </w:rPr>
            </w:pPr>
            <w:r>
              <w:rPr>
                <w:noProof/>
              </w:rPr>
              <w:t xml:space="preserve">Re-C01-i06 </w:t>
            </w:r>
          </w:p>
        </w:tc>
        <w:tc>
          <w:tcPr>
            <w:tcW w:w="1520" w:type="dxa"/>
            <w:shd w:val="clear" w:color="auto" w:fill="C4EFCE"/>
            <w:vAlign w:val="center"/>
            <w:hideMark/>
          </w:tcPr>
          <w:p w14:paraId="0BE21A0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0D9898" w14:textId="77777777" w:rsidR="00F24946" w:rsidRDefault="00613B06">
            <w:pPr>
              <w:pStyle w:val="P68B1DB1-Normal23"/>
              <w:spacing w:after="0"/>
              <w:jc w:val="both"/>
              <w:rPr>
                <w:rFonts w:eastAsia="Calibri" w:cs="Calibri"/>
                <w:noProof/>
              </w:rPr>
            </w:pPr>
            <w:r>
              <w:rPr>
                <w:noProof/>
              </w:rPr>
              <w:t>Izvajanje funkcij za telezdravje in spremljanje na daljavo</w:t>
            </w:r>
          </w:p>
        </w:tc>
      </w:tr>
      <w:tr w:rsidR="00F24946" w14:paraId="32F2658E" w14:textId="77777777">
        <w:trPr>
          <w:trHeight w:val="440"/>
        </w:trPr>
        <w:tc>
          <w:tcPr>
            <w:tcW w:w="1200" w:type="dxa"/>
            <w:shd w:val="clear" w:color="auto" w:fill="C4EFCE"/>
            <w:vAlign w:val="center"/>
            <w:hideMark/>
          </w:tcPr>
          <w:p w14:paraId="1B65C832" w14:textId="77777777" w:rsidR="00F24946" w:rsidRDefault="00613B06">
            <w:pPr>
              <w:pStyle w:val="P68B1DB1-Normal23"/>
              <w:spacing w:after="0"/>
              <w:jc w:val="center"/>
              <w:rPr>
                <w:noProof/>
              </w:rPr>
            </w:pPr>
            <w:r>
              <w:rPr>
                <w:noProof/>
              </w:rPr>
              <w:t>2.1</w:t>
            </w:r>
          </w:p>
        </w:tc>
        <w:tc>
          <w:tcPr>
            <w:tcW w:w="1760" w:type="dxa"/>
            <w:shd w:val="clear" w:color="auto" w:fill="C4EFCE"/>
            <w:vAlign w:val="center"/>
            <w:hideMark/>
          </w:tcPr>
          <w:p w14:paraId="2ABDE328" w14:textId="77777777" w:rsidR="00F24946" w:rsidRDefault="00613B06">
            <w:pPr>
              <w:pStyle w:val="P68B1DB1-Normal23"/>
              <w:spacing w:after="0"/>
              <w:jc w:val="center"/>
              <w:rPr>
                <w:noProof/>
              </w:rPr>
            </w:pPr>
            <w:r>
              <w:rPr>
                <w:noProof/>
              </w:rPr>
              <w:t xml:space="preserve">Re-C02-i01 </w:t>
            </w:r>
          </w:p>
        </w:tc>
        <w:tc>
          <w:tcPr>
            <w:tcW w:w="1520" w:type="dxa"/>
            <w:shd w:val="clear" w:color="auto" w:fill="C4EFCE"/>
            <w:vAlign w:val="center"/>
            <w:hideMark/>
          </w:tcPr>
          <w:p w14:paraId="51C049D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8DD0AC1" w14:textId="77777777" w:rsidR="00F24946" w:rsidRDefault="00613B06">
            <w:pPr>
              <w:pStyle w:val="P68B1DB1-Normal23"/>
              <w:spacing w:after="0"/>
              <w:jc w:val="both"/>
              <w:rPr>
                <w:rFonts w:eastAsia="Calibri" w:cs="Calibri"/>
                <w:noProof/>
              </w:rPr>
            </w:pPr>
            <w:r>
              <w:rPr>
                <w:noProof/>
              </w:rPr>
              <w:t>Program podpore za dostop do stanovanj – podpisani dogovori o sodelovanju ali financiranju</w:t>
            </w:r>
          </w:p>
        </w:tc>
      </w:tr>
      <w:tr w:rsidR="00F24946" w14:paraId="1B2D04E4" w14:textId="77777777">
        <w:trPr>
          <w:trHeight w:val="440"/>
        </w:trPr>
        <w:tc>
          <w:tcPr>
            <w:tcW w:w="1200" w:type="dxa"/>
            <w:shd w:val="clear" w:color="auto" w:fill="C4EFCE"/>
            <w:vAlign w:val="center"/>
            <w:hideMark/>
          </w:tcPr>
          <w:p w14:paraId="182ED174" w14:textId="77777777" w:rsidR="00F24946" w:rsidRDefault="00613B06">
            <w:pPr>
              <w:pStyle w:val="P68B1DB1-Normal23"/>
              <w:spacing w:after="0"/>
              <w:jc w:val="center"/>
              <w:rPr>
                <w:noProof/>
              </w:rPr>
            </w:pPr>
            <w:r>
              <w:rPr>
                <w:noProof/>
              </w:rPr>
              <w:t>2.4</w:t>
            </w:r>
          </w:p>
        </w:tc>
        <w:tc>
          <w:tcPr>
            <w:tcW w:w="1760" w:type="dxa"/>
            <w:shd w:val="clear" w:color="auto" w:fill="C4EFCE"/>
            <w:vAlign w:val="center"/>
            <w:hideMark/>
          </w:tcPr>
          <w:p w14:paraId="572612F3" w14:textId="77777777" w:rsidR="00F24946" w:rsidRDefault="00613B06">
            <w:pPr>
              <w:pStyle w:val="P68B1DB1-Normal23"/>
              <w:spacing w:after="0"/>
              <w:jc w:val="center"/>
              <w:rPr>
                <w:noProof/>
              </w:rPr>
            </w:pPr>
            <w:r>
              <w:rPr>
                <w:noProof/>
              </w:rPr>
              <w:t xml:space="preserve">Re-C02-i02 </w:t>
            </w:r>
          </w:p>
        </w:tc>
        <w:tc>
          <w:tcPr>
            <w:tcW w:w="1520" w:type="dxa"/>
            <w:shd w:val="clear" w:color="auto" w:fill="C4EFCE"/>
            <w:vAlign w:val="center"/>
            <w:hideMark/>
          </w:tcPr>
          <w:p w14:paraId="6AB1DCE0"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736D18" w14:textId="77777777" w:rsidR="00F24946" w:rsidRDefault="00613B06">
            <w:pPr>
              <w:pStyle w:val="P68B1DB1-Normal23"/>
              <w:spacing w:after="0"/>
              <w:jc w:val="both"/>
              <w:rPr>
                <w:rFonts w:eastAsia="Calibri" w:cs="Calibri"/>
                <w:noProof/>
              </w:rPr>
            </w:pPr>
            <w:r>
              <w:rPr>
                <w:noProof/>
              </w:rPr>
              <w:t>Nacionalna nepovratna sredstva za nujno in začasno nastanitev – podpis sporazumov o financiranju nujnih in prehodnih nastanitev</w:t>
            </w:r>
          </w:p>
        </w:tc>
      </w:tr>
      <w:tr w:rsidR="00F24946" w14:paraId="193180B9" w14:textId="77777777">
        <w:trPr>
          <w:trHeight w:val="440"/>
        </w:trPr>
        <w:tc>
          <w:tcPr>
            <w:tcW w:w="1200" w:type="dxa"/>
            <w:shd w:val="clear" w:color="auto" w:fill="C4EFCE"/>
            <w:vAlign w:val="center"/>
            <w:hideMark/>
          </w:tcPr>
          <w:p w14:paraId="29216A22" w14:textId="77777777" w:rsidR="00F24946" w:rsidRDefault="00613B06">
            <w:pPr>
              <w:pStyle w:val="P68B1DB1-Normal23"/>
              <w:spacing w:after="0"/>
              <w:jc w:val="center"/>
              <w:rPr>
                <w:noProof/>
              </w:rPr>
            </w:pPr>
            <w:r>
              <w:rPr>
                <w:noProof/>
              </w:rPr>
              <w:t>3.11</w:t>
            </w:r>
          </w:p>
        </w:tc>
        <w:tc>
          <w:tcPr>
            <w:tcW w:w="1760" w:type="dxa"/>
            <w:shd w:val="clear" w:color="auto" w:fill="C4EFCE"/>
            <w:vAlign w:val="center"/>
            <w:hideMark/>
          </w:tcPr>
          <w:p w14:paraId="01F162E3" w14:textId="77777777" w:rsidR="00F24946" w:rsidRDefault="00613B06">
            <w:pPr>
              <w:pStyle w:val="P68B1DB1-Normal23"/>
              <w:spacing w:after="0"/>
              <w:jc w:val="center"/>
              <w:rPr>
                <w:noProof/>
              </w:rPr>
            </w:pPr>
            <w:r>
              <w:rPr>
                <w:noProof/>
              </w:rPr>
              <w:t xml:space="preserve">Re-C03-i03-RAM </w:t>
            </w:r>
          </w:p>
        </w:tc>
        <w:tc>
          <w:tcPr>
            <w:tcW w:w="1520" w:type="dxa"/>
            <w:shd w:val="clear" w:color="auto" w:fill="C4EFCE"/>
            <w:vAlign w:val="center"/>
            <w:hideMark/>
          </w:tcPr>
          <w:p w14:paraId="246B4B59"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336679B" w14:textId="77777777" w:rsidR="00F24946" w:rsidRDefault="00613B06">
            <w:pPr>
              <w:pStyle w:val="P68B1DB1-Normal23"/>
              <w:spacing w:after="0"/>
              <w:jc w:val="both"/>
              <w:rPr>
                <w:rFonts w:eastAsia="Calibri" w:cs="Calibri"/>
                <w:noProof/>
              </w:rPr>
            </w:pPr>
            <w:r>
              <w:rPr>
                <w:noProof/>
              </w:rPr>
              <w:t>Načrti življenja za vključevanje brezdomcev.</w:t>
            </w:r>
          </w:p>
        </w:tc>
      </w:tr>
      <w:tr w:rsidR="00F24946" w14:paraId="0BC61039" w14:textId="77777777">
        <w:trPr>
          <w:trHeight w:val="440"/>
        </w:trPr>
        <w:tc>
          <w:tcPr>
            <w:tcW w:w="1200" w:type="dxa"/>
            <w:shd w:val="clear" w:color="auto" w:fill="C4EFCE"/>
            <w:vAlign w:val="center"/>
            <w:hideMark/>
          </w:tcPr>
          <w:p w14:paraId="1B2403C3" w14:textId="77777777" w:rsidR="00F24946" w:rsidRDefault="00613B06">
            <w:pPr>
              <w:pStyle w:val="P68B1DB1-Normal23"/>
              <w:spacing w:after="0"/>
              <w:jc w:val="center"/>
              <w:rPr>
                <w:noProof/>
              </w:rPr>
            </w:pPr>
            <w:r>
              <w:rPr>
                <w:noProof/>
              </w:rPr>
              <w:t>4.6</w:t>
            </w:r>
          </w:p>
        </w:tc>
        <w:tc>
          <w:tcPr>
            <w:tcW w:w="1760" w:type="dxa"/>
            <w:shd w:val="clear" w:color="auto" w:fill="C4EFCE"/>
            <w:vAlign w:val="center"/>
            <w:hideMark/>
          </w:tcPr>
          <w:p w14:paraId="4FB11F6A" w14:textId="292D12E2" w:rsidR="00F24946" w:rsidRDefault="00613B06">
            <w:pPr>
              <w:pStyle w:val="P68B1DB1-Normal23"/>
              <w:spacing w:after="0"/>
              <w:jc w:val="center"/>
              <w:rPr>
                <w:noProof/>
              </w:rPr>
            </w:pPr>
            <w:r>
              <w:rPr>
                <w:noProof/>
              </w:rPr>
              <w:t xml:space="preserve">Re-C04-i02 </w:t>
            </w:r>
          </w:p>
        </w:tc>
        <w:tc>
          <w:tcPr>
            <w:tcW w:w="1520" w:type="dxa"/>
            <w:shd w:val="clear" w:color="auto" w:fill="C4EFCE"/>
            <w:vAlign w:val="center"/>
            <w:hideMark/>
          </w:tcPr>
          <w:p w14:paraId="590EFB99"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ED71179" w14:textId="77777777" w:rsidR="00F24946" w:rsidRDefault="00613B06">
            <w:pPr>
              <w:pStyle w:val="P68B1DB1-Normal23"/>
              <w:spacing w:after="0"/>
              <w:jc w:val="both"/>
              <w:rPr>
                <w:rFonts w:eastAsia="Calibri" w:cs="Calibri"/>
                <w:noProof/>
              </w:rPr>
            </w:pPr>
            <w:r>
              <w:rPr>
                <w:noProof/>
              </w:rPr>
              <w:t>Vzpostavitev mreže „Saber Fazer“</w:t>
            </w:r>
          </w:p>
        </w:tc>
      </w:tr>
      <w:tr w:rsidR="00F24946" w14:paraId="0D67E78F" w14:textId="77777777">
        <w:trPr>
          <w:trHeight w:val="440"/>
        </w:trPr>
        <w:tc>
          <w:tcPr>
            <w:tcW w:w="1200" w:type="dxa"/>
            <w:shd w:val="clear" w:color="auto" w:fill="C4EFCE"/>
            <w:vAlign w:val="center"/>
            <w:hideMark/>
          </w:tcPr>
          <w:p w14:paraId="48691633" w14:textId="77777777" w:rsidR="00F24946" w:rsidRDefault="00613B06">
            <w:pPr>
              <w:pStyle w:val="P68B1DB1-Normal23"/>
              <w:spacing w:after="0"/>
              <w:jc w:val="center"/>
              <w:rPr>
                <w:noProof/>
              </w:rPr>
            </w:pPr>
            <w:r>
              <w:rPr>
                <w:noProof/>
              </w:rPr>
              <w:t>5.5</w:t>
            </w:r>
          </w:p>
        </w:tc>
        <w:tc>
          <w:tcPr>
            <w:tcW w:w="1760" w:type="dxa"/>
            <w:shd w:val="clear" w:color="auto" w:fill="C4EFCE"/>
            <w:vAlign w:val="center"/>
            <w:hideMark/>
          </w:tcPr>
          <w:p w14:paraId="028584EA" w14:textId="77777777" w:rsidR="00F24946" w:rsidRDefault="00613B06">
            <w:pPr>
              <w:pStyle w:val="P68B1DB1-Normal23"/>
              <w:spacing w:after="0"/>
              <w:jc w:val="center"/>
              <w:rPr>
                <w:noProof/>
              </w:rPr>
            </w:pPr>
            <w:r>
              <w:rPr>
                <w:noProof/>
              </w:rPr>
              <w:t xml:space="preserve">Re-C05-i01.01 </w:t>
            </w:r>
          </w:p>
        </w:tc>
        <w:tc>
          <w:tcPr>
            <w:tcW w:w="1520" w:type="dxa"/>
            <w:shd w:val="clear" w:color="auto" w:fill="C4EFCE"/>
            <w:vAlign w:val="center"/>
            <w:hideMark/>
          </w:tcPr>
          <w:p w14:paraId="5748A51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8F1C038" w14:textId="413A3F05" w:rsidR="00F24946" w:rsidRDefault="00613B06">
            <w:pPr>
              <w:pStyle w:val="P68B1DB1-Normal23"/>
              <w:spacing w:after="0"/>
              <w:jc w:val="both"/>
              <w:rPr>
                <w:rFonts w:eastAsia="Calibri" w:cs="Calibri"/>
                <w:noProof/>
              </w:rPr>
            </w:pPr>
            <w:r>
              <w:rPr>
                <w:noProof/>
              </w:rPr>
              <w:t>Sklepanje pogodb za razvoj novih proizvodov, postopkov ali storitev na ustreznih strateških področjih (agende inovacij).</w:t>
            </w:r>
          </w:p>
        </w:tc>
      </w:tr>
      <w:tr w:rsidR="00F24946" w14:paraId="6F9BDCC5" w14:textId="77777777">
        <w:trPr>
          <w:trHeight w:val="440"/>
        </w:trPr>
        <w:tc>
          <w:tcPr>
            <w:tcW w:w="1200" w:type="dxa"/>
            <w:shd w:val="clear" w:color="auto" w:fill="C4EFCE"/>
            <w:vAlign w:val="center"/>
            <w:hideMark/>
          </w:tcPr>
          <w:p w14:paraId="662B09CD" w14:textId="77777777" w:rsidR="00F24946" w:rsidRDefault="00613B06">
            <w:pPr>
              <w:pStyle w:val="P68B1DB1-Normal23"/>
              <w:spacing w:after="0"/>
              <w:jc w:val="center"/>
              <w:rPr>
                <w:noProof/>
              </w:rPr>
            </w:pPr>
            <w:r>
              <w:rPr>
                <w:noProof/>
              </w:rPr>
              <w:t>5.7</w:t>
            </w:r>
          </w:p>
        </w:tc>
        <w:tc>
          <w:tcPr>
            <w:tcW w:w="1760" w:type="dxa"/>
            <w:shd w:val="clear" w:color="auto" w:fill="C4EFCE"/>
            <w:vAlign w:val="center"/>
            <w:hideMark/>
          </w:tcPr>
          <w:p w14:paraId="1C23E7CC" w14:textId="77777777" w:rsidR="00F24946" w:rsidRDefault="00613B06">
            <w:pPr>
              <w:pStyle w:val="P68B1DB1-Normal23"/>
              <w:spacing w:after="0"/>
              <w:jc w:val="center"/>
              <w:rPr>
                <w:noProof/>
              </w:rPr>
            </w:pPr>
            <w:r>
              <w:rPr>
                <w:noProof/>
              </w:rPr>
              <w:t xml:space="preserve">Re-C05-i01.02 </w:t>
            </w:r>
          </w:p>
        </w:tc>
        <w:tc>
          <w:tcPr>
            <w:tcW w:w="1520" w:type="dxa"/>
            <w:shd w:val="clear" w:color="auto" w:fill="C4EFCE"/>
            <w:vAlign w:val="center"/>
            <w:hideMark/>
          </w:tcPr>
          <w:p w14:paraId="28804D49"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D21AAA1" w14:textId="598F18A7" w:rsidR="00F24946" w:rsidRDefault="00613B06">
            <w:pPr>
              <w:pStyle w:val="P68B1DB1-Normal23"/>
              <w:spacing w:after="0"/>
              <w:jc w:val="both"/>
              <w:rPr>
                <w:rFonts w:eastAsia="Calibri" w:cs="Calibri"/>
                <w:noProof/>
              </w:rPr>
            </w:pPr>
            <w:r>
              <w:rPr>
                <w:noProof/>
              </w:rPr>
              <w:t>Sklepanje pogodb za razvoj novih proizvodov, procesov ali storitev na strateških področjih, pomembnih za nizkoogljično gospodarstvo, odpornost in prilagajanje podnebnim spremembam</w:t>
            </w:r>
          </w:p>
        </w:tc>
      </w:tr>
      <w:tr w:rsidR="00F24946" w14:paraId="5C327989" w14:textId="77777777">
        <w:trPr>
          <w:trHeight w:val="440"/>
        </w:trPr>
        <w:tc>
          <w:tcPr>
            <w:tcW w:w="1200" w:type="dxa"/>
            <w:shd w:val="clear" w:color="auto" w:fill="C4EFCE"/>
            <w:vAlign w:val="center"/>
            <w:hideMark/>
          </w:tcPr>
          <w:p w14:paraId="49715C30" w14:textId="77777777" w:rsidR="00F24946" w:rsidRDefault="00613B06">
            <w:pPr>
              <w:pStyle w:val="P68B1DB1-Normal23"/>
              <w:spacing w:after="0"/>
              <w:jc w:val="center"/>
              <w:rPr>
                <w:noProof/>
              </w:rPr>
            </w:pPr>
            <w:r>
              <w:rPr>
                <w:noProof/>
              </w:rPr>
              <w:t>5.9</w:t>
            </w:r>
          </w:p>
        </w:tc>
        <w:tc>
          <w:tcPr>
            <w:tcW w:w="1760" w:type="dxa"/>
            <w:shd w:val="clear" w:color="auto" w:fill="C4EFCE"/>
            <w:vAlign w:val="center"/>
            <w:hideMark/>
          </w:tcPr>
          <w:p w14:paraId="1CEA8990" w14:textId="77777777" w:rsidR="00F24946" w:rsidRDefault="00613B06">
            <w:pPr>
              <w:pStyle w:val="P68B1DB1-Normal23"/>
              <w:spacing w:after="0"/>
              <w:jc w:val="center"/>
              <w:rPr>
                <w:noProof/>
              </w:rPr>
            </w:pPr>
            <w:r>
              <w:rPr>
                <w:noProof/>
              </w:rPr>
              <w:t xml:space="preserve">Re-C05-i02 </w:t>
            </w:r>
          </w:p>
        </w:tc>
        <w:tc>
          <w:tcPr>
            <w:tcW w:w="1520" w:type="dxa"/>
            <w:shd w:val="clear" w:color="auto" w:fill="C4EFCE"/>
            <w:vAlign w:val="center"/>
            <w:hideMark/>
          </w:tcPr>
          <w:p w14:paraId="6CAC10E8"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0118BF2" w14:textId="77777777" w:rsidR="00F24946" w:rsidRDefault="00613B06">
            <w:pPr>
              <w:pStyle w:val="P68B1DB1-Normal23"/>
              <w:spacing w:after="0"/>
              <w:jc w:val="both"/>
              <w:rPr>
                <w:rFonts w:eastAsia="Calibri" w:cs="Calibri"/>
                <w:noProof/>
              </w:rPr>
            </w:pPr>
            <w:r>
              <w:rPr>
                <w:noProof/>
              </w:rPr>
              <w:t>Sklenjene pogodbe z vmesnimi subjekti, vključno s sodelovalnimi laboratoriji – Colabs</w:t>
            </w:r>
          </w:p>
        </w:tc>
      </w:tr>
      <w:tr w:rsidR="00F24946" w14:paraId="03C3F9A8" w14:textId="77777777">
        <w:trPr>
          <w:trHeight w:val="440"/>
        </w:trPr>
        <w:tc>
          <w:tcPr>
            <w:tcW w:w="1200" w:type="dxa"/>
            <w:shd w:val="clear" w:color="auto" w:fill="C4EFCE"/>
            <w:vAlign w:val="center"/>
            <w:hideMark/>
          </w:tcPr>
          <w:p w14:paraId="176D6692" w14:textId="77777777" w:rsidR="00F24946" w:rsidRDefault="00613B06">
            <w:pPr>
              <w:pStyle w:val="P68B1DB1-Normal23"/>
              <w:spacing w:after="0"/>
              <w:jc w:val="center"/>
              <w:rPr>
                <w:noProof/>
              </w:rPr>
            </w:pPr>
            <w:r>
              <w:rPr>
                <w:noProof/>
              </w:rPr>
              <w:t>6.15</w:t>
            </w:r>
          </w:p>
        </w:tc>
        <w:tc>
          <w:tcPr>
            <w:tcW w:w="1760" w:type="dxa"/>
            <w:shd w:val="clear" w:color="auto" w:fill="C4EFCE"/>
            <w:vAlign w:val="center"/>
            <w:hideMark/>
          </w:tcPr>
          <w:p w14:paraId="5B04B4CC" w14:textId="77777777" w:rsidR="00F24946" w:rsidRDefault="00613B06">
            <w:pPr>
              <w:pStyle w:val="P68B1DB1-Normal23"/>
              <w:spacing w:after="0"/>
              <w:jc w:val="center"/>
              <w:rPr>
                <w:noProof/>
              </w:rPr>
            </w:pPr>
            <w:r>
              <w:rPr>
                <w:noProof/>
              </w:rPr>
              <w:t xml:space="preserve">Re-C06-r16 </w:t>
            </w:r>
          </w:p>
        </w:tc>
        <w:tc>
          <w:tcPr>
            <w:tcW w:w="1520" w:type="dxa"/>
            <w:shd w:val="clear" w:color="auto" w:fill="C4EFCE"/>
            <w:vAlign w:val="center"/>
            <w:hideMark/>
          </w:tcPr>
          <w:p w14:paraId="5E98D411"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80C87D7" w14:textId="77777777" w:rsidR="00F24946" w:rsidRDefault="00613B06">
            <w:pPr>
              <w:pStyle w:val="P68B1DB1-Normal23"/>
              <w:spacing w:after="0"/>
              <w:jc w:val="both"/>
              <w:rPr>
                <w:rFonts w:eastAsia="Calibri" w:cs="Calibri"/>
                <w:noProof/>
              </w:rPr>
            </w:pPr>
            <w:r>
              <w:rPr>
                <w:noProof/>
              </w:rPr>
              <w:t>Začetek veljavnosti zakona o reguliranih poklicih</w:t>
            </w:r>
          </w:p>
        </w:tc>
      </w:tr>
      <w:tr w:rsidR="00F24946" w14:paraId="4983771D" w14:textId="77777777">
        <w:trPr>
          <w:trHeight w:val="440"/>
        </w:trPr>
        <w:tc>
          <w:tcPr>
            <w:tcW w:w="1200" w:type="dxa"/>
            <w:shd w:val="clear" w:color="auto" w:fill="C4EFCE"/>
            <w:vAlign w:val="center"/>
            <w:hideMark/>
          </w:tcPr>
          <w:p w14:paraId="104D5E80" w14:textId="77777777" w:rsidR="00F24946" w:rsidRDefault="00613B06">
            <w:pPr>
              <w:pStyle w:val="P68B1DB1-Normal23"/>
              <w:spacing w:after="0"/>
              <w:jc w:val="center"/>
              <w:rPr>
                <w:noProof/>
              </w:rPr>
            </w:pPr>
            <w:r>
              <w:rPr>
                <w:noProof/>
              </w:rPr>
              <w:t>7.1</w:t>
            </w:r>
          </w:p>
        </w:tc>
        <w:tc>
          <w:tcPr>
            <w:tcW w:w="1760" w:type="dxa"/>
            <w:shd w:val="clear" w:color="auto" w:fill="C4EFCE"/>
            <w:vAlign w:val="center"/>
            <w:hideMark/>
          </w:tcPr>
          <w:p w14:paraId="032F1E62" w14:textId="77777777" w:rsidR="00F24946" w:rsidRDefault="00613B06">
            <w:pPr>
              <w:pStyle w:val="P68B1DB1-Normal23"/>
              <w:spacing w:after="0"/>
              <w:jc w:val="center"/>
              <w:rPr>
                <w:noProof/>
              </w:rPr>
            </w:pPr>
            <w:r>
              <w:rPr>
                <w:noProof/>
              </w:rPr>
              <w:t xml:space="preserve">Re-C07-i00 </w:t>
            </w:r>
          </w:p>
        </w:tc>
        <w:tc>
          <w:tcPr>
            <w:tcW w:w="1520" w:type="dxa"/>
            <w:shd w:val="clear" w:color="auto" w:fill="C4EFCE"/>
            <w:vAlign w:val="center"/>
            <w:hideMark/>
          </w:tcPr>
          <w:p w14:paraId="41AD4CD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0690F7A" w14:textId="7B4FDF4A" w:rsidR="00F24946" w:rsidRDefault="00613B06">
            <w:pPr>
              <w:pStyle w:val="P68B1DB1-Normal23"/>
              <w:spacing w:after="0"/>
              <w:jc w:val="both"/>
              <w:rPr>
                <w:rFonts w:eastAsia="Calibri" w:cs="Calibri"/>
                <w:noProof/>
              </w:rPr>
            </w:pPr>
            <w:r>
              <w:rPr>
                <w:noProof/>
              </w:rPr>
              <w:t>Javno dostopna polnilna mesta za električna vozila</w:t>
            </w:r>
          </w:p>
        </w:tc>
      </w:tr>
      <w:tr w:rsidR="00F24946" w14:paraId="70665A7A" w14:textId="77777777">
        <w:trPr>
          <w:trHeight w:val="440"/>
        </w:trPr>
        <w:tc>
          <w:tcPr>
            <w:tcW w:w="1200" w:type="dxa"/>
            <w:shd w:val="clear" w:color="auto" w:fill="C4EFCE"/>
            <w:vAlign w:val="center"/>
            <w:hideMark/>
          </w:tcPr>
          <w:p w14:paraId="537D6B6D" w14:textId="77777777" w:rsidR="00F24946" w:rsidRDefault="00613B06">
            <w:pPr>
              <w:pStyle w:val="P68B1DB1-Normal23"/>
              <w:spacing w:after="0"/>
              <w:jc w:val="center"/>
              <w:rPr>
                <w:noProof/>
              </w:rPr>
            </w:pPr>
            <w:r>
              <w:rPr>
                <w:noProof/>
              </w:rPr>
              <w:t>7.7</w:t>
            </w:r>
          </w:p>
        </w:tc>
        <w:tc>
          <w:tcPr>
            <w:tcW w:w="1760" w:type="dxa"/>
            <w:shd w:val="clear" w:color="auto" w:fill="C4EFCE"/>
            <w:vAlign w:val="center"/>
            <w:hideMark/>
          </w:tcPr>
          <w:p w14:paraId="0D8F10EA" w14:textId="77777777" w:rsidR="00F24946" w:rsidRDefault="00613B06">
            <w:pPr>
              <w:pStyle w:val="P68B1DB1-Normal23"/>
              <w:spacing w:after="0"/>
              <w:jc w:val="center"/>
              <w:rPr>
                <w:noProof/>
              </w:rPr>
            </w:pPr>
            <w:r>
              <w:rPr>
                <w:noProof/>
              </w:rPr>
              <w:t xml:space="preserve">Re-C07-i02 </w:t>
            </w:r>
          </w:p>
        </w:tc>
        <w:tc>
          <w:tcPr>
            <w:tcW w:w="1520" w:type="dxa"/>
            <w:shd w:val="clear" w:color="auto" w:fill="C4EFCE"/>
            <w:vAlign w:val="center"/>
            <w:hideMark/>
          </w:tcPr>
          <w:p w14:paraId="44888C17"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733934" w14:textId="77777777" w:rsidR="00F24946" w:rsidRDefault="00613B06">
            <w:pPr>
              <w:pStyle w:val="P68B1DB1-Normal23"/>
              <w:spacing w:after="0"/>
              <w:jc w:val="both"/>
              <w:rPr>
                <w:rFonts w:eastAsia="Calibri" w:cs="Calibri"/>
                <w:noProof/>
              </w:rPr>
            </w:pPr>
            <w:r>
              <w:rPr>
                <w:noProof/>
              </w:rPr>
              <w:t>Podpisana pogodba za dva cestna projekta</w:t>
            </w:r>
          </w:p>
        </w:tc>
      </w:tr>
      <w:tr w:rsidR="00F24946" w14:paraId="621AF830" w14:textId="77777777">
        <w:trPr>
          <w:trHeight w:val="440"/>
        </w:trPr>
        <w:tc>
          <w:tcPr>
            <w:tcW w:w="1200" w:type="dxa"/>
            <w:shd w:val="clear" w:color="auto" w:fill="C4EFCE"/>
            <w:vAlign w:val="center"/>
            <w:hideMark/>
          </w:tcPr>
          <w:p w14:paraId="21A9EB50" w14:textId="77777777" w:rsidR="00F24946" w:rsidRDefault="00613B06">
            <w:pPr>
              <w:pStyle w:val="P68B1DB1-Normal23"/>
              <w:spacing w:after="0"/>
              <w:jc w:val="center"/>
              <w:rPr>
                <w:noProof/>
              </w:rPr>
            </w:pPr>
            <w:r>
              <w:rPr>
                <w:noProof/>
              </w:rPr>
              <w:t>8.18</w:t>
            </w:r>
          </w:p>
        </w:tc>
        <w:tc>
          <w:tcPr>
            <w:tcW w:w="1760" w:type="dxa"/>
            <w:shd w:val="clear" w:color="auto" w:fill="C4EFCE"/>
            <w:vAlign w:val="center"/>
            <w:hideMark/>
          </w:tcPr>
          <w:p w14:paraId="0EB5329C" w14:textId="77777777" w:rsidR="00F24946" w:rsidRDefault="00613B06">
            <w:pPr>
              <w:pStyle w:val="P68B1DB1-Normal23"/>
              <w:spacing w:after="0"/>
              <w:jc w:val="center"/>
              <w:rPr>
                <w:noProof/>
              </w:rPr>
            </w:pPr>
            <w:r>
              <w:rPr>
                <w:noProof/>
              </w:rPr>
              <w:t xml:space="preserve">Re-C08-r20 </w:t>
            </w:r>
          </w:p>
        </w:tc>
        <w:tc>
          <w:tcPr>
            <w:tcW w:w="1520" w:type="dxa"/>
            <w:shd w:val="clear" w:color="auto" w:fill="C4EFCE"/>
            <w:vAlign w:val="center"/>
            <w:hideMark/>
          </w:tcPr>
          <w:p w14:paraId="58633647"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126370E" w14:textId="77777777" w:rsidR="00F24946" w:rsidRDefault="00613B06">
            <w:pPr>
              <w:pStyle w:val="P68B1DB1-Normal23"/>
              <w:spacing w:after="0"/>
              <w:jc w:val="both"/>
              <w:rPr>
                <w:rFonts w:eastAsia="Calibri" w:cs="Calibri"/>
                <w:noProof/>
              </w:rPr>
            </w:pPr>
            <w:r>
              <w:rPr>
                <w:noProof/>
              </w:rPr>
              <w:t>Sistem za spremljanje pokrovnosti tal (SMOS)</w:t>
            </w:r>
          </w:p>
        </w:tc>
      </w:tr>
      <w:tr w:rsidR="00F24946" w14:paraId="19D4139A" w14:textId="77777777">
        <w:trPr>
          <w:trHeight w:val="440"/>
        </w:trPr>
        <w:tc>
          <w:tcPr>
            <w:tcW w:w="1200" w:type="dxa"/>
            <w:shd w:val="clear" w:color="auto" w:fill="C4EFCE"/>
            <w:vAlign w:val="center"/>
            <w:hideMark/>
          </w:tcPr>
          <w:p w14:paraId="3FB03D0D" w14:textId="77777777" w:rsidR="00F24946" w:rsidRDefault="00613B06">
            <w:pPr>
              <w:pStyle w:val="P68B1DB1-Normal23"/>
              <w:spacing w:after="0"/>
              <w:jc w:val="center"/>
              <w:rPr>
                <w:noProof/>
              </w:rPr>
            </w:pPr>
            <w:r>
              <w:rPr>
                <w:noProof/>
              </w:rPr>
              <w:t>12.6</w:t>
            </w:r>
          </w:p>
        </w:tc>
        <w:tc>
          <w:tcPr>
            <w:tcW w:w="1760" w:type="dxa"/>
            <w:shd w:val="clear" w:color="auto" w:fill="C4EFCE"/>
            <w:vAlign w:val="center"/>
            <w:hideMark/>
          </w:tcPr>
          <w:p w14:paraId="6722FFFA" w14:textId="77777777" w:rsidR="00F24946" w:rsidRDefault="00613B06">
            <w:pPr>
              <w:pStyle w:val="P68B1DB1-Normal23"/>
              <w:spacing w:after="0"/>
              <w:jc w:val="center"/>
              <w:rPr>
                <w:noProof/>
              </w:rPr>
            </w:pPr>
            <w:r>
              <w:rPr>
                <w:noProof/>
              </w:rPr>
              <w:t xml:space="preserve">TC-C12-r25 </w:t>
            </w:r>
          </w:p>
        </w:tc>
        <w:tc>
          <w:tcPr>
            <w:tcW w:w="1520" w:type="dxa"/>
            <w:shd w:val="clear" w:color="auto" w:fill="C4EFCE"/>
            <w:vAlign w:val="center"/>
            <w:hideMark/>
          </w:tcPr>
          <w:p w14:paraId="44C2F502"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63E29BE" w14:textId="77777777" w:rsidR="00F24946" w:rsidRDefault="00613B06">
            <w:pPr>
              <w:pStyle w:val="P68B1DB1-Normal23"/>
              <w:spacing w:after="0"/>
              <w:jc w:val="both"/>
              <w:rPr>
                <w:rFonts w:eastAsia="Calibri" w:cs="Calibri"/>
                <w:noProof/>
              </w:rPr>
            </w:pPr>
            <w:r>
              <w:rPr>
                <w:noProof/>
              </w:rPr>
              <w:t>Začetek veljavnosti revidirane nacionalne strategije za zelena javna naročila</w:t>
            </w:r>
          </w:p>
        </w:tc>
      </w:tr>
      <w:tr w:rsidR="00F24946" w14:paraId="41FFE3C7" w14:textId="77777777">
        <w:trPr>
          <w:trHeight w:val="440"/>
        </w:trPr>
        <w:tc>
          <w:tcPr>
            <w:tcW w:w="1200" w:type="dxa"/>
            <w:shd w:val="clear" w:color="auto" w:fill="C4EFCE"/>
            <w:vAlign w:val="center"/>
            <w:hideMark/>
          </w:tcPr>
          <w:p w14:paraId="7800A98C" w14:textId="77777777" w:rsidR="00F24946" w:rsidRDefault="00613B06">
            <w:pPr>
              <w:pStyle w:val="P68B1DB1-Normal23"/>
              <w:spacing w:after="0"/>
              <w:jc w:val="center"/>
              <w:rPr>
                <w:noProof/>
              </w:rPr>
            </w:pPr>
            <w:r>
              <w:rPr>
                <w:noProof/>
              </w:rPr>
              <w:t>15.12</w:t>
            </w:r>
          </w:p>
        </w:tc>
        <w:tc>
          <w:tcPr>
            <w:tcW w:w="1760" w:type="dxa"/>
            <w:shd w:val="clear" w:color="auto" w:fill="C4EFCE"/>
            <w:vAlign w:val="center"/>
            <w:hideMark/>
          </w:tcPr>
          <w:p w14:paraId="4C755F50" w14:textId="77777777" w:rsidR="00F24946" w:rsidRDefault="00613B06">
            <w:pPr>
              <w:pStyle w:val="P68B1DB1-Normal23"/>
              <w:spacing w:after="0"/>
              <w:jc w:val="center"/>
              <w:rPr>
                <w:noProof/>
              </w:rPr>
            </w:pPr>
            <w:r>
              <w:rPr>
                <w:noProof/>
              </w:rPr>
              <w:t xml:space="preserve">TC-C15-i05 </w:t>
            </w:r>
          </w:p>
        </w:tc>
        <w:tc>
          <w:tcPr>
            <w:tcW w:w="1520" w:type="dxa"/>
            <w:shd w:val="clear" w:color="auto" w:fill="C4EFCE"/>
            <w:vAlign w:val="center"/>
            <w:hideMark/>
          </w:tcPr>
          <w:p w14:paraId="4DD658DA"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31B8667" w14:textId="77777777" w:rsidR="00F24946" w:rsidRDefault="00613B06">
            <w:pPr>
              <w:pStyle w:val="P68B1DB1-Normal23"/>
              <w:spacing w:after="0"/>
              <w:jc w:val="both"/>
              <w:rPr>
                <w:rFonts w:eastAsia="Calibri" w:cs="Calibri"/>
                <w:noProof/>
              </w:rPr>
            </w:pPr>
            <w:r>
              <w:rPr>
                <w:noProof/>
              </w:rPr>
              <w:t>Podpisana pogodba za nakup čistih avtobusov v okviru programa za razogljičenje javnega prevoza</w:t>
            </w:r>
          </w:p>
        </w:tc>
      </w:tr>
      <w:tr w:rsidR="00F24946" w14:paraId="39E8616F" w14:textId="77777777">
        <w:trPr>
          <w:trHeight w:val="440"/>
        </w:trPr>
        <w:tc>
          <w:tcPr>
            <w:tcW w:w="1200" w:type="dxa"/>
            <w:shd w:val="clear" w:color="auto" w:fill="C4EFCE"/>
            <w:vAlign w:val="center"/>
            <w:hideMark/>
          </w:tcPr>
          <w:p w14:paraId="10D21247" w14:textId="77777777" w:rsidR="00F24946" w:rsidRDefault="00613B06">
            <w:pPr>
              <w:pStyle w:val="P68B1DB1-Normal23"/>
              <w:spacing w:after="0"/>
              <w:jc w:val="center"/>
              <w:rPr>
                <w:noProof/>
              </w:rPr>
            </w:pPr>
            <w:r>
              <w:rPr>
                <w:noProof/>
              </w:rPr>
              <w:t>16.7</w:t>
            </w:r>
          </w:p>
        </w:tc>
        <w:tc>
          <w:tcPr>
            <w:tcW w:w="1760" w:type="dxa"/>
            <w:shd w:val="clear" w:color="auto" w:fill="C4EFCE"/>
            <w:vAlign w:val="center"/>
            <w:hideMark/>
          </w:tcPr>
          <w:p w14:paraId="6613DE1F" w14:textId="77777777" w:rsidR="00F24946" w:rsidRDefault="00613B06">
            <w:pPr>
              <w:pStyle w:val="P68B1DB1-Normal23"/>
              <w:spacing w:after="0"/>
              <w:jc w:val="center"/>
              <w:rPr>
                <w:noProof/>
              </w:rPr>
            </w:pPr>
            <w:r>
              <w:rPr>
                <w:noProof/>
              </w:rPr>
              <w:t xml:space="preserve">TD-C16-i02 </w:t>
            </w:r>
          </w:p>
        </w:tc>
        <w:tc>
          <w:tcPr>
            <w:tcW w:w="1520" w:type="dxa"/>
            <w:shd w:val="clear" w:color="auto" w:fill="C4EFCE"/>
            <w:vAlign w:val="center"/>
            <w:hideMark/>
          </w:tcPr>
          <w:p w14:paraId="233D2B2C"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ADFDA3" w14:textId="77777777" w:rsidR="00F24946" w:rsidRDefault="00613B06">
            <w:pPr>
              <w:pStyle w:val="P68B1DB1-Normal23"/>
              <w:spacing w:after="0"/>
              <w:jc w:val="both"/>
              <w:rPr>
                <w:rFonts w:eastAsia="Calibri" w:cs="Calibri"/>
                <w:noProof/>
              </w:rPr>
            </w:pPr>
            <w:r>
              <w:rPr>
                <w:noProof/>
              </w:rPr>
              <w:t>Testne naprave, izbrane za nacionalno mrežo preskuševalnih naprav</w:t>
            </w:r>
          </w:p>
        </w:tc>
      </w:tr>
      <w:tr w:rsidR="00F24946" w14:paraId="209EA40D" w14:textId="77777777">
        <w:trPr>
          <w:trHeight w:val="440"/>
        </w:trPr>
        <w:tc>
          <w:tcPr>
            <w:tcW w:w="1200" w:type="dxa"/>
            <w:shd w:val="clear" w:color="auto" w:fill="C4EFCE"/>
            <w:vAlign w:val="center"/>
            <w:hideMark/>
          </w:tcPr>
          <w:p w14:paraId="22EEA5AF" w14:textId="77777777" w:rsidR="00F24946" w:rsidRDefault="00613B06">
            <w:pPr>
              <w:pStyle w:val="P68B1DB1-Normal23"/>
              <w:spacing w:after="0"/>
              <w:jc w:val="center"/>
              <w:rPr>
                <w:noProof/>
              </w:rPr>
            </w:pPr>
            <w:r>
              <w:rPr>
                <w:noProof/>
              </w:rPr>
              <w:t>17.1</w:t>
            </w:r>
          </w:p>
        </w:tc>
        <w:tc>
          <w:tcPr>
            <w:tcW w:w="1760" w:type="dxa"/>
            <w:shd w:val="clear" w:color="auto" w:fill="C4EFCE"/>
            <w:vAlign w:val="center"/>
            <w:hideMark/>
          </w:tcPr>
          <w:p w14:paraId="3856F38E" w14:textId="77777777" w:rsidR="00F24946" w:rsidRDefault="00613B06">
            <w:pPr>
              <w:pStyle w:val="P68B1DB1-Normal23"/>
              <w:spacing w:after="0"/>
              <w:jc w:val="center"/>
              <w:rPr>
                <w:noProof/>
              </w:rPr>
            </w:pPr>
            <w:r>
              <w:rPr>
                <w:noProof/>
              </w:rPr>
              <w:t xml:space="preserve">TD-C17-r32 </w:t>
            </w:r>
          </w:p>
        </w:tc>
        <w:tc>
          <w:tcPr>
            <w:tcW w:w="1520" w:type="dxa"/>
            <w:shd w:val="clear" w:color="auto" w:fill="C4EFCE"/>
            <w:vAlign w:val="center"/>
            <w:hideMark/>
          </w:tcPr>
          <w:p w14:paraId="7ACA6546"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19C34B4" w14:textId="77777777" w:rsidR="00F24946" w:rsidRDefault="00613B06">
            <w:pPr>
              <w:pStyle w:val="P68B1DB1-Normal23"/>
              <w:spacing w:after="0"/>
              <w:jc w:val="both"/>
              <w:rPr>
                <w:rFonts w:eastAsia="Calibri" w:cs="Calibri"/>
                <w:noProof/>
              </w:rPr>
            </w:pPr>
            <w:r>
              <w:rPr>
                <w:noProof/>
              </w:rPr>
              <w:t>Dokončati zasnovo in izvajanje novih modelov javnega naročanja za nacionalni osrednji sistem javnega naročanja, kot je predvideno v strateškem načrtu za obdobje 2020–2023 subjekta za skupne storitve javne uprave;</w:t>
            </w:r>
          </w:p>
        </w:tc>
      </w:tr>
      <w:tr w:rsidR="00F24946" w14:paraId="3F6B3ED7" w14:textId="77777777">
        <w:trPr>
          <w:trHeight w:val="440"/>
        </w:trPr>
        <w:tc>
          <w:tcPr>
            <w:tcW w:w="1200" w:type="dxa"/>
            <w:shd w:val="clear" w:color="auto" w:fill="C4EFCE"/>
            <w:vAlign w:val="center"/>
            <w:hideMark/>
          </w:tcPr>
          <w:p w14:paraId="01084538" w14:textId="77777777" w:rsidR="00F24946" w:rsidRDefault="00613B06">
            <w:pPr>
              <w:pStyle w:val="P68B1DB1-Normal23"/>
              <w:spacing w:after="0"/>
              <w:jc w:val="center"/>
              <w:rPr>
                <w:noProof/>
              </w:rPr>
            </w:pPr>
            <w:r>
              <w:rPr>
                <w:noProof/>
              </w:rPr>
              <w:t>17.2</w:t>
            </w:r>
          </w:p>
        </w:tc>
        <w:tc>
          <w:tcPr>
            <w:tcW w:w="1760" w:type="dxa"/>
            <w:shd w:val="clear" w:color="auto" w:fill="C4EFCE"/>
            <w:vAlign w:val="center"/>
            <w:hideMark/>
          </w:tcPr>
          <w:p w14:paraId="35541530" w14:textId="77777777" w:rsidR="00F24946" w:rsidRDefault="00613B06">
            <w:pPr>
              <w:pStyle w:val="P68B1DB1-Normal23"/>
              <w:spacing w:after="0"/>
              <w:jc w:val="center"/>
              <w:rPr>
                <w:noProof/>
              </w:rPr>
            </w:pPr>
            <w:r>
              <w:rPr>
                <w:noProof/>
              </w:rPr>
              <w:t xml:space="preserve">TD-C17-r32 </w:t>
            </w:r>
          </w:p>
        </w:tc>
        <w:tc>
          <w:tcPr>
            <w:tcW w:w="1520" w:type="dxa"/>
            <w:shd w:val="clear" w:color="auto" w:fill="C4EFCE"/>
            <w:vAlign w:val="center"/>
            <w:hideMark/>
          </w:tcPr>
          <w:p w14:paraId="75BDB3D8"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9A94FE8" w14:textId="77777777" w:rsidR="00F24946" w:rsidRDefault="00613B06">
            <w:pPr>
              <w:pStyle w:val="P68B1DB1-Normal23"/>
              <w:spacing w:after="0"/>
              <w:jc w:val="both"/>
              <w:rPr>
                <w:rFonts w:eastAsia="Calibri" w:cs="Calibri"/>
                <w:noProof/>
              </w:rPr>
            </w:pPr>
            <w:r>
              <w:rPr>
                <w:noProof/>
              </w:rPr>
              <w:t>Začetek veljavnosti zakonodaje, na kateri temelji državni računovodski subjekt</w:t>
            </w:r>
          </w:p>
        </w:tc>
      </w:tr>
      <w:tr w:rsidR="00F24946" w14:paraId="63E30D88" w14:textId="77777777">
        <w:trPr>
          <w:trHeight w:val="440"/>
        </w:trPr>
        <w:tc>
          <w:tcPr>
            <w:tcW w:w="1200" w:type="dxa"/>
            <w:shd w:val="clear" w:color="auto" w:fill="C4EFCE"/>
            <w:vAlign w:val="center"/>
            <w:hideMark/>
          </w:tcPr>
          <w:p w14:paraId="1056837E" w14:textId="77777777" w:rsidR="00F24946" w:rsidRDefault="00613B06">
            <w:pPr>
              <w:pStyle w:val="P68B1DB1-Normal23"/>
              <w:spacing w:after="0"/>
              <w:jc w:val="center"/>
              <w:rPr>
                <w:noProof/>
              </w:rPr>
            </w:pPr>
            <w:r>
              <w:rPr>
                <w:noProof/>
              </w:rPr>
              <w:t>17.3</w:t>
            </w:r>
          </w:p>
        </w:tc>
        <w:tc>
          <w:tcPr>
            <w:tcW w:w="1760" w:type="dxa"/>
            <w:shd w:val="clear" w:color="auto" w:fill="C4EFCE"/>
            <w:vAlign w:val="center"/>
            <w:hideMark/>
          </w:tcPr>
          <w:p w14:paraId="61FF33E4" w14:textId="77777777" w:rsidR="00F24946" w:rsidRDefault="00613B06">
            <w:pPr>
              <w:pStyle w:val="P68B1DB1-Normal23"/>
              <w:spacing w:after="0"/>
              <w:jc w:val="center"/>
              <w:rPr>
                <w:noProof/>
              </w:rPr>
            </w:pPr>
            <w:r>
              <w:rPr>
                <w:noProof/>
              </w:rPr>
              <w:t xml:space="preserve">TD-C17-r32 </w:t>
            </w:r>
          </w:p>
        </w:tc>
        <w:tc>
          <w:tcPr>
            <w:tcW w:w="1520" w:type="dxa"/>
            <w:shd w:val="clear" w:color="auto" w:fill="C4EFCE"/>
            <w:vAlign w:val="center"/>
            <w:hideMark/>
          </w:tcPr>
          <w:p w14:paraId="167697BC"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EA7BBF8" w14:textId="77777777" w:rsidR="00F24946" w:rsidRDefault="00613B06">
            <w:pPr>
              <w:pStyle w:val="P68B1DB1-Normal23"/>
              <w:spacing w:after="0"/>
              <w:jc w:val="both"/>
              <w:rPr>
                <w:rFonts w:eastAsia="Calibri" w:cs="Calibri"/>
                <w:noProof/>
              </w:rPr>
            </w:pPr>
            <w:r>
              <w:rPr>
                <w:noProof/>
              </w:rPr>
              <w:t>Dokončanje in odobritev modela za spremljanje izvrševanja proračuna in finančnega izvrševanja sektorja država</w:t>
            </w:r>
          </w:p>
        </w:tc>
      </w:tr>
      <w:tr w:rsidR="00F24946" w14:paraId="341F280E" w14:textId="77777777">
        <w:trPr>
          <w:trHeight w:val="440"/>
        </w:trPr>
        <w:tc>
          <w:tcPr>
            <w:tcW w:w="1200" w:type="dxa"/>
            <w:shd w:val="clear" w:color="auto" w:fill="C4EFCE"/>
            <w:vAlign w:val="center"/>
            <w:hideMark/>
          </w:tcPr>
          <w:p w14:paraId="188AFE97" w14:textId="77777777" w:rsidR="00F24946" w:rsidRDefault="00613B06">
            <w:pPr>
              <w:pStyle w:val="P68B1DB1-Normal23"/>
              <w:spacing w:after="0"/>
              <w:jc w:val="center"/>
              <w:rPr>
                <w:noProof/>
              </w:rPr>
            </w:pPr>
            <w:r>
              <w:rPr>
                <w:noProof/>
              </w:rPr>
              <w:t>17.7</w:t>
            </w:r>
          </w:p>
        </w:tc>
        <w:tc>
          <w:tcPr>
            <w:tcW w:w="1760" w:type="dxa"/>
            <w:shd w:val="clear" w:color="auto" w:fill="C4EFCE"/>
            <w:vAlign w:val="center"/>
            <w:hideMark/>
          </w:tcPr>
          <w:p w14:paraId="275594B7" w14:textId="77777777" w:rsidR="00F24946" w:rsidRDefault="00613B06">
            <w:pPr>
              <w:pStyle w:val="P68B1DB1-Normal23"/>
              <w:spacing w:after="0"/>
              <w:jc w:val="center"/>
              <w:rPr>
                <w:noProof/>
              </w:rPr>
            </w:pPr>
            <w:r>
              <w:rPr>
                <w:noProof/>
              </w:rPr>
              <w:t xml:space="preserve">TD-C17-r32 </w:t>
            </w:r>
          </w:p>
        </w:tc>
        <w:tc>
          <w:tcPr>
            <w:tcW w:w="1520" w:type="dxa"/>
            <w:shd w:val="clear" w:color="auto" w:fill="C4EFCE"/>
            <w:vAlign w:val="center"/>
            <w:hideMark/>
          </w:tcPr>
          <w:p w14:paraId="1936EA41"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AC574CF" w14:textId="77777777" w:rsidR="00F24946" w:rsidRDefault="00613B06">
            <w:pPr>
              <w:pStyle w:val="P68B1DB1-Normal23"/>
              <w:spacing w:after="0"/>
              <w:jc w:val="both"/>
              <w:rPr>
                <w:rFonts w:eastAsia="Calibri" w:cs="Calibri"/>
                <w:noProof/>
              </w:rPr>
            </w:pPr>
            <w:r>
              <w:rPr>
                <w:noProof/>
              </w:rPr>
              <w:t>Začetek veljavnosti novega modela za analizo in razkritje finančnega stanja in uspešnosti podjetij v državni lasti</w:t>
            </w:r>
          </w:p>
        </w:tc>
      </w:tr>
      <w:tr w:rsidR="00F24946" w14:paraId="3B0F106A" w14:textId="77777777">
        <w:trPr>
          <w:trHeight w:val="440"/>
        </w:trPr>
        <w:tc>
          <w:tcPr>
            <w:tcW w:w="1200" w:type="dxa"/>
            <w:shd w:val="clear" w:color="auto" w:fill="C4EFCE"/>
            <w:vAlign w:val="center"/>
            <w:hideMark/>
          </w:tcPr>
          <w:p w14:paraId="2A50687F" w14:textId="77777777" w:rsidR="00F24946" w:rsidRDefault="00613B06">
            <w:pPr>
              <w:pStyle w:val="P68B1DB1-Normal23"/>
              <w:spacing w:after="0"/>
              <w:jc w:val="center"/>
              <w:rPr>
                <w:noProof/>
              </w:rPr>
            </w:pPr>
            <w:r>
              <w:rPr>
                <w:noProof/>
              </w:rPr>
              <w:t>19.1</w:t>
            </w:r>
          </w:p>
        </w:tc>
        <w:tc>
          <w:tcPr>
            <w:tcW w:w="1760" w:type="dxa"/>
            <w:shd w:val="clear" w:color="auto" w:fill="C4EFCE"/>
            <w:vAlign w:val="center"/>
            <w:hideMark/>
          </w:tcPr>
          <w:p w14:paraId="69C58795" w14:textId="77777777" w:rsidR="00F24946" w:rsidRDefault="00613B06">
            <w:pPr>
              <w:pStyle w:val="P68B1DB1-Normal23"/>
              <w:spacing w:after="0"/>
              <w:jc w:val="center"/>
              <w:rPr>
                <w:noProof/>
              </w:rPr>
            </w:pPr>
            <w:r>
              <w:rPr>
                <w:noProof/>
              </w:rPr>
              <w:t xml:space="preserve">TD-C19-i01 </w:t>
            </w:r>
          </w:p>
        </w:tc>
        <w:tc>
          <w:tcPr>
            <w:tcW w:w="1520" w:type="dxa"/>
            <w:shd w:val="clear" w:color="auto" w:fill="C4EFCE"/>
            <w:vAlign w:val="center"/>
            <w:hideMark/>
          </w:tcPr>
          <w:p w14:paraId="59EF48D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BCAB859" w14:textId="77777777" w:rsidR="00F24946" w:rsidRDefault="00613B06">
            <w:pPr>
              <w:pStyle w:val="P68B1DB1-Normal23"/>
              <w:spacing w:after="0"/>
              <w:jc w:val="both"/>
              <w:rPr>
                <w:rFonts w:eastAsia="Calibri" w:cs="Calibri"/>
                <w:noProof/>
              </w:rPr>
            </w:pPr>
            <w:r>
              <w:rPr>
                <w:noProof/>
              </w:rPr>
              <w:t>Javne storitve, ki so na voljo na poenostavljen in skladen način prek različnih kanalov</w:t>
            </w:r>
          </w:p>
        </w:tc>
      </w:tr>
      <w:tr w:rsidR="00F24946" w14:paraId="6A1F9585" w14:textId="77777777">
        <w:trPr>
          <w:trHeight w:val="440"/>
        </w:trPr>
        <w:tc>
          <w:tcPr>
            <w:tcW w:w="1200" w:type="dxa"/>
            <w:shd w:val="clear" w:color="auto" w:fill="C4EFCE"/>
            <w:vAlign w:val="center"/>
            <w:hideMark/>
          </w:tcPr>
          <w:p w14:paraId="4BF5836E" w14:textId="77777777" w:rsidR="00F24946" w:rsidRDefault="00613B06">
            <w:pPr>
              <w:pStyle w:val="P68B1DB1-Normal23"/>
              <w:spacing w:after="0"/>
              <w:jc w:val="center"/>
              <w:rPr>
                <w:noProof/>
              </w:rPr>
            </w:pPr>
            <w:r>
              <w:rPr>
                <w:noProof/>
              </w:rPr>
              <w:t>19.4</w:t>
            </w:r>
          </w:p>
        </w:tc>
        <w:tc>
          <w:tcPr>
            <w:tcW w:w="1760" w:type="dxa"/>
            <w:shd w:val="clear" w:color="auto" w:fill="C4EFCE"/>
            <w:vAlign w:val="center"/>
            <w:hideMark/>
          </w:tcPr>
          <w:p w14:paraId="24BFF365" w14:textId="77777777" w:rsidR="00F24946" w:rsidRDefault="00613B06">
            <w:pPr>
              <w:pStyle w:val="P68B1DB1-Normal23"/>
              <w:spacing w:after="0"/>
              <w:jc w:val="center"/>
              <w:rPr>
                <w:noProof/>
              </w:rPr>
            </w:pPr>
            <w:r>
              <w:rPr>
                <w:noProof/>
              </w:rPr>
              <w:t xml:space="preserve">TD-C19-i02 </w:t>
            </w:r>
          </w:p>
        </w:tc>
        <w:tc>
          <w:tcPr>
            <w:tcW w:w="1520" w:type="dxa"/>
            <w:shd w:val="clear" w:color="auto" w:fill="C4EFCE"/>
            <w:vAlign w:val="center"/>
            <w:hideMark/>
          </w:tcPr>
          <w:p w14:paraId="72E93AC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8803935" w14:textId="77777777" w:rsidR="00F24946" w:rsidRDefault="00613B06">
            <w:pPr>
              <w:pStyle w:val="P68B1DB1-Normal23"/>
              <w:spacing w:after="0"/>
              <w:jc w:val="both"/>
              <w:rPr>
                <w:rFonts w:eastAsia="Calibri" w:cs="Calibri"/>
                <w:noProof/>
              </w:rPr>
            </w:pPr>
            <w:r>
              <w:rPr>
                <w:noProof/>
              </w:rPr>
              <w:t>Javne storitve, ki so varno dostopne z elektronsko identiteto in spoštujejo načelo „samo enkrat“</w:t>
            </w:r>
          </w:p>
        </w:tc>
      </w:tr>
      <w:tr w:rsidR="00F24946" w14:paraId="4FC6C1D5" w14:textId="77777777">
        <w:trPr>
          <w:trHeight w:val="440"/>
        </w:trPr>
        <w:tc>
          <w:tcPr>
            <w:tcW w:w="1200" w:type="dxa"/>
            <w:shd w:val="clear" w:color="auto" w:fill="C4EFCE"/>
            <w:vAlign w:val="center"/>
            <w:hideMark/>
          </w:tcPr>
          <w:p w14:paraId="58B8057A" w14:textId="77777777" w:rsidR="00F24946" w:rsidRDefault="00613B06">
            <w:pPr>
              <w:pStyle w:val="P68B1DB1-Normal23"/>
              <w:spacing w:after="0"/>
              <w:jc w:val="center"/>
              <w:rPr>
                <w:noProof/>
              </w:rPr>
            </w:pPr>
            <w:r>
              <w:rPr>
                <w:noProof/>
              </w:rPr>
              <w:t>20.3</w:t>
            </w:r>
          </w:p>
        </w:tc>
        <w:tc>
          <w:tcPr>
            <w:tcW w:w="1760" w:type="dxa"/>
            <w:shd w:val="clear" w:color="auto" w:fill="C4EFCE"/>
            <w:vAlign w:val="center"/>
            <w:hideMark/>
          </w:tcPr>
          <w:p w14:paraId="26B70452" w14:textId="77777777" w:rsidR="00F24946" w:rsidRDefault="00613B06">
            <w:pPr>
              <w:pStyle w:val="P68B1DB1-Normal23"/>
              <w:spacing w:after="0"/>
              <w:jc w:val="center"/>
              <w:rPr>
                <w:noProof/>
              </w:rPr>
            </w:pPr>
            <w:r>
              <w:rPr>
                <w:noProof/>
              </w:rPr>
              <w:t xml:space="preserve">TD-C20-i01 </w:t>
            </w:r>
          </w:p>
        </w:tc>
        <w:tc>
          <w:tcPr>
            <w:tcW w:w="1520" w:type="dxa"/>
            <w:shd w:val="clear" w:color="auto" w:fill="C4EFCE"/>
            <w:vAlign w:val="center"/>
            <w:hideMark/>
          </w:tcPr>
          <w:p w14:paraId="562D7FF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A927607" w14:textId="77777777" w:rsidR="00F24946" w:rsidRDefault="00613B06">
            <w:pPr>
              <w:pStyle w:val="P68B1DB1-Normal23"/>
              <w:spacing w:after="0"/>
              <w:jc w:val="both"/>
              <w:rPr>
                <w:rFonts w:eastAsia="Calibri" w:cs="Calibri"/>
                <w:noProof/>
              </w:rPr>
            </w:pPr>
            <w:r>
              <w:rPr>
                <w:noProof/>
              </w:rPr>
              <w:t>Računalniki za individualno uporabo učencev in učiteljev</w:t>
            </w:r>
          </w:p>
        </w:tc>
      </w:tr>
      <w:tr w:rsidR="00F24946" w14:paraId="6F9EE469" w14:textId="77777777">
        <w:trPr>
          <w:trHeight w:val="440"/>
        </w:trPr>
        <w:tc>
          <w:tcPr>
            <w:tcW w:w="1200" w:type="dxa"/>
            <w:shd w:val="clear" w:color="auto" w:fill="C4EFCE"/>
            <w:vAlign w:val="center"/>
            <w:hideMark/>
          </w:tcPr>
          <w:p w14:paraId="1706F9AC" w14:textId="77777777" w:rsidR="00F24946" w:rsidRDefault="00613B06">
            <w:pPr>
              <w:pStyle w:val="P68B1DB1-Normal23"/>
              <w:spacing w:after="0"/>
              <w:jc w:val="center"/>
              <w:rPr>
                <w:noProof/>
              </w:rPr>
            </w:pPr>
            <w:r>
              <w:rPr>
                <w:noProof/>
              </w:rPr>
              <w:t>20.10</w:t>
            </w:r>
          </w:p>
        </w:tc>
        <w:tc>
          <w:tcPr>
            <w:tcW w:w="1760" w:type="dxa"/>
            <w:shd w:val="clear" w:color="auto" w:fill="C4EFCE"/>
            <w:vAlign w:val="center"/>
            <w:hideMark/>
          </w:tcPr>
          <w:p w14:paraId="01A5078A" w14:textId="77777777" w:rsidR="00F24946" w:rsidRDefault="00613B06">
            <w:pPr>
              <w:pStyle w:val="P68B1DB1-Normal23"/>
              <w:spacing w:after="0"/>
              <w:jc w:val="center"/>
              <w:rPr>
                <w:noProof/>
              </w:rPr>
            </w:pPr>
            <w:r>
              <w:rPr>
                <w:noProof/>
              </w:rPr>
              <w:t xml:space="preserve">TD-C20-i02-RAA </w:t>
            </w:r>
          </w:p>
        </w:tc>
        <w:tc>
          <w:tcPr>
            <w:tcW w:w="1520" w:type="dxa"/>
            <w:shd w:val="clear" w:color="auto" w:fill="C4EFCE"/>
            <w:vAlign w:val="center"/>
            <w:hideMark/>
          </w:tcPr>
          <w:p w14:paraId="331EFA9F"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6817629" w14:textId="77777777" w:rsidR="00F24946" w:rsidRDefault="00613B06">
            <w:pPr>
              <w:pStyle w:val="P68B1DB1-Normal23"/>
              <w:spacing w:after="0"/>
              <w:jc w:val="both"/>
              <w:rPr>
                <w:rFonts w:eastAsia="Calibri" w:cs="Calibri"/>
                <w:noProof/>
              </w:rPr>
            </w:pPr>
            <w:r>
              <w:rPr>
                <w:noProof/>
              </w:rPr>
              <w:t>Množični odprti spletni tečaji za učitelje in starše v ARA</w:t>
            </w:r>
          </w:p>
        </w:tc>
      </w:tr>
      <w:tr w:rsidR="00F24946" w14:paraId="218A5DAF" w14:textId="77777777">
        <w:trPr>
          <w:trHeight w:val="440"/>
        </w:trPr>
        <w:tc>
          <w:tcPr>
            <w:tcW w:w="1200" w:type="dxa"/>
            <w:shd w:val="clear" w:color="auto" w:fill="C4EFCE"/>
            <w:vAlign w:val="center"/>
            <w:hideMark/>
          </w:tcPr>
          <w:p w14:paraId="3DAD8CAD" w14:textId="77777777" w:rsidR="00F24946" w:rsidRDefault="00613B06">
            <w:pPr>
              <w:pStyle w:val="P68B1DB1-Normal23"/>
              <w:spacing w:after="0"/>
              <w:jc w:val="center"/>
              <w:rPr>
                <w:noProof/>
              </w:rPr>
            </w:pPr>
            <w:r>
              <w:rPr>
                <w:noProof/>
              </w:rPr>
              <w:t>20.14</w:t>
            </w:r>
          </w:p>
        </w:tc>
        <w:tc>
          <w:tcPr>
            <w:tcW w:w="1760" w:type="dxa"/>
            <w:shd w:val="clear" w:color="auto" w:fill="C4EFCE"/>
            <w:vAlign w:val="center"/>
            <w:hideMark/>
          </w:tcPr>
          <w:p w14:paraId="45FA9E7E" w14:textId="77777777" w:rsidR="00F24946" w:rsidRDefault="00613B06">
            <w:pPr>
              <w:pStyle w:val="P68B1DB1-Normal23"/>
              <w:spacing w:after="0"/>
              <w:jc w:val="center"/>
              <w:rPr>
                <w:noProof/>
              </w:rPr>
            </w:pPr>
            <w:r>
              <w:rPr>
                <w:noProof/>
              </w:rPr>
              <w:t xml:space="preserve">TD-C20-i03-RAM </w:t>
            </w:r>
          </w:p>
        </w:tc>
        <w:tc>
          <w:tcPr>
            <w:tcW w:w="1520" w:type="dxa"/>
            <w:shd w:val="clear" w:color="auto" w:fill="C4EFCE"/>
            <w:vAlign w:val="center"/>
            <w:hideMark/>
          </w:tcPr>
          <w:p w14:paraId="3A9F12D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3A30F30" w14:textId="77777777" w:rsidR="00F24946" w:rsidRDefault="00613B06">
            <w:pPr>
              <w:pStyle w:val="P68B1DB1-Normal23"/>
              <w:spacing w:after="0"/>
              <w:jc w:val="both"/>
              <w:rPr>
                <w:rFonts w:eastAsia="Calibri" w:cs="Calibri"/>
                <w:noProof/>
              </w:rPr>
            </w:pPr>
            <w:r>
              <w:rPr>
                <w:noProof/>
              </w:rPr>
              <w:t>Digitalni priročniki za učence v drugem in tretjem ciklu ter srednješolce</w:t>
            </w:r>
          </w:p>
        </w:tc>
      </w:tr>
      <w:tr w:rsidR="00F24946" w14:paraId="13FE7E31" w14:textId="77777777">
        <w:trPr>
          <w:trHeight w:val="440"/>
        </w:trPr>
        <w:tc>
          <w:tcPr>
            <w:tcW w:w="1200" w:type="dxa"/>
            <w:shd w:val="clear" w:color="auto" w:fill="C4EFCE"/>
            <w:vAlign w:val="center"/>
          </w:tcPr>
          <w:p w14:paraId="0B18E216" w14:textId="6C76CE3F" w:rsidR="00F24946" w:rsidRDefault="00613B06">
            <w:pPr>
              <w:pStyle w:val="P68B1DB1-Normal23"/>
              <w:spacing w:after="0"/>
              <w:jc w:val="center"/>
              <w:rPr>
                <w:rFonts w:eastAsia="Calibri" w:cs="Calibri"/>
                <w:noProof/>
              </w:rPr>
            </w:pPr>
            <w:r>
              <w:rPr>
                <w:noProof/>
              </w:rPr>
              <w:t>22.1</w:t>
            </w:r>
          </w:p>
        </w:tc>
        <w:tc>
          <w:tcPr>
            <w:tcW w:w="1760" w:type="dxa"/>
            <w:shd w:val="clear" w:color="auto" w:fill="C4EFCE"/>
            <w:vAlign w:val="center"/>
          </w:tcPr>
          <w:p w14:paraId="54A61AAA" w14:textId="7F5F0C12" w:rsidR="00F24946" w:rsidRDefault="00613B06">
            <w:pPr>
              <w:pStyle w:val="P68B1DB1-Normal23"/>
              <w:spacing w:after="0"/>
              <w:jc w:val="center"/>
              <w:rPr>
                <w:rFonts w:eastAsia="Calibri" w:cs="Calibri"/>
                <w:noProof/>
              </w:rPr>
            </w:pPr>
            <w:r>
              <w:rPr>
                <w:noProof/>
              </w:rPr>
              <w:t>Re-C22-r49</w:t>
            </w:r>
          </w:p>
        </w:tc>
        <w:tc>
          <w:tcPr>
            <w:tcW w:w="1520" w:type="dxa"/>
            <w:shd w:val="clear" w:color="auto" w:fill="C4EFCE"/>
            <w:vAlign w:val="center"/>
          </w:tcPr>
          <w:p w14:paraId="0359E033" w14:textId="53239CA4"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tcPr>
          <w:p w14:paraId="29FAC258" w14:textId="2F0164F0" w:rsidR="00F24946" w:rsidRDefault="00613B06">
            <w:pPr>
              <w:pStyle w:val="P68B1DB1-Normal23"/>
              <w:spacing w:after="0"/>
              <w:jc w:val="both"/>
              <w:rPr>
                <w:rFonts w:eastAsia="Calibri" w:cs="Calibri"/>
                <w:noProof/>
              </w:rPr>
            </w:pPr>
            <w:r>
              <w:rPr>
                <w:noProof/>
              </w:rPr>
              <w:t>Sprememba pogodb o financiranju med EMRP in izvajalskimi organi, da se vključi obveznost izvedbe ocene tveganja goljufij</w:t>
            </w:r>
          </w:p>
        </w:tc>
      </w:tr>
      <w:tr w:rsidR="00F24946" w14:paraId="1692F67E" w14:textId="77777777">
        <w:trPr>
          <w:trHeight w:val="440"/>
        </w:trPr>
        <w:tc>
          <w:tcPr>
            <w:tcW w:w="1200" w:type="dxa"/>
            <w:shd w:val="clear" w:color="auto" w:fill="C4EFCE"/>
            <w:vAlign w:val="center"/>
          </w:tcPr>
          <w:p w14:paraId="1B2C4316" w14:textId="01C57EEC" w:rsidR="00F24946" w:rsidRDefault="00613B06">
            <w:pPr>
              <w:pStyle w:val="P68B1DB1-Normal23"/>
              <w:spacing w:after="0"/>
              <w:jc w:val="center"/>
              <w:rPr>
                <w:rFonts w:eastAsia="Calibri" w:cs="Calibri"/>
                <w:noProof/>
              </w:rPr>
            </w:pPr>
            <w:r>
              <w:rPr>
                <w:noProof/>
              </w:rPr>
              <w:t>22.2</w:t>
            </w:r>
          </w:p>
        </w:tc>
        <w:tc>
          <w:tcPr>
            <w:tcW w:w="1760" w:type="dxa"/>
            <w:shd w:val="clear" w:color="auto" w:fill="C4EFCE"/>
            <w:vAlign w:val="center"/>
          </w:tcPr>
          <w:p w14:paraId="0C165A5E" w14:textId="0D1FBC0D" w:rsidR="00F24946" w:rsidRDefault="00613B06">
            <w:pPr>
              <w:pStyle w:val="P68B1DB1-Normal23"/>
              <w:spacing w:after="0"/>
              <w:jc w:val="center"/>
              <w:rPr>
                <w:rFonts w:eastAsia="Calibri" w:cs="Calibri"/>
                <w:noProof/>
              </w:rPr>
            </w:pPr>
            <w:r>
              <w:rPr>
                <w:noProof/>
              </w:rPr>
              <w:t>Re-C22-r49</w:t>
            </w:r>
          </w:p>
        </w:tc>
        <w:tc>
          <w:tcPr>
            <w:tcW w:w="1520" w:type="dxa"/>
            <w:shd w:val="clear" w:color="auto" w:fill="C4EFCE"/>
            <w:vAlign w:val="center"/>
          </w:tcPr>
          <w:p w14:paraId="5095848A" w14:textId="060F218F"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tcPr>
          <w:p w14:paraId="130A8B69" w14:textId="638A0661" w:rsidR="00F24946" w:rsidRDefault="00613B06">
            <w:pPr>
              <w:pStyle w:val="P68B1DB1-Normal23"/>
              <w:spacing w:after="0"/>
              <w:jc w:val="both"/>
              <w:rPr>
                <w:rFonts w:eastAsia="Calibri" w:cs="Calibri"/>
                <w:noProof/>
              </w:rPr>
            </w:pPr>
            <w:r>
              <w:rPr>
                <w:noProof/>
              </w:rPr>
              <w:t>Uvedba navzkrižnih preverjanj za dvojno financiranje</w:t>
            </w:r>
          </w:p>
        </w:tc>
      </w:tr>
      <w:tr w:rsidR="00F24946" w14:paraId="74CD506E" w14:textId="77777777">
        <w:trPr>
          <w:trHeight w:val="440"/>
        </w:trPr>
        <w:tc>
          <w:tcPr>
            <w:tcW w:w="1200" w:type="dxa"/>
            <w:shd w:val="clear" w:color="auto" w:fill="C4EFCE"/>
            <w:vAlign w:val="center"/>
            <w:hideMark/>
          </w:tcPr>
          <w:p w14:paraId="5438D3B8" w14:textId="77777777" w:rsidR="00F24946" w:rsidRDefault="00613B06">
            <w:pPr>
              <w:pStyle w:val="P68B1DB1-Normal8"/>
              <w:spacing w:after="0"/>
              <w:jc w:val="center"/>
              <w:rPr>
                <w:noProof/>
              </w:rPr>
            </w:pPr>
            <w:r>
              <w:rPr>
                <w:noProof/>
              </w:rPr>
              <w:t xml:space="preserve"> </w:t>
            </w:r>
          </w:p>
        </w:tc>
        <w:tc>
          <w:tcPr>
            <w:tcW w:w="1760" w:type="dxa"/>
            <w:shd w:val="clear" w:color="auto" w:fill="C4EFCE"/>
            <w:vAlign w:val="center"/>
            <w:hideMark/>
          </w:tcPr>
          <w:p w14:paraId="231F2F2F" w14:textId="77777777" w:rsidR="00F24946" w:rsidRDefault="00613B06">
            <w:pPr>
              <w:pStyle w:val="P68B1DB1-Normal8"/>
              <w:spacing w:after="0"/>
              <w:rPr>
                <w:noProof/>
              </w:rPr>
            </w:pPr>
            <w:r>
              <w:rPr>
                <w:noProof/>
              </w:rPr>
              <w:t xml:space="preserve"> </w:t>
            </w:r>
          </w:p>
        </w:tc>
        <w:tc>
          <w:tcPr>
            <w:tcW w:w="1520" w:type="dxa"/>
            <w:shd w:val="clear" w:color="auto" w:fill="C4EFCE"/>
            <w:vAlign w:val="center"/>
            <w:hideMark/>
          </w:tcPr>
          <w:p w14:paraId="7E61E2C8" w14:textId="77777777" w:rsidR="00F24946" w:rsidRDefault="00613B06">
            <w:pPr>
              <w:pStyle w:val="P68B1DB1-Normal24"/>
              <w:spacing w:after="0"/>
              <w:jc w:val="center"/>
              <w:rPr>
                <w:noProof/>
              </w:rPr>
            </w:pPr>
            <w:r>
              <w:rPr>
                <w:noProof/>
              </w:rPr>
              <w:t xml:space="preserve">Znesek obroka </w:t>
            </w:r>
          </w:p>
        </w:tc>
        <w:tc>
          <w:tcPr>
            <w:tcW w:w="5060" w:type="dxa"/>
            <w:shd w:val="clear" w:color="auto" w:fill="C4EFCE"/>
            <w:vAlign w:val="center"/>
            <w:hideMark/>
          </w:tcPr>
          <w:p w14:paraId="0C460227" w14:textId="75B7960E" w:rsidR="00F24946" w:rsidRDefault="00613B06">
            <w:pPr>
              <w:pStyle w:val="P68B1DB1-Normal25"/>
              <w:spacing w:after="0"/>
              <w:jc w:val="center"/>
              <w:rPr>
                <w:noProof/>
              </w:rPr>
            </w:pPr>
            <w:r>
              <w:rPr>
                <w:noProof/>
              </w:rPr>
              <w:t>2 010 220 573 EUR</w:t>
            </w:r>
          </w:p>
        </w:tc>
      </w:tr>
    </w:tbl>
    <w:p w14:paraId="039389FF" w14:textId="77777777" w:rsidR="00F24946" w:rsidRDefault="00F24946">
      <w:pPr>
        <w:rPr>
          <w:noProof/>
        </w:rPr>
      </w:pPr>
    </w:p>
    <w:p w14:paraId="4E219CD4"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7A8A5CC2" w14:textId="77777777" w:rsidR="00F24946" w:rsidRDefault="00613B06">
      <w:pPr>
        <w:pStyle w:val="P68B1DB1-Normal4"/>
        <w:keepNext/>
        <w:keepLines/>
        <w:numPr>
          <w:ilvl w:val="1"/>
          <w:numId w:val="19"/>
        </w:numPr>
        <w:spacing w:before="40" w:after="160" w:line="259" w:lineRule="auto"/>
        <w:contextualSpacing/>
        <w:jc w:val="both"/>
        <w:rPr>
          <w:rFonts w:eastAsiaTheme="minorEastAsia" w:cs="Times New Roman"/>
          <w:noProof/>
        </w:rPr>
      </w:pPr>
      <w:r>
        <w:rPr>
          <w:noProof/>
        </w:rPr>
        <w:t xml:space="preserve">Četrti zahtevek za plačilo (nepovratna podpora): </w:t>
      </w:r>
    </w:p>
    <w:p w14:paraId="29158653" w14:textId="77777777" w:rsidR="00F24946" w:rsidRDefault="00F24946">
      <w:pPr>
        <w:keepNext/>
        <w:keepLines/>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F24946" w14:paraId="56ED83EA"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CEDDC4" w14:textId="77777777" w:rsidR="00F24946" w:rsidRDefault="00613B06">
            <w:pPr>
              <w:pStyle w:val="P68B1DB1-Normal22"/>
              <w:keepNext/>
              <w:keepLines/>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01E8A35" w14:textId="77777777" w:rsidR="00F24946" w:rsidRDefault="00613B06">
            <w:pPr>
              <w:pStyle w:val="P68B1DB1-Normal22"/>
              <w:keepNext/>
              <w:keepLines/>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A90392" w14:textId="77777777" w:rsidR="00F24946" w:rsidRDefault="00613B06">
            <w:pPr>
              <w:pStyle w:val="P68B1DB1-Normal22"/>
              <w:keepNext/>
              <w:keepLines/>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FADC97" w14:textId="77777777" w:rsidR="00F24946" w:rsidRDefault="00613B06">
            <w:pPr>
              <w:pStyle w:val="P68B1DB1-Normal22"/>
              <w:keepNext/>
              <w:keepLines/>
              <w:spacing w:after="0" w:line="240" w:lineRule="auto"/>
              <w:jc w:val="center"/>
              <w:rPr>
                <w:rFonts w:eastAsia="Times New Roman" w:cs="Times New Roman"/>
                <w:noProof/>
              </w:rPr>
            </w:pPr>
            <w:r>
              <w:rPr>
                <w:noProof/>
              </w:rPr>
              <w:t>Ime</w:t>
            </w:r>
          </w:p>
        </w:tc>
      </w:tr>
      <w:tr w:rsidR="00F24946" w14:paraId="7FF864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0EA99F9" w14:textId="77777777" w:rsidR="00F24946" w:rsidRDefault="00613B06">
            <w:pPr>
              <w:pStyle w:val="P68B1DB1-Normal23"/>
              <w:spacing w:after="0"/>
              <w:jc w:val="center"/>
              <w:rPr>
                <w:rFonts w:eastAsia="Calibri" w:cs="Calibri"/>
                <w:noProof/>
              </w:rPr>
            </w:pPr>
            <w:r>
              <w:rPr>
                <w:noProof/>
              </w:rPr>
              <w:t>1.1</w:t>
            </w:r>
          </w:p>
        </w:tc>
        <w:tc>
          <w:tcPr>
            <w:tcW w:w="1760" w:type="dxa"/>
            <w:tcBorders>
              <w:top w:val="nil"/>
              <w:left w:val="nil"/>
              <w:bottom w:val="single" w:sz="4" w:space="0" w:color="auto"/>
              <w:right w:val="single" w:sz="4" w:space="0" w:color="auto"/>
            </w:tcBorders>
            <w:shd w:val="clear" w:color="auto" w:fill="C4EFCE"/>
            <w:vAlign w:val="center"/>
            <w:hideMark/>
          </w:tcPr>
          <w:p w14:paraId="7321C9DC" w14:textId="77777777" w:rsidR="00F24946" w:rsidRDefault="00613B06">
            <w:pPr>
              <w:pStyle w:val="P68B1DB1-Normal23"/>
              <w:spacing w:after="0"/>
              <w:jc w:val="center"/>
              <w:rPr>
                <w:rFonts w:eastAsia="Calibri" w:cs="Calibri"/>
                <w:noProof/>
              </w:rPr>
            </w:pPr>
            <w:r>
              <w:rPr>
                <w:noProof/>
              </w:rPr>
              <w:t xml:space="preserve">Re-C01-r01  </w:t>
            </w:r>
          </w:p>
        </w:tc>
        <w:tc>
          <w:tcPr>
            <w:tcW w:w="1520" w:type="dxa"/>
            <w:tcBorders>
              <w:top w:val="nil"/>
              <w:left w:val="nil"/>
              <w:bottom w:val="single" w:sz="4" w:space="0" w:color="auto"/>
              <w:right w:val="single" w:sz="4" w:space="0" w:color="auto"/>
            </w:tcBorders>
            <w:shd w:val="clear" w:color="auto" w:fill="C4EFCE"/>
            <w:vAlign w:val="center"/>
            <w:hideMark/>
          </w:tcPr>
          <w:p w14:paraId="7249E60B"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80B2E35" w14:textId="77777777" w:rsidR="00F24946" w:rsidRDefault="00613B06">
            <w:pPr>
              <w:pStyle w:val="P68B1DB1-Normal23"/>
              <w:spacing w:after="0"/>
              <w:jc w:val="both"/>
              <w:rPr>
                <w:rFonts w:eastAsia="Calibri" w:cs="Calibri"/>
                <w:noProof/>
              </w:rPr>
            </w:pPr>
            <w:r>
              <w:rPr>
                <w:noProof/>
              </w:rPr>
              <w:t>Začetek veljavnosti pravnih aktov na področju primarnega zdravstvenega varstva</w:t>
            </w:r>
          </w:p>
        </w:tc>
      </w:tr>
      <w:tr w:rsidR="00F24946" w14:paraId="289CD2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38F888" w14:textId="77777777" w:rsidR="00F24946" w:rsidRDefault="00613B06">
            <w:pPr>
              <w:pStyle w:val="P68B1DB1-Normal23"/>
              <w:spacing w:after="0"/>
              <w:jc w:val="center"/>
              <w:rPr>
                <w:rFonts w:eastAsia="Calibri" w:cs="Calibri"/>
                <w:noProof/>
              </w:rPr>
            </w:pPr>
            <w:r>
              <w:rPr>
                <w:noProof/>
              </w:rPr>
              <w:t>1.5</w:t>
            </w:r>
          </w:p>
        </w:tc>
        <w:tc>
          <w:tcPr>
            <w:tcW w:w="1760" w:type="dxa"/>
            <w:tcBorders>
              <w:top w:val="nil"/>
              <w:left w:val="nil"/>
              <w:bottom w:val="single" w:sz="4" w:space="0" w:color="auto"/>
              <w:right w:val="single" w:sz="4" w:space="0" w:color="auto"/>
            </w:tcBorders>
            <w:shd w:val="clear" w:color="auto" w:fill="C4EFCE"/>
            <w:vAlign w:val="center"/>
            <w:hideMark/>
          </w:tcPr>
          <w:p w14:paraId="5FA3726A" w14:textId="77777777" w:rsidR="00F24946" w:rsidRDefault="00613B06">
            <w:pPr>
              <w:pStyle w:val="P68B1DB1-Normal23"/>
              <w:spacing w:after="0"/>
              <w:jc w:val="center"/>
              <w:rPr>
                <w:rFonts w:eastAsia="Calibri" w:cs="Calibri"/>
                <w:noProof/>
              </w:rPr>
            </w:pPr>
            <w:r>
              <w:rPr>
                <w:noProof/>
              </w:rPr>
              <w:t xml:space="preserve">Re-C01-r02  </w:t>
            </w:r>
          </w:p>
        </w:tc>
        <w:tc>
          <w:tcPr>
            <w:tcW w:w="1520" w:type="dxa"/>
            <w:tcBorders>
              <w:top w:val="nil"/>
              <w:left w:val="nil"/>
              <w:bottom w:val="single" w:sz="4" w:space="0" w:color="auto"/>
              <w:right w:val="single" w:sz="4" w:space="0" w:color="auto"/>
            </w:tcBorders>
            <w:shd w:val="clear" w:color="auto" w:fill="C4EFCE"/>
            <w:vAlign w:val="center"/>
            <w:hideMark/>
          </w:tcPr>
          <w:p w14:paraId="1C6933D6"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AF65EBB" w14:textId="77777777" w:rsidR="00F24946" w:rsidRDefault="00613B06">
            <w:pPr>
              <w:pStyle w:val="P68B1DB1-Normal23"/>
              <w:spacing w:after="0"/>
              <w:jc w:val="both"/>
              <w:rPr>
                <w:rFonts w:eastAsia="Calibri" w:cs="Calibri"/>
                <w:noProof/>
              </w:rPr>
            </w:pPr>
            <w:r>
              <w:rPr>
                <w:noProof/>
              </w:rPr>
              <w:t>Začetek veljavnosti novega zakona o duševnem zdravju, ki določa načela v zvezi s pravicami oseb z duševnimi boleznimi in ureja obvezno hospitalizacijo ali zdravljenje</w:t>
            </w:r>
          </w:p>
        </w:tc>
      </w:tr>
      <w:tr w:rsidR="00F24946" w14:paraId="55EB5FF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33E7D7" w14:textId="77777777" w:rsidR="00F24946" w:rsidRDefault="00613B06">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951DAC8" w14:textId="77777777" w:rsidR="00F24946" w:rsidRDefault="00613B06">
            <w:pPr>
              <w:pStyle w:val="P68B1DB1-Normal23"/>
              <w:spacing w:after="0"/>
              <w:jc w:val="center"/>
              <w:rPr>
                <w:rFonts w:eastAsia="Calibri" w:cs="Calibri"/>
                <w:noProof/>
              </w:rPr>
            </w:pPr>
            <w:r>
              <w:rPr>
                <w:noProof/>
              </w:rPr>
              <w:t xml:space="preserve">Re-C01-r03  </w:t>
            </w:r>
          </w:p>
        </w:tc>
        <w:tc>
          <w:tcPr>
            <w:tcW w:w="1520" w:type="dxa"/>
            <w:tcBorders>
              <w:top w:val="nil"/>
              <w:left w:val="nil"/>
              <w:bottom w:val="single" w:sz="4" w:space="0" w:color="auto"/>
              <w:right w:val="single" w:sz="4" w:space="0" w:color="auto"/>
            </w:tcBorders>
            <w:shd w:val="clear" w:color="auto" w:fill="C4EFCE"/>
            <w:vAlign w:val="center"/>
            <w:hideMark/>
          </w:tcPr>
          <w:p w14:paraId="7442DC8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41432BD" w14:textId="0F743D6C" w:rsidR="00F24946" w:rsidRDefault="00613B06">
            <w:pPr>
              <w:pStyle w:val="P68B1DB1-Normal23"/>
              <w:spacing w:after="0"/>
              <w:jc w:val="both"/>
              <w:rPr>
                <w:rFonts w:eastAsia="Calibri" w:cs="Calibri"/>
                <w:noProof/>
              </w:rPr>
            </w:pPr>
            <w:r>
              <w:rPr>
                <w:noProof/>
              </w:rPr>
              <w:t>Začetek veljavnosti nove popolne predanosti v nacionalni zdravstveni službi</w:t>
            </w:r>
          </w:p>
        </w:tc>
      </w:tr>
      <w:tr w:rsidR="00F24946" w14:paraId="2915F7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CC6DE1" w14:textId="77777777" w:rsidR="00F24946" w:rsidRDefault="00613B06">
            <w:pPr>
              <w:pStyle w:val="P68B1DB1-Normal23"/>
              <w:spacing w:after="0"/>
              <w:jc w:val="center"/>
              <w:rPr>
                <w:rFonts w:eastAsia="Calibri" w:cs="Calibri"/>
                <w:noProof/>
              </w:rPr>
            </w:pPr>
            <w:r>
              <w:rPr>
                <w:noProof/>
              </w:rPr>
              <w:t>5.39</w:t>
            </w:r>
          </w:p>
        </w:tc>
        <w:tc>
          <w:tcPr>
            <w:tcW w:w="1760" w:type="dxa"/>
            <w:tcBorders>
              <w:top w:val="nil"/>
              <w:left w:val="nil"/>
              <w:bottom w:val="single" w:sz="4" w:space="0" w:color="auto"/>
              <w:right w:val="single" w:sz="4" w:space="0" w:color="auto"/>
            </w:tcBorders>
            <w:shd w:val="clear" w:color="auto" w:fill="C4EFCE"/>
            <w:vAlign w:val="center"/>
            <w:hideMark/>
          </w:tcPr>
          <w:p w14:paraId="5AA01599" w14:textId="77777777" w:rsidR="00F24946" w:rsidRDefault="00613B06">
            <w:pPr>
              <w:pStyle w:val="P68B1DB1-Normal23"/>
              <w:spacing w:after="0"/>
              <w:jc w:val="center"/>
              <w:rPr>
                <w:rFonts w:eastAsia="Calibri" w:cs="Calibri"/>
                <w:noProof/>
              </w:rPr>
            </w:pPr>
            <w:r>
              <w:rPr>
                <w:noProof/>
              </w:rPr>
              <w:t xml:space="preserve">Re-C05-i09  </w:t>
            </w:r>
          </w:p>
        </w:tc>
        <w:tc>
          <w:tcPr>
            <w:tcW w:w="1520" w:type="dxa"/>
            <w:tcBorders>
              <w:top w:val="nil"/>
              <w:left w:val="nil"/>
              <w:bottom w:val="single" w:sz="4" w:space="0" w:color="auto"/>
              <w:right w:val="single" w:sz="4" w:space="0" w:color="auto"/>
            </w:tcBorders>
            <w:shd w:val="clear" w:color="auto" w:fill="C4EFCE"/>
            <w:vAlign w:val="center"/>
            <w:hideMark/>
          </w:tcPr>
          <w:p w14:paraId="4A6965A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86D6DB1" w14:textId="77777777" w:rsidR="00F24946" w:rsidRDefault="00613B06">
            <w:pPr>
              <w:pStyle w:val="P68B1DB1-Normal23"/>
              <w:spacing w:after="0"/>
              <w:jc w:val="both"/>
              <w:rPr>
                <w:rFonts w:eastAsia="Calibri" w:cs="Calibri"/>
                <w:noProof/>
              </w:rPr>
            </w:pPr>
            <w:r>
              <w:rPr>
                <w:noProof/>
              </w:rPr>
              <w:t>Sklepanje pogodb za razvoj novih proizvodov, procesov ali storitev na ustreznih strateških področjih (programi inovacij).</w:t>
            </w:r>
          </w:p>
        </w:tc>
      </w:tr>
      <w:tr w:rsidR="00F24946" w14:paraId="248B14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CD0E35" w14:textId="77777777" w:rsidR="00F24946" w:rsidRDefault="00613B06">
            <w:pPr>
              <w:pStyle w:val="P68B1DB1-Normal23"/>
              <w:spacing w:after="0"/>
              <w:jc w:val="center"/>
              <w:rPr>
                <w:rFonts w:eastAsia="Calibri" w:cs="Calibri"/>
                <w:noProof/>
              </w:rPr>
            </w:pPr>
            <w:r>
              <w:rPr>
                <w:noProof/>
              </w:rPr>
              <w:t>5.41</w:t>
            </w:r>
          </w:p>
        </w:tc>
        <w:tc>
          <w:tcPr>
            <w:tcW w:w="1760" w:type="dxa"/>
            <w:tcBorders>
              <w:top w:val="nil"/>
              <w:left w:val="nil"/>
              <w:bottom w:val="single" w:sz="4" w:space="0" w:color="auto"/>
              <w:right w:val="single" w:sz="4" w:space="0" w:color="auto"/>
            </w:tcBorders>
            <w:shd w:val="clear" w:color="auto" w:fill="C4EFCE"/>
            <w:vAlign w:val="center"/>
            <w:hideMark/>
          </w:tcPr>
          <w:p w14:paraId="37A6E238" w14:textId="77777777" w:rsidR="00F24946" w:rsidRDefault="00613B06">
            <w:pPr>
              <w:pStyle w:val="P68B1DB1-Normal23"/>
              <w:spacing w:after="0"/>
              <w:jc w:val="center"/>
              <w:rPr>
                <w:rFonts w:eastAsia="Calibri" w:cs="Calibri"/>
                <w:noProof/>
              </w:rPr>
            </w:pPr>
            <w:r>
              <w:rPr>
                <w:noProof/>
              </w:rPr>
              <w:t xml:space="preserve">Re-C05-i10 </w:t>
            </w:r>
          </w:p>
        </w:tc>
        <w:tc>
          <w:tcPr>
            <w:tcW w:w="1520" w:type="dxa"/>
            <w:tcBorders>
              <w:top w:val="nil"/>
              <w:left w:val="nil"/>
              <w:bottom w:val="single" w:sz="4" w:space="0" w:color="auto"/>
              <w:right w:val="single" w:sz="4" w:space="0" w:color="auto"/>
            </w:tcBorders>
            <w:shd w:val="clear" w:color="auto" w:fill="C4EFCE"/>
            <w:vAlign w:val="center"/>
            <w:hideMark/>
          </w:tcPr>
          <w:p w14:paraId="1841457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B123515" w14:textId="77777777" w:rsidR="00F24946" w:rsidRDefault="00613B06">
            <w:pPr>
              <w:pStyle w:val="P68B1DB1-Normal23"/>
              <w:spacing w:after="0"/>
              <w:jc w:val="both"/>
              <w:rPr>
                <w:rFonts w:eastAsia="Calibri" w:cs="Calibri"/>
                <w:noProof/>
              </w:rPr>
            </w:pPr>
            <w:r>
              <w:rPr>
                <w:noProof/>
              </w:rPr>
              <w:t>Sklepanje pogodb za razvoj novih proizvodov, procesov ali storitev na strateških področjih, pomembnih za nizkoogljično gospodarstvo, odpornost in prilagajanje podnebnim spremembam.</w:t>
            </w:r>
          </w:p>
        </w:tc>
      </w:tr>
      <w:tr w:rsidR="00F24946" w14:paraId="52B40B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8F59D5" w14:textId="77777777" w:rsidR="00F24946" w:rsidRDefault="00613B06">
            <w:pPr>
              <w:pStyle w:val="P68B1DB1-Normal23"/>
              <w:spacing w:after="0"/>
              <w:jc w:val="center"/>
              <w:rPr>
                <w:rFonts w:eastAsia="Calibri" w:cs="Calibri"/>
                <w:noProof/>
              </w:rPr>
            </w:pPr>
            <w:r>
              <w:rPr>
                <w:noProof/>
              </w:rPr>
              <w:t>6.16</w:t>
            </w:r>
          </w:p>
        </w:tc>
        <w:tc>
          <w:tcPr>
            <w:tcW w:w="1760" w:type="dxa"/>
            <w:tcBorders>
              <w:top w:val="nil"/>
              <w:left w:val="nil"/>
              <w:bottom w:val="single" w:sz="4" w:space="0" w:color="auto"/>
              <w:right w:val="single" w:sz="4" w:space="0" w:color="auto"/>
            </w:tcBorders>
            <w:shd w:val="clear" w:color="auto" w:fill="C4EFCE"/>
            <w:vAlign w:val="center"/>
            <w:hideMark/>
          </w:tcPr>
          <w:p w14:paraId="4475E3D2" w14:textId="77777777" w:rsidR="00F24946" w:rsidRDefault="00613B06">
            <w:pPr>
              <w:pStyle w:val="P68B1DB1-Normal23"/>
              <w:spacing w:after="0"/>
              <w:jc w:val="center"/>
              <w:rPr>
                <w:rFonts w:eastAsia="Calibri" w:cs="Calibri"/>
                <w:noProof/>
              </w:rPr>
            </w:pPr>
            <w:r>
              <w:rPr>
                <w:noProof/>
              </w:rPr>
              <w:t xml:space="preserve">Re-C06-r17  </w:t>
            </w:r>
          </w:p>
        </w:tc>
        <w:tc>
          <w:tcPr>
            <w:tcW w:w="1520" w:type="dxa"/>
            <w:tcBorders>
              <w:top w:val="nil"/>
              <w:left w:val="nil"/>
              <w:bottom w:val="single" w:sz="4" w:space="0" w:color="auto"/>
              <w:right w:val="single" w:sz="4" w:space="0" w:color="auto"/>
            </w:tcBorders>
            <w:shd w:val="clear" w:color="auto" w:fill="C4EFCE"/>
            <w:vAlign w:val="center"/>
            <w:hideMark/>
          </w:tcPr>
          <w:p w14:paraId="79B1C5E7"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4022E39" w14:textId="77777777" w:rsidR="00F24946" w:rsidRDefault="00613B06">
            <w:pPr>
              <w:pStyle w:val="P68B1DB1-Normal23"/>
              <w:spacing w:after="0"/>
              <w:jc w:val="both"/>
              <w:rPr>
                <w:rFonts w:eastAsia="Calibri" w:cs="Calibri"/>
                <w:noProof/>
              </w:rPr>
            </w:pPr>
            <w:r>
              <w:rPr>
                <w:noProof/>
              </w:rPr>
              <w:t>Začetek veljavnosti zakona, ki ureja platformno delo</w:t>
            </w:r>
          </w:p>
        </w:tc>
      </w:tr>
      <w:tr w:rsidR="00F24946" w14:paraId="38DB135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C5865" w14:textId="77777777" w:rsidR="00F24946" w:rsidRDefault="00613B06">
            <w:pPr>
              <w:pStyle w:val="P68B1DB1-Normal23"/>
              <w:spacing w:after="0"/>
              <w:jc w:val="center"/>
              <w:rPr>
                <w:rFonts w:eastAsia="Calibri" w:cs="Calibri"/>
                <w:noProof/>
              </w:rPr>
            </w:pPr>
            <w:r>
              <w:rPr>
                <w:noProof/>
              </w:rPr>
              <w:t>8.10</w:t>
            </w:r>
          </w:p>
        </w:tc>
        <w:tc>
          <w:tcPr>
            <w:tcW w:w="1760" w:type="dxa"/>
            <w:tcBorders>
              <w:top w:val="nil"/>
              <w:left w:val="nil"/>
              <w:bottom w:val="single" w:sz="4" w:space="0" w:color="auto"/>
              <w:right w:val="single" w:sz="4" w:space="0" w:color="auto"/>
            </w:tcBorders>
            <w:shd w:val="clear" w:color="auto" w:fill="C4EFCE"/>
            <w:vAlign w:val="center"/>
            <w:hideMark/>
          </w:tcPr>
          <w:p w14:paraId="204806AA" w14:textId="77777777" w:rsidR="00F24946" w:rsidRDefault="00613B06">
            <w:pPr>
              <w:pStyle w:val="P68B1DB1-Normal23"/>
              <w:spacing w:after="0"/>
              <w:jc w:val="center"/>
              <w:rPr>
                <w:rFonts w:eastAsia="Calibri" w:cs="Calibri"/>
                <w:noProof/>
              </w:rPr>
            </w:pPr>
            <w:r>
              <w:rPr>
                <w:noProof/>
              </w:rPr>
              <w:t xml:space="preserve">Re-C08-i04  </w:t>
            </w:r>
          </w:p>
        </w:tc>
        <w:tc>
          <w:tcPr>
            <w:tcW w:w="1520" w:type="dxa"/>
            <w:tcBorders>
              <w:top w:val="nil"/>
              <w:left w:val="nil"/>
              <w:bottom w:val="single" w:sz="4" w:space="0" w:color="auto"/>
              <w:right w:val="single" w:sz="4" w:space="0" w:color="auto"/>
            </w:tcBorders>
            <w:shd w:val="clear" w:color="auto" w:fill="C4EFCE"/>
            <w:vAlign w:val="center"/>
            <w:hideMark/>
          </w:tcPr>
          <w:p w14:paraId="063477C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E40D33" w14:textId="77777777" w:rsidR="00F24946" w:rsidRDefault="00613B06">
            <w:pPr>
              <w:pStyle w:val="P68B1DB1-Normal23"/>
              <w:spacing w:after="0"/>
              <w:jc w:val="both"/>
              <w:rPr>
                <w:rFonts w:eastAsia="Calibri" w:cs="Calibri"/>
                <w:noProof/>
              </w:rPr>
            </w:pPr>
            <w:r>
              <w:rPr>
                <w:noProof/>
              </w:rPr>
              <w:t>Dostava vozil, strojev in opreme</w:t>
            </w:r>
          </w:p>
        </w:tc>
      </w:tr>
      <w:tr w:rsidR="00F24946" w14:paraId="74B789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814107" w14:textId="77777777" w:rsidR="00F24946" w:rsidRDefault="00613B06">
            <w:pPr>
              <w:pStyle w:val="P68B1DB1-Normal23"/>
              <w:spacing w:after="0"/>
              <w:jc w:val="center"/>
              <w:rPr>
                <w:rFonts w:eastAsia="Calibri" w:cs="Calibri"/>
                <w:noProof/>
              </w:rPr>
            </w:pPr>
            <w:r>
              <w:rPr>
                <w:noProof/>
              </w:rPr>
              <w:t>17.22</w:t>
            </w:r>
          </w:p>
        </w:tc>
        <w:tc>
          <w:tcPr>
            <w:tcW w:w="1760" w:type="dxa"/>
            <w:tcBorders>
              <w:top w:val="nil"/>
              <w:left w:val="nil"/>
              <w:bottom w:val="single" w:sz="4" w:space="0" w:color="auto"/>
              <w:right w:val="single" w:sz="4" w:space="0" w:color="auto"/>
            </w:tcBorders>
            <w:shd w:val="clear" w:color="auto" w:fill="C4EFCE"/>
            <w:vAlign w:val="center"/>
            <w:hideMark/>
          </w:tcPr>
          <w:p w14:paraId="44A87645" w14:textId="1EE980F9" w:rsidR="00F24946" w:rsidRDefault="00613B06">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0DCE0EE9"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1EABF4" w14:textId="77777777" w:rsidR="00F24946" w:rsidRDefault="00613B06">
            <w:pPr>
              <w:pStyle w:val="P68B1DB1-Normal23"/>
              <w:spacing w:after="0"/>
              <w:jc w:val="both"/>
              <w:rPr>
                <w:rFonts w:eastAsia="Calibri" w:cs="Calibri"/>
                <w:noProof/>
              </w:rPr>
            </w:pPr>
            <w:r>
              <w:rPr>
                <w:noProof/>
              </w:rPr>
              <w:t>Začetek veljavnosti pravnega akta, ki spreminja pravni okvir izbranih davčnih ugodnosti</w:t>
            </w:r>
          </w:p>
        </w:tc>
      </w:tr>
      <w:tr w:rsidR="00F24946" w14:paraId="2E70FE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10C622" w14:textId="77777777" w:rsidR="00F24946" w:rsidRDefault="00613B06">
            <w:pPr>
              <w:pStyle w:val="P68B1DB1-Normal23"/>
              <w:spacing w:after="0"/>
              <w:jc w:val="center"/>
              <w:rPr>
                <w:rFonts w:eastAsia="Calibri" w:cs="Calibri"/>
                <w:noProof/>
              </w:rPr>
            </w:pPr>
            <w:r>
              <w:rPr>
                <w:noProof/>
              </w:rPr>
              <w:t>18.1</w:t>
            </w:r>
          </w:p>
        </w:tc>
        <w:tc>
          <w:tcPr>
            <w:tcW w:w="1760" w:type="dxa"/>
            <w:tcBorders>
              <w:top w:val="nil"/>
              <w:left w:val="nil"/>
              <w:bottom w:val="single" w:sz="4" w:space="0" w:color="auto"/>
              <w:right w:val="single" w:sz="4" w:space="0" w:color="auto"/>
            </w:tcBorders>
            <w:shd w:val="clear" w:color="auto" w:fill="C4EFCE"/>
            <w:vAlign w:val="center"/>
            <w:hideMark/>
          </w:tcPr>
          <w:p w14:paraId="5E8DD21A" w14:textId="77777777" w:rsidR="00F24946" w:rsidRDefault="00613B06">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1C221C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F96FCE8" w14:textId="77777777" w:rsidR="00F24946" w:rsidRDefault="00613B06">
            <w:pPr>
              <w:pStyle w:val="P68B1DB1-Normal23"/>
              <w:spacing w:after="0"/>
              <w:jc w:val="both"/>
              <w:rPr>
                <w:rFonts w:eastAsia="Calibri" w:cs="Calibri"/>
                <w:noProof/>
              </w:rPr>
            </w:pPr>
            <w:r>
              <w:rPr>
                <w:noProof/>
              </w:rPr>
              <w:t>Ustanovitev specializiranih senatov na višjih upravnih in davčnih sodiščih</w:t>
            </w:r>
          </w:p>
        </w:tc>
      </w:tr>
      <w:tr w:rsidR="00F24946" w14:paraId="09209F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DDFB55" w14:textId="77777777" w:rsidR="00F24946" w:rsidRDefault="00613B06">
            <w:pPr>
              <w:pStyle w:val="P68B1DB1-Normal23"/>
              <w:spacing w:after="0"/>
              <w:jc w:val="center"/>
              <w:rPr>
                <w:rFonts w:eastAsia="Calibri" w:cs="Calibri"/>
                <w:noProof/>
              </w:rPr>
            </w:pPr>
            <w:r>
              <w:rPr>
                <w:noProof/>
              </w:rPr>
              <w:t>18.2</w:t>
            </w:r>
          </w:p>
        </w:tc>
        <w:tc>
          <w:tcPr>
            <w:tcW w:w="1760" w:type="dxa"/>
            <w:tcBorders>
              <w:top w:val="nil"/>
              <w:left w:val="nil"/>
              <w:bottom w:val="single" w:sz="4" w:space="0" w:color="auto"/>
              <w:right w:val="single" w:sz="4" w:space="0" w:color="auto"/>
            </w:tcBorders>
            <w:shd w:val="clear" w:color="auto" w:fill="C4EFCE"/>
            <w:vAlign w:val="center"/>
            <w:hideMark/>
          </w:tcPr>
          <w:p w14:paraId="41FFD441" w14:textId="77777777" w:rsidR="00F24946" w:rsidRDefault="00613B06">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E7E9C6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A43E122" w14:textId="77777777" w:rsidR="00F24946" w:rsidRDefault="00613B06">
            <w:pPr>
              <w:pStyle w:val="P68B1DB1-Normal23"/>
              <w:spacing w:after="0"/>
              <w:jc w:val="both"/>
              <w:rPr>
                <w:rFonts w:eastAsia="Calibri" w:cs="Calibri"/>
                <w:noProof/>
              </w:rPr>
            </w:pPr>
            <w:r>
              <w:rPr>
                <w:noProof/>
              </w:rPr>
              <w:t>Začetek veljavnosti pravne ureditve za spodbujanje sodnih in izvensodnih poravnav</w:t>
            </w:r>
          </w:p>
        </w:tc>
      </w:tr>
      <w:tr w:rsidR="00F24946" w14:paraId="3A1781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94F780" w14:textId="77777777" w:rsidR="00F24946" w:rsidRDefault="00613B06">
            <w:pPr>
              <w:pStyle w:val="P68B1DB1-Normal8"/>
              <w:spacing w:after="0"/>
              <w:jc w:val="center"/>
              <w:rPr>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44E7D433" w14:textId="77777777" w:rsidR="00F24946" w:rsidRDefault="00613B06">
            <w:pPr>
              <w:pStyle w:val="P68B1DB1-Normal8"/>
              <w:spacing w:after="0"/>
              <w:jc w:val="center"/>
              <w:rPr>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0CC4752F" w14:textId="77777777" w:rsidR="00F24946" w:rsidRDefault="00613B06">
            <w:pPr>
              <w:pStyle w:val="P68B1DB1-Normal24"/>
              <w:spacing w:after="0"/>
              <w:jc w:val="center"/>
              <w:rPr>
                <w:noProof/>
              </w:rPr>
            </w:pPr>
            <w:r>
              <w:rPr>
                <w:noProof/>
              </w:rPr>
              <w:t xml:space="preserve">Znesek obroka </w:t>
            </w:r>
          </w:p>
        </w:tc>
        <w:tc>
          <w:tcPr>
            <w:tcW w:w="5060" w:type="dxa"/>
            <w:tcBorders>
              <w:top w:val="nil"/>
              <w:left w:val="nil"/>
              <w:bottom w:val="single" w:sz="4" w:space="0" w:color="auto"/>
              <w:right w:val="single" w:sz="4" w:space="0" w:color="auto"/>
            </w:tcBorders>
            <w:shd w:val="clear" w:color="auto" w:fill="C4EFCE"/>
            <w:vAlign w:val="center"/>
            <w:hideMark/>
          </w:tcPr>
          <w:p w14:paraId="67D03894" w14:textId="4661012E" w:rsidR="00F24946" w:rsidRDefault="00613B06">
            <w:pPr>
              <w:pStyle w:val="P68B1DB1-Normal25"/>
              <w:spacing w:after="0"/>
              <w:jc w:val="center"/>
              <w:rPr>
                <w:noProof/>
              </w:rPr>
            </w:pPr>
            <w:r>
              <w:rPr>
                <w:noProof/>
              </w:rPr>
              <w:t xml:space="preserve"> 937 165 319 EUR </w:t>
            </w:r>
          </w:p>
        </w:tc>
      </w:tr>
    </w:tbl>
    <w:p w14:paraId="32E013C0" w14:textId="77777777" w:rsidR="00F24946" w:rsidRDefault="00F24946">
      <w:pPr>
        <w:rPr>
          <w:noProof/>
        </w:rPr>
      </w:pPr>
    </w:p>
    <w:p w14:paraId="59627E7F"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329BAE7F"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Peti zahtevek za plačilo (nepovratna podpora): </w:t>
      </w:r>
    </w:p>
    <w:p w14:paraId="1982083E"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F24946" w14:paraId="6670DD18"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82FEA7"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8701520"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E738E7"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7ECC4F"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1A126B1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2DEDF3A" w14:textId="77777777" w:rsidR="00F24946" w:rsidRDefault="00613B06">
            <w:pPr>
              <w:pStyle w:val="P68B1DB1-Normal23"/>
              <w:spacing w:after="0"/>
              <w:jc w:val="center"/>
              <w:rPr>
                <w:rFonts w:eastAsia="Calibri" w:cs="Calibri"/>
                <w:noProof/>
              </w:rPr>
            </w:pPr>
            <w:r>
              <w:rPr>
                <w:noProof/>
              </w:rPr>
              <w:t>1.2</w:t>
            </w:r>
          </w:p>
        </w:tc>
        <w:tc>
          <w:tcPr>
            <w:tcW w:w="1760" w:type="dxa"/>
            <w:tcBorders>
              <w:top w:val="nil"/>
              <w:left w:val="nil"/>
              <w:bottom w:val="single" w:sz="4" w:space="0" w:color="auto"/>
              <w:right w:val="single" w:sz="4" w:space="0" w:color="auto"/>
            </w:tcBorders>
            <w:shd w:val="clear" w:color="auto" w:fill="C4EFCE"/>
            <w:vAlign w:val="center"/>
            <w:hideMark/>
          </w:tcPr>
          <w:p w14:paraId="0B267111" w14:textId="77777777" w:rsidR="00F24946" w:rsidRDefault="00613B06">
            <w:pPr>
              <w:pStyle w:val="P68B1DB1-Normal23"/>
              <w:spacing w:after="0"/>
              <w:jc w:val="center"/>
              <w:rPr>
                <w:rFonts w:eastAsia="Calibri" w:cs="Calibri"/>
                <w:noProof/>
              </w:rPr>
            </w:pPr>
            <w:r>
              <w:rPr>
                <w:noProof/>
              </w:rPr>
              <w:t xml:space="preserve">Re-C01-i01  </w:t>
            </w:r>
          </w:p>
        </w:tc>
        <w:tc>
          <w:tcPr>
            <w:tcW w:w="1520" w:type="dxa"/>
            <w:tcBorders>
              <w:top w:val="nil"/>
              <w:left w:val="nil"/>
              <w:bottom w:val="single" w:sz="4" w:space="0" w:color="auto"/>
              <w:right w:val="single" w:sz="4" w:space="0" w:color="auto"/>
            </w:tcBorders>
            <w:shd w:val="clear" w:color="auto" w:fill="C4EFCE"/>
            <w:vAlign w:val="center"/>
            <w:hideMark/>
          </w:tcPr>
          <w:p w14:paraId="5CCC471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D0BDE9" w14:textId="77777777" w:rsidR="00F24946" w:rsidRDefault="00613B06">
            <w:pPr>
              <w:pStyle w:val="P68B1DB1-Normal23"/>
              <w:spacing w:after="0"/>
              <w:jc w:val="both"/>
              <w:rPr>
                <w:rFonts w:eastAsia="Calibri" w:cs="Calibri"/>
                <w:noProof/>
              </w:rPr>
            </w:pPr>
            <w:r>
              <w:rPr>
                <w:noProof/>
              </w:rPr>
              <w:t>Zagotavljanje dostopa do instrumenta za stratifikacijo tveganja za podporo kliničnemu upravljanju v funkcionalnih enotah skupin zdravstvenih centrov</w:t>
            </w:r>
          </w:p>
        </w:tc>
      </w:tr>
      <w:tr w:rsidR="00F24946" w14:paraId="625203C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FA303DB" w14:textId="77777777" w:rsidR="00F24946" w:rsidRDefault="00613B06">
            <w:pPr>
              <w:pStyle w:val="P68B1DB1-Normal23"/>
              <w:spacing w:after="0"/>
              <w:jc w:val="center"/>
              <w:rPr>
                <w:rFonts w:eastAsia="Calibri" w:cs="Calibri"/>
                <w:noProof/>
              </w:rPr>
            </w:pPr>
            <w:r>
              <w:rPr>
                <w:noProof/>
              </w:rPr>
              <w:t>1.40</w:t>
            </w:r>
          </w:p>
        </w:tc>
        <w:tc>
          <w:tcPr>
            <w:tcW w:w="1760" w:type="dxa"/>
            <w:tcBorders>
              <w:top w:val="nil"/>
              <w:left w:val="nil"/>
              <w:bottom w:val="single" w:sz="4" w:space="0" w:color="auto"/>
              <w:right w:val="single" w:sz="4" w:space="0" w:color="auto"/>
            </w:tcBorders>
            <w:shd w:val="clear" w:color="auto" w:fill="C4EFCE"/>
            <w:vAlign w:val="center"/>
            <w:hideMark/>
          </w:tcPr>
          <w:p w14:paraId="3BD7D2BC" w14:textId="77777777" w:rsidR="00F24946" w:rsidRDefault="00613B06">
            <w:pPr>
              <w:pStyle w:val="P68B1DB1-Normal23"/>
              <w:spacing w:after="0"/>
              <w:jc w:val="center"/>
              <w:rPr>
                <w:rFonts w:eastAsia="Calibri" w:cs="Calibri"/>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61BC3888"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CD1A921" w14:textId="2016AD4F" w:rsidR="00F24946" w:rsidRDefault="00613B06">
            <w:pPr>
              <w:pStyle w:val="P68B1DB1-Normal23"/>
              <w:spacing w:after="0"/>
              <w:jc w:val="both"/>
              <w:rPr>
                <w:rFonts w:eastAsia="Calibri" w:cs="Calibri"/>
                <w:noProof/>
              </w:rPr>
            </w:pPr>
            <w:r>
              <w:rPr>
                <w:noProof/>
              </w:rPr>
              <w:t>Podpis pogodbe o upravljanju za gradnjo bolnišnice Vzhodna lizbona</w:t>
            </w:r>
          </w:p>
        </w:tc>
      </w:tr>
      <w:tr w:rsidR="00F24946" w14:paraId="4B53C6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F687469" w14:textId="77777777" w:rsidR="00F24946" w:rsidRDefault="00613B06">
            <w:pPr>
              <w:pStyle w:val="P68B1DB1-Normal23"/>
              <w:spacing w:after="0"/>
              <w:jc w:val="center"/>
              <w:rPr>
                <w:rFonts w:eastAsia="Calibri" w:cs="Calibri"/>
                <w:noProof/>
              </w:rPr>
            </w:pPr>
            <w:r>
              <w:rPr>
                <w:noProof/>
              </w:rPr>
              <w:t>1.41</w:t>
            </w:r>
          </w:p>
        </w:tc>
        <w:tc>
          <w:tcPr>
            <w:tcW w:w="1760" w:type="dxa"/>
            <w:tcBorders>
              <w:top w:val="nil"/>
              <w:left w:val="nil"/>
              <w:bottom w:val="single" w:sz="4" w:space="0" w:color="auto"/>
              <w:right w:val="single" w:sz="4" w:space="0" w:color="auto"/>
            </w:tcBorders>
            <w:shd w:val="clear" w:color="auto" w:fill="C4EFCE"/>
            <w:vAlign w:val="center"/>
            <w:hideMark/>
          </w:tcPr>
          <w:p w14:paraId="6546CF09" w14:textId="77777777" w:rsidR="00F24946" w:rsidRDefault="00613B06">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688185E0"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BF9DB02" w14:textId="77777777" w:rsidR="00F24946" w:rsidRDefault="00613B06">
            <w:pPr>
              <w:pStyle w:val="P68B1DB1-Normal23"/>
              <w:spacing w:after="0"/>
              <w:jc w:val="both"/>
              <w:rPr>
                <w:rFonts w:eastAsia="Calibri" w:cs="Calibri"/>
                <w:noProof/>
              </w:rPr>
            </w:pPr>
            <w:r>
              <w:rPr>
                <w:noProof/>
              </w:rPr>
              <w:t>Odobritev poročila, v katerem so opredeljene potrebe NZS za težko medicinsko opremo</w:t>
            </w:r>
          </w:p>
        </w:tc>
      </w:tr>
      <w:tr w:rsidR="00F24946" w14:paraId="370C58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F2F01E" w14:textId="77777777" w:rsidR="00F24946" w:rsidRDefault="00613B06">
            <w:pPr>
              <w:pStyle w:val="P68B1DB1-Normal23"/>
              <w:spacing w:after="0"/>
              <w:jc w:val="center"/>
              <w:rPr>
                <w:rFonts w:eastAsia="Calibri" w:cs="Calibri"/>
                <w:noProof/>
              </w:rPr>
            </w:pPr>
            <w:r>
              <w:rPr>
                <w:noProof/>
              </w:rPr>
              <w:t>2.2</w:t>
            </w:r>
          </w:p>
        </w:tc>
        <w:tc>
          <w:tcPr>
            <w:tcW w:w="1760" w:type="dxa"/>
            <w:tcBorders>
              <w:top w:val="nil"/>
              <w:left w:val="nil"/>
              <w:bottom w:val="single" w:sz="4" w:space="0" w:color="auto"/>
              <w:right w:val="single" w:sz="4" w:space="0" w:color="auto"/>
            </w:tcBorders>
            <w:shd w:val="clear" w:color="auto" w:fill="C4EFCE"/>
            <w:vAlign w:val="center"/>
            <w:hideMark/>
          </w:tcPr>
          <w:p w14:paraId="6DF2A402" w14:textId="77777777" w:rsidR="00F24946" w:rsidRDefault="00613B06">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108ADD4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57029F" w14:textId="77777777" w:rsidR="00F24946" w:rsidRDefault="00613B06">
            <w:pPr>
              <w:pStyle w:val="P68B1DB1-Normal23"/>
              <w:spacing w:after="0"/>
              <w:jc w:val="both"/>
              <w:rPr>
                <w:rFonts w:eastAsia="Calibri" w:cs="Calibri"/>
                <w:noProof/>
              </w:rPr>
            </w:pPr>
            <w:r>
              <w:rPr>
                <w:noProof/>
              </w:rPr>
              <w:t>Program podpore za dostop do stanovanj – kupljena, zgrajena (visoka energijska učinkovitost) ali sanirana (z izboljšano energetsko učinkovitostjo) stanovanja za gospodinjstva</w:t>
            </w:r>
          </w:p>
        </w:tc>
      </w:tr>
      <w:tr w:rsidR="00F24946" w14:paraId="3DE77A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B90A17" w14:textId="77777777" w:rsidR="00F24946" w:rsidRDefault="00613B06">
            <w:pPr>
              <w:pStyle w:val="P68B1DB1-Normal23"/>
              <w:spacing w:after="0"/>
              <w:jc w:val="center"/>
              <w:rPr>
                <w:rFonts w:eastAsia="Calibri" w:cs="Calibri"/>
                <w:noProof/>
              </w:rPr>
            </w:pPr>
            <w:r>
              <w:rPr>
                <w:noProof/>
              </w:rPr>
              <w:t>2.6</w:t>
            </w:r>
          </w:p>
        </w:tc>
        <w:tc>
          <w:tcPr>
            <w:tcW w:w="1760" w:type="dxa"/>
            <w:tcBorders>
              <w:top w:val="nil"/>
              <w:left w:val="nil"/>
              <w:bottom w:val="single" w:sz="4" w:space="0" w:color="auto"/>
              <w:right w:val="single" w:sz="4" w:space="0" w:color="auto"/>
            </w:tcBorders>
            <w:shd w:val="clear" w:color="auto" w:fill="C4EFCE"/>
            <w:vAlign w:val="center"/>
            <w:hideMark/>
          </w:tcPr>
          <w:p w14:paraId="28C51A54" w14:textId="77777777" w:rsidR="00F24946" w:rsidRDefault="00613B06">
            <w:pPr>
              <w:pStyle w:val="P68B1DB1-Normal23"/>
              <w:spacing w:after="0"/>
              <w:jc w:val="center"/>
              <w:rPr>
                <w:rFonts w:eastAsia="Calibri" w:cs="Calibri"/>
                <w:noProof/>
              </w:rPr>
            </w:pPr>
            <w:r>
              <w:rPr>
                <w:noProof/>
              </w:rPr>
              <w:t xml:space="preserve">Re-C02-i01  </w:t>
            </w:r>
          </w:p>
        </w:tc>
        <w:tc>
          <w:tcPr>
            <w:tcW w:w="1520" w:type="dxa"/>
            <w:tcBorders>
              <w:top w:val="nil"/>
              <w:left w:val="nil"/>
              <w:bottom w:val="single" w:sz="4" w:space="0" w:color="auto"/>
              <w:right w:val="single" w:sz="4" w:space="0" w:color="auto"/>
            </w:tcBorders>
            <w:shd w:val="clear" w:color="auto" w:fill="C4EFCE"/>
            <w:vAlign w:val="center"/>
            <w:hideMark/>
          </w:tcPr>
          <w:p w14:paraId="2C8FD9A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9E1DBC" w14:textId="04B7C21A" w:rsidR="00F24946" w:rsidRDefault="00613B06">
            <w:pPr>
              <w:pStyle w:val="P68B1DB1-Normal23"/>
              <w:spacing w:after="0"/>
              <w:jc w:val="both"/>
              <w:rPr>
                <w:rFonts w:eastAsia="Calibri" w:cs="Calibri"/>
                <w:noProof/>
              </w:rPr>
            </w:pPr>
            <w:r>
              <w:rPr>
                <w:noProof/>
              </w:rPr>
              <w:t>Nacionalna nepovratna sredstva za nujno in začasno nastanitev – Nastanitve z gradbenimi deli, ki so se začele ali kupovale za nujne in prehodne nastanitve (ki bodo zgrajene ali kupljene v skladu s standardom energijske učinkovitosti ali sanirane z izboljšano energijsko učinkovitostjo) v gradnji</w:t>
            </w:r>
          </w:p>
        </w:tc>
      </w:tr>
      <w:tr w:rsidR="00F24946" w14:paraId="1443E2D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4067DB" w14:textId="77777777" w:rsidR="00F24946" w:rsidRDefault="00613B06">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65DD212F" w14:textId="77777777" w:rsidR="00F24946" w:rsidRDefault="00613B06">
            <w:pPr>
              <w:pStyle w:val="P68B1DB1-Normal23"/>
              <w:spacing w:after="0"/>
              <w:jc w:val="center"/>
              <w:rPr>
                <w:rFonts w:eastAsia="Calibri" w:cs="Calibri"/>
                <w:noProof/>
              </w:rPr>
            </w:pPr>
            <w:r>
              <w:rPr>
                <w:noProof/>
              </w:rPr>
              <w:t xml:space="preserve">Re-C02-i04-RAA  </w:t>
            </w:r>
          </w:p>
        </w:tc>
        <w:tc>
          <w:tcPr>
            <w:tcW w:w="1520" w:type="dxa"/>
            <w:tcBorders>
              <w:top w:val="nil"/>
              <w:left w:val="nil"/>
              <w:bottom w:val="single" w:sz="4" w:space="0" w:color="auto"/>
              <w:right w:val="single" w:sz="4" w:space="0" w:color="auto"/>
            </w:tcBorders>
            <w:shd w:val="clear" w:color="auto" w:fill="C4EFCE"/>
            <w:vAlign w:val="center"/>
            <w:hideMark/>
          </w:tcPr>
          <w:p w14:paraId="6F4F062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5ACE116" w14:textId="77777777" w:rsidR="00F24946" w:rsidRDefault="00613B06">
            <w:pPr>
              <w:pStyle w:val="P68B1DB1-Normal23"/>
              <w:spacing w:after="0"/>
              <w:jc w:val="both"/>
              <w:rPr>
                <w:rFonts w:eastAsia="Calibri" w:cs="Calibri"/>
                <w:noProof/>
              </w:rPr>
            </w:pPr>
            <w:r>
              <w:rPr>
                <w:noProof/>
              </w:rPr>
              <w:t>Ukrepi v javnem stanovanjskem fondu avtonomne regije Azori – obnova</w:t>
            </w:r>
          </w:p>
        </w:tc>
      </w:tr>
      <w:tr w:rsidR="00F24946" w14:paraId="3C8F60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61D70E" w14:textId="77777777" w:rsidR="00F24946" w:rsidRDefault="00613B06">
            <w:pPr>
              <w:pStyle w:val="P68B1DB1-Normal23"/>
              <w:spacing w:after="0"/>
              <w:jc w:val="center"/>
              <w:rPr>
                <w:rFonts w:eastAsia="Calibri" w:cs="Calibri"/>
                <w:noProof/>
              </w:rPr>
            </w:pPr>
            <w:r>
              <w:rPr>
                <w:noProof/>
              </w:rPr>
              <w:t>4.7</w:t>
            </w:r>
          </w:p>
        </w:tc>
        <w:tc>
          <w:tcPr>
            <w:tcW w:w="1760" w:type="dxa"/>
            <w:tcBorders>
              <w:top w:val="nil"/>
              <w:left w:val="nil"/>
              <w:bottom w:val="single" w:sz="4" w:space="0" w:color="auto"/>
              <w:right w:val="single" w:sz="4" w:space="0" w:color="auto"/>
            </w:tcBorders>
            <w:shd w:val="clear" w:color="auto" w:fill="C4EFCE"/>
            <w:vAlign w:val="center"/>
          </w:tcPr>
          <w:p w14:paraId="4383E71D" w14:textId="77777777" w:rsidR="00F24946" w:rsidRDefault="00613B06">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tcPr>
          <w:p w14:paraId="364611C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9243198" w14:textId="77777777" w:rsidR="00F24946" w:rsidRDefault="00613B06">
            <w:pPr>
              <w:pStyle w:val="P68B1DB1-Normal23"/>
              <w:spacing w:after="0"/>
              <w:jc w:val="both"/>
              <w:rPr>
                <w:rFonts w:eastAsia="Calibri" w:cs="Calibri"/>
                <w:noProof/>
              </w:rPr>
            </w:pPr>
            <w:r>
              <w:rPr>
                <w:noProof/>
              </w:rPr>
              <w:t>Podpisane pogodbe za sanacijo in ohranjanje stavb kulturne dediščine in nacionalnih gledališča</w:t>
            </w:r>
          </w:p>
        </w:tc>
      </w:tr>
      <w:tr w:rsidR="00F24946" w14:paraId="0E4663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6A3F0B" w14:textId="77777777" w:rsidR="00F24946" w:rsidRDefault="00613B06">
            <w:pPr>
              <w:pStyle w:val="P68B1DB1-Normal23"/>
              <w:spacing w:after="0"/>
              <w:jc w:val="center"/>
              <w:rPr>
                <w:rFonts w:eastAsia="Calibri" w:cs="Calibri"/>
                <w:noProof/>
              </w:rPr>
            </w:pPr>
            <w:r>
              <w:rPr>
                <w:noProof/>
              </w:rPr>
              <w:t>4.9</w:t>
            </w:r>
          </w:p>
        </w:tc>
        <w:tc>
          <w:tcPr>
            <w:tcW w:w="1760" w:type="dxa"/>
            <w:tcBorders>
              <w:top w:val="nil"/>
              <w:left w:val="nil"/>
              <w:bottom w:val="single" w:sz="4" w:space="0" w:color="auto"/>
              <w:right w:val="single" w:sz="4" w:space="0" w:color="auto"/>
            </w:tcBorders>
            <w:shd w:val="clear" w:color="auto" w:fill="C4EFCE"/>
            <w:vAlign w:val="center"/>
            <w:hideMark/>
          </w:tcPr>
          <w:p w14:paraId="7E0183E0" w14:textId="77777777" w:rsidR="00F24946" w:rsidRDefault="00613B06">
            <w:pPr>
              <w:pStyle w:val="P68B1DB1-Normal23"/>
              <w:spacing w:after="0"/>
              <w:jc w:val="center"/>
              <w:rPr>
                <w:rFonts w:eastAsia="Calibri" w:cs="Calibri"/>
                <w:noProof/>
              </w:rPr>
            </w:pPr>
            <w:r>
              <w:rPr>
                <w:noProof/>
              </w:rPr>
              <w:t xml:space="preserve">Re-C04-i01  </w:t>
            </w:r>
          </w:p>
        </w:tc>
        <w:tc>
          <w:tcPr>
            <w:tcW w:w="1520" w:type="dxa"/>
            <w:tcBorders>
              <w:top w:val="nil"/>
              <w:left w:val="nil"/>
              <w:bottom w:val="single" w:sz="4" w:space="0" w:color="auto"/>
              <w:right w:val="single" w:sz="4" w:space="0" w:color="auto"/>
            </w:tcBorders>
            <w:shd w:val="clear" w:color="auto" w:fill="C4EFCE"/>
            <w:vAlign w:val="center"/>
            <w:hideMark/>
          </w:tcPr>
          <w:p w14:paraId="1B2D246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D98EC2" w14:textId="77777777" w:rsidR="00F24946" w:rsidRDefault="00613B06">
            <w:pPr>
              <w:pStyle w:val="P68B1DB1-Normal23"/>
              <w:spacing w:after="0"/>
              <w:jc w:val="both"/>
              <w:rPr>
                <w:rFonts w:eastAsia="Calibri" w:cs="Calibri"/>
                <w:noProof/>
              </w:rPr>
            </w:pPr>
            <w:r>
              <w:rPr>
                <w:noProof/>
              </w:rPr>
              <w:t>Tehnološka posodobitev ANIM – Nacionalni arhiv gibanja</w:t>
            </w:r>
          </w:p>
        </w:tc>
      </w:tr>
      <w:tr w:rsidR="00F24946" w14:paraId="11D11A0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D538507" w14:textId="77777777" w:rsidR="00F24946" w:rsidRDefault="00613B06">
            <w:pPr>
              <w:pStyle w:val="P68B1DB1-Normal23"/>
              <w:spacing w:after="0"/>
              <w:jc w:val="center"/>
              <w:rPr>
                <w:rFonts w:eastAsia="Calibri" w:cs="Calibri"/>
                <w:noProof/>
              </w:rPr>
            </w:pPr>
            <w:r>
              <w:rPr>
                <w:noProof/>
              </w:rPr>
              <w:t>6.3</w:t>
            </w:r>
          </w:p>
        </w:tc>
        <w:tc>
          <w:tcPr>
            <w:tcW w:w="1760" w:type="dxa"/>
            <w:tcBorders>
              <w:top w:val="nil"/>
              <w:left w:val="nil"/>
              <w:bottom w:val="single" w:sz="4" w:space="0" w:color="auto"/>
              <w:right w:val="single" w:sz="4" w:space="0" w:color="auto"/>
            </w:tcBorders>
            <w:shd w:val="clear" w:color="auto" w:fill="C4EFCE"/>
            <w:vAlign w:val="center"/>
            <w:hideMark/>
          </w:tcPr>
          <w:p w14:paraId="48232F11" w14:textId="77777777" w:rsidR="00F24946" w:rsidRDefault="00613B06">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08D16AA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F478F4" w14:textId="77777777" w:rsidR="00F24946" w:rsidRDefault="00613B06">
            <w:pPr>
              <w:pStyle w:val="P68B1DB1-Normal23"/>
              <w:spacing w:after="0"/>
              <w:jc w:val="both"/>
              <w:rPr>
                <w:rFonts w:eastAsia="Calibri" w:cs="Calibri"/>
                <w:noProof/>
              </w:rPr>
            </w:pPr>
            <w:r>
              <w:rPr>
                <w:noProof/>
              </w:rPr>
              <w:t>Nadgrajene postaje za usposabljanje</w:t>
            </w:r>
          </w:p>
        </w:tc>
      </w:tr>
      <w:tr w:rsidR="00F24946" w14:paraId="11B5A5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DDF91C0" w14:textId="77777777" w:rsidR="00F24946" w:rsidRDefault="00613B06">
            <w:pPr>
              <w:pStyle w:val="P68B1DB1-Normal23"/>
              <w:spacing w:after="0"/>
              <w:jc w:val="center"/>
              <w:rPr>
                <w:rFonts w:eastAsia="Calibri" w:cs="Calibri"/>
                <w:noProof/>
              </w:rPr>
            </w:pPr>
            <w:r>
              <w:rPr>
                <w:noProof/>
              </w:rPr>
              <w:t>7.14</w:t>
            </w:r>
          </w:p>
        </w:tc>
        <w:tc>
          <w:tcPr>
            <w:tcW w:w="1760" w:type="dxa"/>
            <w:tcBorders>
              <w:top w:val="nil"/>
              <w:left w:val="nil"/>
              <w:bottom w:val="single" w:sz="4" w:space="0" w:color="auto"/>
              <w:right w:val="single" w:sz="4" w:space="0" w:color="auto"/>
            </w:tcBorders>
            <w:shd w:val="clear" w:color="auto" w:fill="C4EFCE"/>
            <w:vAlign w:val="center"/>
            <w:hideMark/>
          </w:tcPr>
          <w:p w14:paraId="24E7301E" w14:textId="77777777" w:rsidR="00F24946" w:rsidRDefault="00613B06">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542DBFA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A1EFBFA" w14:textId="77777777" w:rsidR="00F24946" w:rsidRDefault="00613B06">
            <w:pPr>
              <w:pStyle w:val="P68B1DB1-Normal23"/>
              <w:spacing w:after="0"/>
              <w:jc w:val="both"/>
              <w:rPr>
                <w:rFonts w:eastAsia="Calibri" w:cs="Calibri"/>
                <w:noProof/>
              </w:rPr>
            </w:pPr>
            <w:r>
              <w:rPr>
                <w:noProof/>
              </w:rPr>
              <w:t>Podpisana pogodba za 8 cestnih projektov</w:t>
            </w:r>
          </w:p>
        </w:tc>
      </w:tr>
      <w:tr w:rsidR="00F24946" w14:paraId="0D73086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9AE6C3" w14:textId="77777777" w:rsidR="00F24946" w:rsidRDefault="00613B06">
            <w:pPr>
              <w:pStyle w:val="P68B1DB1-Normal23"/>
              <w:spacing w:after="0"/>
              <w:jc w:val="center"/>
              <w:rPr>
                <w:rFonts w:eastAsia="Calibri" w:cs="Calibri"/>
                <w:noProof/>
              </w:rPr>
            </w:pPr>
            <w:r>
              <w:rPr>
                <w:noProof/>
              </w:rPr>
              <w:t>8.5</w:t>
            </w:r>
          </w:p>
        </w:tc>
        <w:tc>
          <w:tcPr>
            <w:tcW w:w="1760" w:type="dxa"/>
            <w:tcBorders>
              <w:top w:val="nil"/>
              <w:left w:val="nil"/>
              <w:bottom w:val="single" w:sz="4" w:space="0" w:color="auto"/>
              <w:right w:val="single" w:sz="4" w:space="0" w:color="auto"/>
            </w:tcBorders>
            <w:shd w:val="clear" w:color="auto" w:fill="C4EFCE"/>
            <w:vAlign w:val="center"/>
            <w:hideMark/>
          </w:tcPr>
          <w:p w14:paraId="51937059" w14:textId="77777777" w:rsidR="00F24946" w:rsidRDefault="00613B06">
            <w:pPr>
              <w:pStyle w:val="P68B1DB1-Normal23"/>
              <w:spacing w:after="0"/>
              <w:jc w:val="center"/>
              <w:rPr>
                <w:rFonts w:eastAsia="Calibri" w:cs="Calibri"/>
                <w:noProof/>
              </w:rPr>
            </w:pPr>
            <w:r>
              <w:rPr>
                <w:noProof/>
              </w:rPr>
              <w:t>Re-C08-i02</w:t>
            </w:r>
          </w:p>
        </w:tc>
        <w:tc>
          <w:tcPr>
            <w:tcW w:w="1520" w:type="dxa"/>
            <w:tcBorders>
              <w:top w:val="nil"/>
              <w:left w:val="nil"/>
              <w:bottom w:val="single" w:sz="4" w:space="0" w:color="auto"/>
              <w:right w:val="single" w:sz="4" w:space="0" w:color="auto"/>
            </w:tcBorders>
            <w:shd w:val="clear" w:color="auto" w:fill="C4EFCE"/>
            <w:vAlign w:val="center"/>
            <w:hideMark/>
          </w:tcPr>
          <w:p w14:paraId="2049F84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0C76B7A" w14:textId="77777777" w:rsidR="00F24946" w:rsidRDefault="00613B06">
            <w:pPr>
              <w:pStyle w:val="P68B1DB1-Normal23"/>
              <w:spacing w:after="0"/>
              <w:jc w:val="both"/>
              <w:rPr>
                <w:rFonts w:eastAsia="Calibri" w:cs="Calibri"/>
                <w:noProof/>
              </w:rPr>
            </w:pPr>
            <w:r>
              <w:rPr>
                <w:noProof/>
              </w:rPr>
              <w:t>Usposabljanje o BUPiju</w:t>
            </w:r>
          </w:p>
        </w:tc>
      </w:tr>
      <w:tr w:rsidR="00F24946" w14:paraId="674B7D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172706" w14:textId="77777777" w:rsidR="00F24946" w:rsidRDefault="00613B06">
            <w:pPr>
              <w:pStyle w:val="P68B1DB1-Normal23"/>
              <w:spacing w:after="0"/>
              <w:jc w:val="center"/>
              <w:rPr>
                <w:rFonts w:eastAsia="Calibri" w:cs="Calibri"/>
                <w:noProof/>
              </w:rPr>
            </w:pPr>
            <w:r>
              <w:rPr>
                <w:noProof/>
              </w:rPr>
              <w:t>8.12</w:t>
            </w:r>
          </w:p>
        </w:tc>
        <w:tc>
          <w:tcPr>
            <w:tcW w:w="1760" w:type="dxa"/>
            <w:tcBorders>
              <w:top w:val="nil"/>
              <w:left w:val="nil"/>
              <w:bottom w:val="single" w:sz="4" w:space="0" w:color="auto"/>
              <w:right w:val="single" w:sz="4" w:space="0" w:color="auto"/>
            </w:tcBorders>
            <w:shd w:val="clear" w:color="auto" w:fill="C4EFCE"/>
            <w:vAlign w:val="center"/>
            <w:hideMark/>
          </w:tcPr>
          <w:p w14:paraId="4040DA76" w14:textId="77777777" w:rsidR="00F24946" w:rsidRDefault="00613B06">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309AD1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415AF6" w14:textId="77777777" w:rsidR="00F24946" w:rsidRDefault="00613B06">
            <w:pPr>
              <w:pStyle w:val="P68B1DB1-Normal23"/>
              <w:spacing w:after="0"/>
              <w:jc w:val="both"/>
              <w:rPr>
                <w:rFonts w:eastAsia="Calibri" w:cs="Calibri"/>
                <w:noProof/>
              </w:rPr>
            </w:pPr>
            <w:r>
              <w:rPr>
                <w:noProof/>
              </w:rPr>
              <w:t>Namestitev radarjev za dvojno polarizacijo</w:t>
            </w:r>
          </w:p>
        </w:tc>
      </w:tr>
      <w:tr w:rsidR="00F24946" w14:paraId="6B5640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629444E" w14:textId="77777777" w:rsidR="00F24946" w:rsidRDefault="00613B06">
            <w:pPr>
              <w:pStyle w:val="P68B1DB1-Normal23"/>
              <w:spacing w:after="0"/>
              <w:jc w:val="center"/>
              <w:rPr>
                <w:rFonts w:eastAsia="Calibri" w:cs="Calibri"/>
                <w:noProof/>
              </w:rPr>
            </w:pPr>
            <w:r>
              <w:rPr>
                <w:noProof/>
              </w:rPr>
              <w:t>10.8</w:t>
            </w:r>
          </w:p>
        </w:tc>
        <w:tc>
          <w:tcPr>
            <w:tcW w:w="1760" w:type="dxa"/>
            <w:tcBorders>
              <w:top w:val="nil"/>
              <w:left w:val="nil"/>
              <w:bottom w:val="single" w:sz="4" w:space="0" w:color="auto"/>
              <w:right w:val="single" w:sz="4" w:space="0" w:color="auto"/>
            </w:tcBorders>
            <w:shd w:val="clear" w:color="auto" w:fill="C4EFCE"/>
            <w:vAlign w:val="center"/>
            <w:hideMark/>
          </w:tcPr>
          <w:p w14:paraId="082E522F" w14:textId="77777777" w:rsidR="00F24946" w:rsidRDefault="00613B06">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7413937D"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0E0804" w14:textId="77777777" w:rsidR="00F24946" w:rsidRDefault="00613B06">
            <w:pPr>
              <w:pStyle w:val="P68B1DB1-Normal23"/>
              <w:spacing w:after="0"/>
              <w:jc w:val="both"/>
              <w:rPr>
                <w:rFonts w:eastAsia="Calibri" w:cs="Calibri"/>
                <w:noProof/>
              </w:rPr>
            </w:pPr>
            <w:r>
              <w:rPr>
                <w:noProof/>
              </w:rPr>
              <w:t>Začetek pogodbe o javnih delih za tehnični center MARTEC</w:t>
            </w:r>
          </w:p>
        </w:tc>
      </w:tr>
      <w:tr w:rsidR="00F24946" w14:paraId="17B7232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F9CBF5" w14:textId="77777777" w:rsidR="00F24946" w:rsidRDefault="00613B06">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81258D6" w14:textId="77777777" w:rsidR="00F24946" w:rsidRDefault="00613B06">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12E6D3A0"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C515859" w14:textId="77777777" w:rsidR="00F24946" w:rsidRDefault="00613B06">
            <w:pPr>
              <w:pStyle w:val="P68B1DB1-Normal23"/>
              <w:spacing w:after="0"/>
              <w:jc w:val="both"/>
              <w:rPr>
                <w:rFonts w:eastAsia="Calibri" w:cs="Calibri"/>
                <w:noProof/>
              </w:rPr>
            </w:pPr>
            <w:r>
              <w:rPr>
                <w:noProof/>
              </w:rPr>
              <w:t>Podpis pogodb o dodelitvi finančne podpore</w:t>
            </w:r>
          </w:p>
        </w:tc>
      </w:tr>
      <w:tr w:rsidR="00F24946" w14:paraId="5A90F3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CC5A52" w14:textId="77777777" w:rsidR="00F24946" w:rsidRDefault="00613B06">
            <w:pPr>
              <w:pStyle w:val="P68B1DB1-Normal23"/>
              <w:spacing w:after="0"/>
              <w:jc w:val="center"/>
              <w:rPr>
                <w:rFonts w:eastAsia="Calibri" w:cs="Calibri"/>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25B1DCC0" w14:textId="77777777" w:rsidR="00F24946" w:rsidRDefault="00613B06">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336E66E0"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6D70E6" w14:textId="77777777" w:rsidR="00F24946" w:rsidRDefault="00613B06">
            <w:pPr>
              <w:pStyle w:val="P68B1DB1-Normal23"/>
              <w:spacing w:after="0"/>
              <w:jc w:val="both"/>
              <w:rPr>
                <w:rFonts w:eastAsia="Calibri" w:cs="Calibri"/>
                <w:noProof/>
              </w:rPr>
            </w:pPr>
            <w:r>
              <w:rPr>
                <w:noProof/>
              </w:rPr>
              <w:t>Začetek veljavnosti usklajene opredelitve meril za eko – modulacija</w:t>
            </w:r>
          </w:p>
        </w:tc>
      </w:tr>
      <w:tr w:rsidR="00F24946" w14:paraId="7D943D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C76A33" w14:textId="77777777" w:rsidR="00F24946" w:rsidRDefault="00613B06">
            <w:pPr>
              <w:pStyle w:val="P68B1DB1-Normal23"/>
              <w:spacing w:after="0"/>
              <w:jc w:val="center"/>
              <w:rPr>
                <w:rFonts w:eastAsia="Calibri" w:cs="Calibri"/>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E41CB2B" w14:textId="77777777" w:rsidR="00F24946" w:rsidRDefault="00613B06">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4D1C03A4"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C48E4F" w14:textId="77777777" w:rsidR="00F24946" w:rsidRDefault="00613B06">
            <w:pPr>
              <w:pStyle w:val="P68B1DB1-Normal23"/>
              <w:spacing w:after="0"/>
              <w:jc w:val="both"/>
              <w:rPr>
                <w:rFonts w:eastAsia="Calibri" w:cs="Calibri"/>
                <w:noProof/>
              </w:rPr>
            </w:pPr>
            <w:r>
              <w:rPr>
                <w:noProof/>
              </w:rPr>
              <w:t>Sistem spodbud za vračilo (sistem vlog in povračil) za plastenke za enkratno uporabo, železne kovine in aluminij</w:t>
            </w:r>
          </w:p>
        </w:tc>
      </w:tr>
      <w:tr w:rsidR="00F24946" w14:paraId="4A314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71D74" w14:textId="77777777" w:rsidR="00F24946" w:rsidRDefault="00613B06">
            <w:pPr>
              <w:pStyle w:val="P68B1DB1-Normal23"/>
              <w:spacing w:after="0"/>
              <w:jc w:val="center"/>
              <w:rPr>
                <w:rFonts w:eastAsia="Calibri" w:cs="Calibri"/>
                <w:noProof/>
              </w:rPr>
            </w:pPr>
            <w:r>
              <w:rPr>
                <w:noProof/>
              </w:rPr>
              <w:t>15.1</w:t>
            </w:r>
          </w:p>
        </w:tc>
        <w:tc>
          <w:tcPr>
            <w:tcW w:w="1760" w:type="dxa"/>
            <w:tcBorders>
              <w:top w:val="nil"/>
              <w:left w:val="nil"/>
              <w:bottom w:val="single" w:sz="4" w:space="0" w:color="auto"/>
              <w:right w:val="single" w:sz="4" w:space="0" w:color="auto"/>
            </w:tcBorders>
            <w:shd w:val="clear" w:color="auto" w:fill="C4EFCE"/>
            <w:vAlign w:val="center"/>
            <w:hideMark/>
          </w:tcPr>
          <w:p w14:paraId="1B01C488" w14:textId="77777777" w:rsidR="00F24946" w:rsidRDefault="00613B06">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2DDD63A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44099B" w14:textId="77777777" w:rsidR="00F24946" w:rsidRDefault="00613B06">
            <w:pPr>
              <w:pStyle w:val="P68B1DB1-Normal23"/>
              <w:spacing w:after="0"/>
              <w:jc w:val="both"/>
              <w:rPr>
                <w:rFonts w:eastAsia="Calibri" w:cs="Calibri"/>
                <w:noProof/>
              </w:rPr>
            </w:pPr>
            <w:r>
              <w:rPr>
                <w:noProof/>
              </w:rPr>
              <w:t>Podpis pogodbe za razširitev lizbonskega omrežja Metro</w:t>
            </w:r>
          </w:p>
        </w:tc>
      </w:tr>
      <w:tr w:rsidR="00F24946" w14:paraId="36710B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21066" w14:textId="77777777" w:rsidR="00F24946" w:rsidRDefault="00613B06">
            <w:pPr>
              <w:pStyle w:val="P68B1DB1-Normal23"/>
              <w:spacing w:after="0"/>
              <w:jc w:val="center"/>
              <w:rPr>
                <w:rFonts w:eastAsia="Calibri" w:cs="Calibri"/>
                <w:noProof/>
              </w:rPr>
            </w:pPr>
            <w:r>
              <w:rPr>
                <w:noProof/>
              </w:rPr>
              <w:t>15.4</w:t>
            </w:r>
          </w:p>
        </w:tc>
        <w:tc>
          <w:tcPr>
            <w:tcW w:w="1760" w:type="dxa"/>
            <w:tcBorders>
              <w:top w:val="nil"/>
              <w:left w:val="nil"/>
              <w:bottom w:val="single" w:sz="4" w:space="0" w:color="auto"/>
              <w:right w:val="single" w:sz="4" w:space="0" w:color="auto"/>
            </w:tcBorders>
            <w:shd w:val="clear" w:color="auto" w:fill="C4EFCE"/>
            <w:vAlign w:val="center"/>
            <w:hideMark/>
          </w:tcPr>
          <w:p w14:paraId="15DC13F1" w14:textId="77777777" w:rsidR="00F24946" w:rsidRDefault="00613B06">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36F5B3D5"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B00BD76" w14:textId="77777777" w:rsidR="00F24946" w:rsidRDefault="00613B06">
            <w:pPr>
              <w:pStyle w:val="P68B1DB1-Normal23"/>
              <w:spacing w:after="0"/>
              <w:jc w:val="both"/>
              <w:rPr>
                <w:rFonts w:eastAsia="Calibri" w:cs="Calibri"/>
                <w:noProof/>
              </w:rPr>
            </w:pPr>
            <w:r>
              <w:rPr>
                <w:noProof/>
              </w:rPr>
              <w:t>Podpis pogodbe za razširitev omrežja Porto Metro</w:t>
            </w:r>
          </w:p>
        </w:tc>
      </w:tr>
      <w:tr w:rsidR="00F24946" w14:paraId="66F49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9D2C062" w14:textId="77777777" w:rsidR="00F24946" w:rsidRDefault="00613B06">
            <w:pPr>
              <w:pStyle w:val="P68B1DB1-Normal23"/>
              <w:spacing w:after="0"/>
              <w:jc w:val="center"/>
              <w:rPr>
                <w:rFonts w:eastAsia="Calibri" w:cs="Calibri"/>
                <w:noProof/>
              </w:rPr>
            </w:pPr>
            <w:r>
              <w:rPr>
                <w:noProof/>
              </w:rPr>
              <w:t>15.13</w:t>
            </w:r>
          </w:p>
        </w:tc>
        <w:tc>
          <w:tcPr>
            <w:tcW w:w="1760" w:type="dxa"/>
            <w:tcBorders>
              <w:top w:val="nil"/>
              <w:left w:val="nil"/>
              <w:bottom w:val="single" w:sz="4" w:space="0" w:color="auto"/>
              <w:right w:val="single" w:sz="4" w:space="0" w:color="auto"/>
            </w:tcBorders>
            <w:shd w:val="clear" w:color="auto" w:fill="C4EFCE"/>
            <w:vAlign w:val="center"/>
            <w:hideMark/>
          </w:tcPr>
          <w:p w14:paraId="152B40C0" w14:textId="77777777" w:rsidR="00F24946" w:rsidRDefault="00613B06">
            <w:pPr>
              <w:pStyle w:val="P68B1DB1-Normal23"/>
              <w:spacing w:after="0"/>
              <w:jc w:val="center"/>
              <w:rPr>
                <w:rFonts w:eastAsia="Calibri" w:cs="Calibri"/>
                <w:noProof/>
              </w:rPr>
            </w:pPr>
            <w:r>
              <w:rPr>
                <w:noProof/>
              </w:rPr>
              <w:t xml:space="preserve">TC-C15-i05  </w:t>
            </w:r>
          </w:p>
        </w:tc>
        <w:tc>
          <w:tcPr>
            <w:tcW w:w="1520" w:type="dxa"/>
            <w:tcBorders>
              <w:top w:val="nil"/>
              <w:left w:val="nil"/>
              <w:bottom w:val="single" w:sz="4" w:space="0" w:color="auto"/>
              <w:right w:val="single" w:sz="4" w:space="0" w:color="auto"/>
            </w:tcBorders>
            <w:shd w:val="clear" w:color="auto" w:fill="C4EFCE"/>
            <w:vAlign w:val="center"/>
            <w:hideMark/>
          </w:tcPr>
          <w:p w14:paraId="375FD4B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70A847" w14:textId="77777777" w:rsidR="00F24946" w:rsidRDefault="00613B06">
            <w:pPr>
              <w:pStyle w:val="P68B1DB1-Normal23"/>
              <w:spacing w:after="0"/>
              <w:jc w:val="both"/>
              <w:rPr>
                <w:rFonts w:eastAsia="Calibri" w:cs="Calibri"/>
                <w:noProof/>
              </w:rPr>
            </w:pPr>
            <w:r>
              <w:rPr>
                <w:noProof/>
              </w:rPr>
              <w:t>Nakup novih brezemisijskih avtobusov (električnih ali vodikovih) za javni prevoz</w:t>
            </w:r>
          </w:p>
        </w:tc>
      </w:tr>
      <w:tr w:rsidR="00F24946" w14:paraId="716C2B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F62426" w14:textId="77777777" w:rsidR="00F24946" w:rsidRDefault="00613B06">
            <w:pPr>
              <w:pStyle w:val="P68B1DB1-Normal23"/>
              <w:spacing w:after="0"/>
              <w:jc w:val="center"/>
              <w:rPr>
                <w:rFonts w:eastAsia="Calibri" w:cs="Calibri"/>
                <w:noProof/>
              </w:rPr>
            </w:pPr>
            <w:r>
              <w:rPr>
                <w:noProof/>
              </w:rPr>
              <w:t>15.14</w:t>
            </w:r>
          </w:p>
        </w:tc>
        <w:tc>
          <w:tcPr>
            <w:tcW w:w="1760" w:type="dxa"/>
            <w:tcBorders>
              <w:top w:val="nil"/>
              <w:left w:val="nil"/>
              <w:bottom w:val="single" w:sz="4" w:space="0" w:color="auto"/>
              <w:right w:val="single" w:sz="4" w:space="0" w:color="auto"/>
            </w:tcBorders>
            <w:shd w:val="clear" w:color="auto" w:fill="C4EFCE"/>
            <w:vAlign w:val="center"/>
            <w:hideMark/>
          </w:tcPr>
          <w:p w14:paraId="0DD59D79" w14:textId="77777777" w:rsidR="00F24946" w:rsidRDefault="00613B06">
            <w:pPr>
              <w:pStyle w:val="P68B1DB1-Normal23"/>
              <w:spacing w:after="0"/>
              <w:jc w:val="center"/>
              <w:rPr>
                <w:rFonts w:eastAsia="Calibri" w:cs="Calibri"/>
                <w:noProof/>
              </w:rPr>
            </w:pPr>
            <w:r>
              <w:rPr>
                <w:noProof/>
              </w:rPr>
              <w:t xml:space="preserve">TC-C15-r30  </w:t>
            </w:r>
          </w:p>
        </w:tc>
        <w:tc>
          <w:tcPr>
            <w:tcW w:w="1520" w:type="dxa"/>
            <w:tcBorders>
              <w:top w:val="nil"/>
              <w:left w:val="nil"/>
              <w:bottom w:val="single" w:sz="4" w:space="0" w:color="auto"/>
              <w:right w:val="single" w:sz="4" w:space="0" w:color="auto"/>
            </w:tcBorders>
            <w:shd w:val="clear" w:color="auto" w:fill="C4EFCE"/>
            <w:vAlign w:val="center"/>
            <w:hideMark/>
          </w:tcPr>
          <w:p w14:paraId="5706F25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8CB798" w14:textId="77777777" w:rsidR="00F24946" w:rsidRDefault="00613B06">
            <w:pPr>
              <w:pStyle w:val="P68B1DB1-Normal23"/>
              <w:spacing w:after="0"/>
              <w:jc w:val="both"/>
              <w:rPr>
                <w:rFonts w:eastAsia="Calibri" w:cs="Calibri"/>
                <w:noProof/>
              </w:rPr>
            </w:pPr>
            <w:r>
              <w:rPr>
                <w:noProof/>
              </w:rPr>
              <w:t>Podpisane pogodbe za storitve javnega potniškega prevoza na metropolitanskih območjih in medobčinskih skupnostih</w:t>
            </w:r>
          </w:p>
        </w:tc>
      </w:tr>
      <w:tr w:rsidR="00F24946" w14:paraId="1F86F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200" w:type="dxa"/>
            <w:shd w:val="clear" w:color="auto" w:fill="C4EFCE"/>
            <w:vAlign w:val="center"/>
            <w:hideMark/>
          </w:tcPr>
          <w:p w14:paraId="5DDEA1B4" w14:textId="77777777" w:rsidR="00F24946" w:rsidRDefault="00613B06">
            <w:pPr>
              <w:pStyle w:val="P68B1DB1-Normal23"/>
              <w:spacing w:after="0"/>
              <w:jc w:val="center"/>
              <w:rPr>
                <w:noProof/>
              </w:rPr>
            </w:pPr>
            <w:r>
              <w:rPr>
                <w:noProof/>
              </w:rPr>
              <w:t>16.14</w:t>
            </w:r>
          </w:p>
        </w:tc>
        <w:tc>
          <w:tcPr>
            <w:tcW w:w="1760" w:type="dxa"/>
            <w:shd w:val="clear" w:color="auto" w:fill="C4EFCE"/>
            <w:vAlign w:val="center"/>
            <w:hideMark/>
          </w:tcPr>
          <w:p w14:paraId="40EE589F" w14:textId="77777777" w:rsidR="00F24946" w:rsidRDefault="00613B06">
            <w:pPr>
              <w:pStyle w:val="P68B1DB1-Normal23"/>
              <w:spacing w:after="0"/>
              <w:jc w:val="center"/>
              <w:rPr>
                <w:noProof/>
              </w:rPr>
            </w:pPr>
            <w:r>
              <w:rPr>
                <w:noProof/>
              </w:rPr>
              <w:t xml:space="preserve">TD-C16-i03 </w:t>
            </w:r>
          </w:p>
        </w:tc>
        <w:tc>
          <w:tcPr>
            <w:tcW w:w="1520" w:type="dxa"/>
            <w:shd w:val="clear" w:color="auto" w:fill="C4EFCE"/>
            <w:vAlign w:val="center"/>
            <w:hideMark/>
          </w:tcPr>
          <w:p w14:paraId="12CAAAA0"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4006DF5" w14:textId="3316D69D" w:rsidR="00F24946" w:rsidRDefault="00613B06">
            <w:pPr>
              <w:pStyle w:val="P68B1DB1-Normal23"/>
              <w:spacing w:after="0"/>
              <w:jc w:val="both"/>
              <w:rPr>
                <w:rFonts w:eastAsia="Calibri" w:cs="Calibri"/>
                <w:noProof/>
              </w:rPr>
            </w:pPr>
            <w:r>
              <w:rPr>
                <w:noProof/>
              </w:rPr>
              <w:t>Vzpostavitev storitev za pošiljanje digitalnih računov in potrdil o kibernetski varnosti, zasebnosti, uporabnosti in trajnostnosti</w:t>
            </w:r>
          </w:p>
        </w:tc>
      </w:tr>
      <w:tr w:rsidR="00F24946" w14:paraId="09C48AE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69C532" w14:textId="77777777" w:rsidR="00F24946" w:rsidRDefault="00613B06">
            <w:pPr>
              <w:pStyle w:val="P68B1DB1-Normal23"/>
              <w:spacing w:after="0"/>
              <w:jc w:val="center"/>
              <w:rPr>
                <w:rFonts w:eastAsia="Calibri" w:cs="Calibri"/>
                <w:noProof/>
              </w:rPr>
            </w:pPr>
            <w:r>
              <w:rPr>
                <w:noProof/>
              </w:rPr>
              <w:t>16.16</w:t>
            </w:r>
          </w:p>
        </w:tc>
        <w:tc>
          <w:tcPr>
            <w:tcW w:w="1760" w:type="dxa"/>
            <w:tcBorders>
              <w:top w:val="nil"/>
              <w:left w:val="nil"/>
              <w:bottom w:val="single" w:sz="4" w:space="0" w:color="auto"/>
              <w:right w:val="single" w:sz="4" w:space="0" w:color="auto"/>
            </w:tcBorders>
            <w:shd w:val="clear" w:color="auto" w:fill="C4EFCE"/>
            <w:vAlign w:val="center"/>
            <w:hideMark/>
          </w:tcPr>
          <w:p w14:paraId="2CBED526" w14:textId="77777777" w:rsidR="00F24946" w:rsidRDefault="00613B06">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3003DF4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F9A9EA3" w14:textId="77777777" w:rsidR="00F24946" w:rsidRDefault="00613B06">
            <w:pPr>
              <w:pStyle w:val="P68B1DB1-Normal23"/>
              <w:spacing w:after="0"/>
              <w:jc w:val="both"/>
              <w:rPr>
                <w:rFonts w:eastAsia="Calibri" w:cs="Calibri"/>
                <w:noProof/>
              </w:rPr>
            </w:pPr>
            <w:r>
              <w:rPr>
                <w:noProof/>
              </w:rPr>
              <w:t>Izbira projektov industrije 4.0</w:t>
            </w:r>
          </w:p>
        </w:tc>
      </w:tr>
      <w:tr w:rsidR="00F24946" w14:paraId="0EE345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10FEBB" w14:textId="77777777" w:rsidR="00F24946" w:rsidRDefault="00613B06">
            <w:pPr>
              <w:pStyle w:val="P68B1DB1-Normal23"/>
              <w:spacing w:after="0"/>
              <w:jc w:val="center"/>
              <w:rPr>
                <w:rFonts w:eastAsia="Calibri" w:cs="Calibri"/>
                <w:noProof/>
              </w:rPr>
            </w:pPr>
            <w:r>
              <w:rPr>
                <w:noProof/>
              </w:rPr>
              <w:t>17.21</w:t>
            </w:r>
          </w:p>
        </w:tc>
        <w:tc>
          <w:tcPr>
            <w:tcW w:w="1760" w:type="dxa"/>
            <w:tcBorders>
              <w:top w:val="nil"/>
              <w:left w:val="nil"/>
              <w:bottom w:val="single" w:sz="4" w:space="0" w:color="auto"/>
              <w:right w:val="single" w:sz="4" w:space="0" w:color="auto"/>
            </w:tcBorders>
            <w:shd w:val="clear" w:color="auto" w:fill="C4EFCE"/>
            <w:vAlign w:val="center"/>
            <w:hideMark/>
          </w:tcPr>
          <w:p w14:paraId="2B0924BA" w14:textId="77777777" w:rsidR="00F24946" w:rsidRDefault="00613B06">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18D2B06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C698DD" w14:textId="77777777" w:rsidR="00F24946" w:rsidRDefault="00613B06">
            <w:pPr>
              <w:pStyle w:val="P68B1DB1-Normal23"/>
              <w:spacing w:after="0"/>
              <w:jc w:val="both"/>
              <w:rPr>
                <w:rFonts w:eastAsia="Calibri" w:cs="Calibri"/>
                <w:noProof/>
              </w:rPr>
            </w:pPr>
            <w:r>
              <w:rPr>
                <w:noProof/>
              </w:rPr>
              <w:t>Dokončati predhodno izpolnjevanje posebnih transakcij, za katere velja kolkovina</w:t>
            </w:r>
          </w:p>
        </w:tc>
      </w:tr>
      <w:tr w:rsidR="00F24946" w14:paraId="7D6C04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F3082E" w14:textId="77777777" w:rsidR="00F24946" w:rsidRDefault="00613B06">
            <w:pPr>
              <w:pStyle w:val="P68B1DB1-Normal23"/>
              <w:spacing w:after="0"/>
              <w:jc w:val="center"/>
              <w:rPr>
                <w:rFonts w:eastAsia="Calibri" w:cs="Calibri"/>
                <w:noProof/>
              </w:rPr>
            </w:pPr>
            <w:r>
              <w:rPr>
                <w:noProof/>
              </w:rPr>
              <w:t>17.23</w:t>
            </w:r>
          </w:p>
        </w:tc>
        <w:tc>
          <w:tcPr>
            <w:tcW w:w="1760" w:type="dxa"/>
            <w:tcBorders>
              <w:top w:val="nil"/>
              <w:left w:val="nil"/>
              <w:bottom w:val="single" w:sz="4" w:space="0" w:color="auto"/>
              <w:right w:val="single" w:sz="4" w:space="0" w:color="auto"/>
            </w:tcBorders>
            <w:shd w:val="clear" w:color="auto" w:fill="C4EFCE"/>
            <w:vAlign w:val="center"/>
            <w:hideMark/>
          </w:tcPr>
          <w:p w14:paraId="698DAC9E" w14:textId="665ACA7C" w:rsidR="00F24946" w:rsidRDefault="00613B06">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7B24166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27CEBBA" w14:textId="77777777" w:rsidR="00F24946" w:rsidRDefault="00613B06">
            <w:pPr>
              <w:pStyle w:val="P68B1DB1-Normal23"/>
              <w:spacing w:after="0"/>
              <w:jc w:val="both"/>
              <w:rPr>
                <w:rFonts w:eastAsia="Calibri" w:cs="Calibri"/>
                <w:noProof/>
              </w:rPr>
            </w:pPr>
            <w:r>
              <w:rPr>
                <w:noProof/>
              </w:rPr>
              <w:t>Začetek veljavnosti pravnega akta o ustanovitvi stalne enote za tehnično davčno politiko Unidade Técnica de Avaliação Tributária e Aduaneira (U-TAX)</w:t>
            </w:r>
          </w:p>
        </w:tc>
      </w:tr>
      <w:tr w:rsidR="00F24946" w14:paraId="1B7657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05E771" w14:textId="77777777" w:rsidR="00F24946" w:rsidRDefault="00613B06">
            <w:pPr>
              <w:pStyle w:val="P68B1DB1-Normal23"/>
              <w:spacing w:after="0"/>
              <w:jc w:val="center"/>
              <w:rPr>
                <w:rFonts w:eastAsia="Calibri" w:cs="Calibri"/>
                <w:noProof/>
              </w:rPr>
            </w:pPr>
            <w:r>
              <w:rPr>
                <w:noProof/>
              </w:rPr>
              <w:t>18.5</w:t>
            </w:r>
          </w:p>
        </w:tc>
        <w:tc>
          <w:tcPr>
            <w:tcW w:w="1760" w:type="dxa"/>
            <w:tcBorders>
              <w:top w:val="nil"/>
              <w:left w:val="nil"/>
              <w:bottom w:val="single" w:sz="4" w:space="0" w:color="auto"/>
              <w:right w:val="single" w:sz="4" w:space="0" w:color="auto"/>
            </w:tcBorders>
            <w:shd w:val="clear" w:color="auto" w:fill="C4EFCE"/>
            <w:vAlign w:val="center"/>
            <w:hideMark/>
          </w:tcPr>
          <w:p w14:paraId="618CB0E4" w14:textId="77777777" w:rsidR="00F24946" w:rsidRDefault="00613B06">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D6B08A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389343" w14:textId="77777777" w:rsidR="00F24946" w:rsidRDefault="00613B06">
            <w:pPr>
              <w:pStyle w:val="P68B1DB1-Normal23"/>
              <w:spacing w:after="0"/>
              <w:jc w:val="both"/>
              <w:rPr>
                <w:rFonts w:eastAsia="Calibri" w:cs="Calibri"/>
                <w:noProof/>
              </w:rPr>
            </w:pPr>
            <w:r>
              <w:rPr>
                <w:noProof/>
              </w:rPr>
              <w:t>Posodobljen informacijski sistem za kazenske preiskave</w:t>
            </w:r>
          </w:p>
        </w:tc>
      </w:tr>
      <w:tr w:rsidR="00F24946" w14:paraId="1F76A1E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F520F4" w14:textId="77777777" w:rsidR="00F24946" w:rsidRDefault="00613B06">
            <w:pPr>
              <w:pStyle w:val="P68B1DB1-Normal23"/>
              <w:spacing w:after="0"/>
              <w:jc w:val="center"/>
              <w:rPr>
                <w:rFonts w:eastAsia="Calibri" w:cs="Calibri"/>
                <w:noProof/>
              </w:rPr>
            </w:pPr>
            <w:r>
              <w:rPr>
                <w:noProof/>
              </w:rPr>
              <w:t>19.12</w:t>
            </w:r>
          </w:p>
        </w:tc>
        <w:tc>
          <w:tcPr>
            <w:tcW w:w="1760" w:type="dxa"/>
            <w:tcBorders>
              <w:top w:val="nil"/>
              <w:left w:val="nil"/>
              <w:bottom w:val="single" w:sz="4" w:space="0" w:color="auto"/>
              <w:right w:val="single" w:sz="4" w:space="0" w:color="auto"/>
            </w:tcBorders>
            <w:shd w:val="clear" w:color="auto" w:fill="C4EFCE"/>
            <w:vAlign w:val="center"/>
            <w:hideMark/>
          </w:tcPr>
          <w:p w14:paraId="47FDE4B7" w14:textId="77777777" w:rsidR="00F24946" w:rsidRDefault="00613B06">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723C2388"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82C1D8F" w14:textId="77777777" w:rsidR="00F24946" w:rsidRDefault="00613B06">
            <w:pPr>
              <w:pStyle w:val="P68B1DB1-Normal23"/>
              <w:spacing w:after="0"/>
              <w:jc w:val="both"/>
              <w:rPr>
                <w:rFonts w:eastAsia="Calibri" w:cs="Calibri"/>
                <w:noProof/>
              </w:rPr>
            </w:pPr>
            <w:r>
              <w:rPr>
                <w:noProof/>
              </w:rPr>
              <w:t>Dokončanje posodobitev kritične digitalne infrastrukture</w:t>
            </w:r>
          </w:p>
        </w:tc>
      </w:tr>
      <w:tr w:rsidR="00F24946" w14:paraId="68EBFC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2D3804" w14:textId="77777777" w:rsidR="00F24946" w:rsidRDefault="00613B06">
            <w:pPr>
              <w:pStyle w:val="P68B1DB1-Normal23"/>
              <w:spacing w:after="0"/>
              <w:jc w:val="center"/>
              <w:rPr>
                <w:rFonts w:eastAsia="Calibri" w:cs="Calibri"/>
                <w:noProof/>
              </w:rPr>
            </w:pPr>
            <w:r>
              <w:rPr>
                <w:noProof/>
              </w:rPr>
              <w:t>19.19</w:t>
            </w:r>
          </w:p>
        </w:tc>
        <w:tc>
          <w:tcPr>
            <w:tcW w:w="1760" w:type="dxa"/>
            <w:tcBorders>
              <w:top w:val="nil"/>
              <w:left w:val="nil"/>
              <w:bottom w:val="single" w:sz="4" w:space="0" w:color="auto"/>
              <w:right w:val="single" w:sz="4" w:space="0" w:color="auto"/>
            </w:tcBorders>
            <w:shd w:val="clear" w:color="auto" w:fill="C4EFCE"/>
            <w:vAlign w:val="center"/>
            <w:hideMark/>
          </w:tcPr>
          <w:p w14:paraId="52CAADEB" w14:textId="77777777" w:rsidR="00F24946" w:rsidRDefault="00613B06">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447F009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47649F" w14:textId="77777777" w:rsidR="00F24946" w:rsidRDefault="00613B06">
            <w:pPr>
              <w:pStyle w:val="P68B1DB1-Normal23"/>
              <w:spacing w:after="0"/>
              <w:jc w:val="both"/>
              <w:rPr>
                <w:rFonts w:eastAsia="Calibri" w:cs="Calibri"/>
                <w:noProof/>
              </w:rPr>
            </w:pPr>
            <w:r>
              <w:rPr>
                <w:noProof/>
              </w:rPr>
              <w:t>Program pripravništva za diplomante</w:t>
            </w:r>
          </w:p>
        </w:tc>
      </w:tr>
      <w:tr w:rsidR="00F24946" w14:paraId="0EEF05D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45AB48" w14:textId="77777777" w:rsidR="00F24946" w:rsidRDefault="00613B06">
            <w:pPr>
              <w:pStyle w:val="P68B1DB1-Normal23"/>
              <w:spacing w:after="0"/>
              <w:jc w:val="center"/>
              <w:rPr>
                <w:rFonts w:eastAsia="Calibri" w:cs="Calibri"/>
                <w:noProof/>
              </w:rPr>
            </w:pPr>
            <w:r>
              <w:rPr>
                <w:noProof/>
              </w:rPr>
              <w:t>19.20</w:t>
            </w:r>
          </w:p>
        </w:tc>
        <w:tc>
          <w:tcPr>
            <w:tcW w:w="1760" w:type="dxa"/>
            <w:tcBorders>
              <w:top w:val="nil"/>
              <w:left w:val="nil"/>
              <w:bottom w:val="single" w:sz="4" w:space="0" w:color="auto"/>
              <w:right w:val="single" w:sz="4" w:space="0" w:color="auto"/>
            </w:tcBorders>
            <w:shd w:val="clear" w:color="auto" w:fill="C4EFCE"/>
            <w:vAlign w:val="center"/>
            <w:hideMark/>
          </w:tcPr>
          <w:p w14:paraId="4BC8CA1D" w14:textId="77777777" w:rsidR="00F24946" w:rsidRDefault="00613B06">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70FE960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CE35B3" w14:textId="77777777" w:rsidR="00F24946" w:rsidRDefault="00613B06">
            <w:pPr>
              <w:pStyle w:val="P68B1DB1-Normal23"/>
              <w:spacing w:after="0"/>
              <w:jc w:val="both"/>
              <w:rPr>
                <w:rFonts w:eastAsia="Calibri" w:cs="Calibri"/>
                <w:noProof/>
              </w:rPr>
            </w:pPr>
            <w:r>
              <w:rPr>
                <w:noProof/>
              </w:rPr>
              <w:t>Zaposleni v javnih službah na daljavo</w:t>
            </w:r>
          </w:p>
        </w:tc>
      </w:tr>
      <w:tr w:rsidR="00F24946" w14:paraId="3C0825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C00604" w14:textId="77777777" w:rsidR="00F24946" w:rsidRDefault="00613B06">
            <w:pPr>
              <w:pStyle w:val="P68B1DB1-Normal23"/>
              <w:spacing w:after="0"/>
              <w:jc w:val="center"/>
              <w:rPr>
                <w:rFonts w:eastAsia="Calibri" w:cs="Calibri"/>
                <w:noProof/>
              </w:rPr>
            </w:pPr>
            <w:r>
              <w:rPr>
                <w:noProof/>
              </w:rPr>
              <w:t>19.23</w:t>
            </w:r>
          </w:p>
        </w:tc>
        <w:tc>
          <w:tcPr>
            <w:tcW w:w="1760" w:type="dxa"/>
            <w:tcBorders>
              <w:top w:val="nil"/>
              <w:left w:val="nil"/>
              <w:bottom w:val="single" w:sz="4" w:space="0" w:color="auto"/>
              <w:right w:val="single" w:sz="4" w:space="0" w:color="auto"/>
            </w:tcBorders>
            <w:shd w:val="clear" w:color="auto" w:fill="C4EFCE"/>
            <w:vAlign w:val="center"/>
            <w:hideMark/>
          </w:tcPr>
          <w:p w14:paraId="1BB37310" w14:textId="77777777" w:rsidR="00F24946" w:rsidRDefault="00613B06">
            <w:pPr>
              <w:pStyle w:val="P68B1DB1-Normal23"/>
              <w:spacing w:after="0"/>
              <w:jc w:val="center"/>
              <w:rPr>
                <w:rFonts w:eastAsia="Calibri" w:cs="Calibri"/>
                <w:noProof/>
              </w:rPr>
            </w:pPr>
            <w:r>
              <w:rPr>
                <w:noProof/>
              </w:rPr>
              <w:t>TD-C19-r35</w:t>
            </w:r>
          </w:p>
        </w:tc>
        <w:tc>
          <w:tcPr>
            <w:tcW w:w="1520" w:type="dxa"/>
            <w:tcBorders>
              <w:top w:val="nil"/>
              <w:left w:val="nil"/>
              <w:bottom w:val="single" w:sz="4" w:space="0" w:color="auto"/>
              <w:right w:val="single" w:sz="4" w:space="0" w:color="auto"/>
            </w:tcBorders>
            <w:shd w:val="clear" w:color="auto" w:fill="C4EFCE"/>
            <w:vAlign w:val="center"/>
            <w:hideMark/>
          </w:tcPr>
          <w:p w14:paraId="4E51FBB7"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A32703A" w14:textId="77777777" w:rsidR="00F24946" w:rsidRDefault="00613B06">
            <w:pPr>
              <w:pStyle w:val="P68B1DB1-Normal23"/>
              <w:spacing w:after="0"/>
              <w:jc w:val="both"/>
              <w:rPr>
                <w:rFonts w:eastAsia="Calibri" w:cs="Calibri"/>
                <w:noProof/>
              </w:rPr>
            </w:pPr>
            <w:r>
              <w:rPr>
                <w:noProof/>
              </w:rPr>
              <w:t>Začetek veljavnosti zakonodajnega svežnja za reorganizacijo javne uprave</w:t>
            </w:r>
          </w:p>
        </w:tc>
      </w:tr>
      <w:tr w:rsidR="00F24946" w14:paraId="742A12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8A13B2" w14:textId="77777777" w:rsidR="00F24946" w:rsidRDefault="00613B06">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0F22486B" w14:textId="690F2EF9" w:rsidR="00F24946" w:rsidRDefault="00613B06">
            <w:pPr>
              <w:pStyle w:val="P68B1DB1-Normal23"/>
              <w:spacing w:after="0"/>
              <w:jc w:val="center"/>
              <w:rPr>
                <w:rFonts w:eastAsia="Calibri" w:cs="Calibri"/>
                <w:noProof/>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3140DF8D"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0CD0448" w14:textId="77777777" w:rsidR="00F24946" w:rsidRDefault="00613B06">
            <w:pPr>
              <w:pStyle w:val="P68B1DB1-Normal23"/>
              <w:spacing w:after="0"/>
              <w:jc w:val="both"/>
              <w:rPr>
                <w:rFonts w:eastAsia="Calibri" w:cs="Calibri"/>
                <w:noProof/>
              </w:rPr>
            </w:pPr>
            <w:r>
              <w:rPr>
                <w:noProof/>
              </w:rPr>
              <w:t>Začetek veljavnosti zakonodaje o ustanovitvi nacionalne opazovalnice za energijsko revščino (ONPE)</w:t>
            </w:r>
          </w:p>
        </w:tc>
      </w:tr>
      <w:tr w:rsidR="00F24946" w14:paraId="144F24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1E2C5D" w14:textId="77777777" w:rsidR="00F24946" w:rsidRDefault="00613B06">
            <w:pPr>
              <w:pStyle w:val="P68B1DB1-Normal23"/>
              <w:spacing w:after="0"/>
              <w:jc w:val="center"/>
              <w:rPr>
                <w:rFonts w:eastAsia="Calibri" w:cs="Calibri"/>
                <w:noProof/>
              </w:rPr>
            </w:pPr>
            <w:r>
              <w:rPr>
                <w:noProof/>
              </w:rPr>
              <w:t>21.9</w:t>
            </w:r>
          </w:p>
        </w:tc>
        <w:tc>
          <w:tcPr>
            <w:tcW w:w="1760" w:type="dxa"/>
            <w:tcBorders>
              <w:top w:val="nil"/>
              <w:left w:val="nil"/>
              <w:bottom w:val="single" w:sz="4" w:space="0" w:color="auto"/>
              <w:right w:val="single" w:sz="4" w:space="0" w:color="auto"/>
            </w:tcBorders>
            <w:shd w:val="clear" w:color="auto" w:fill="C4EFCE"/>
            <w:vAlign w:val="center"/>
            <w:hideMark/>
          </w:tcPr>
          <w:p w14:paraId="5998B2BE" w14:textId="7C8A24E2" w:rsidR="00F24946" w:rsidRDefault="00613B06">
            <w:pPr>
              <w:pStyle w:val="P68B1DB1-Normal23"/>
              <w:spacing w:after="0"/>
              <w:jc w:val="center"/>
              <w:rPr>
                <w:rFonts w:eastAsia="Calibri" w:cs="Calibri"/>
                <w:noProof/>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520DFD63"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DBE9B0C" w14:textId="77777777" w:rsidR="00F24946" w:rsidRDefault="00613B06">
            <w:pPr>
              <w:pStyle w:val="P68B1DB1-Normal23"/>
              <w:spacing w:after="0"/>
              <w:jc w:val="both"/>
              <w:rPr>
                <w:rFonts w:eastAsia="Calibri" w:cs="Calibri"/>
                <w:noProof/>
              </w:rPr>
            </w:pPr>
            <w:r>
              <w:rPr>
                <w:noProof/>
              </w:rPr>
              <w:t>Podpis protokola o sodelovanju</w:t>
            </w:r>
          </w:p>
        </w:tc>
      </w:tr>
      <w:tr w:rsidR="00F24946" w14:paraId="470BD8F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3D0556" w14:textId="77777777" w:rsidR="00F24946" w:rsidRDefault="00613B06">
            <w:pPr>
              <w:pStyle w:val="P68B1DB1-Normal23"/>
              <w:spacing w:after="0"/>
              <w:jc w:val="center"/>
              <w:rPr>
                <w:rFonts w:eastAsia="Calibri" w:cs="Calibri"/>
                <w:noProof/>
              </w:rPr>
            </w:pPr>
            <w:r>
              <w:rPr>
                <w:noProof/>
              </w:rPr>
              <w:t>21.16</w:t>
            </w:r>
          </w:p>
        </w:tc>
        <w:tc>
          <w:tcPr>
            <w:tcW w:w="1760" w:type="dxa"/>
            <w:tcBorders>
              <w:top w:val="nil"/>
              <w:left w:val="nil"/>
              <w:bottom w:val="single" w:sz="4" w:space="0" w:color="auto"/>
              <w:right w:val="single" w:sz="4" w:space="0" w:color="auto"/>
            </w:tcBorders>
            <w:shd w:val="clear" w:color="auto" w:fill="C4EFCE"/>
            <w:vAlign w:val="center"/>
            <w:hideMark/>
          </w:tcPr>
          <w:p w14:paraId="2F028DB5" w14:textId="57F1A9AD" w:rsidR="00F24946" w:rsidRDefault="00613B06">
            <w:pPr>
              <w:pStyle w:val="P68B1DB1-Normal23"/>
              <w:spacing w:after="0"/>
              <w:jc w:val="center"/>
              <w:rPr>
                <w:rFonts w:eastAsia="Calibri" w:cs="Calibri"/>
                <w:noProof/>
              </w:rPr>
            </w:pPr>
            <w:r>
              <w:rPr>
                <w:noProof/>
              </w:rPr>
              <w:t>RP-C21-r46</w:t>
            </w:r>
          </w:p>
        </w:tc>
        <w:tc>
          <w:tcPr>
            <w:tcW w:w="1520" w:type="dxa"/>
            <w:tcBorders>
              <w:top w:val="nil"/>
              <w:left w:val="nil"/>
              <w:bottom w:val="single" w:sz="4" w:space="0" w:color="auto"/>
              <w:right w:val="single" w:sz="4" w:space="0" w:color="auto"/>
            </w:tcBorders>
            <w:shd w:val="clear" w:color="auto" w:fill="C4EFCE"/>
            <w:vAlign w:val="center"/>
            <w:hideMark/>
          </w:tcPr>
          <w:p w14:paraId="10032DF3"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068AE8" w14:textId="77777777" w:rsidR="00F24946" w:rsidRDefault="00613B06">
            <w:pPr>
              <w:pStyle w:val="P68B1DB1-Normal23"/>
              <w:spacing w:after="0"/>
              <w:jc w:val="both"/>
              <w:rPr>
                <w:rFonts w:eastAsia="Calibri" w:cs="Calibri"/>
                <w:noProof/>
              </w:rPr>
            </w:pPr>
            <w:r>
              <w:rPr>
                <w:noProof/>
              </w:rPr>
              <w:t>Začetek veljavnosti vladne uredbe o obnovljivem vodiku</w:t>
            </w:r>
          </w:p>
        </w:tc>
      </w:tr>
      <w:tr w:rsidR="00F24946" w14:paraId="1D045A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08C00" w14:textId="77777777" w:rsidR="00F24946" w:rsidRDefault="00613B06">
            <w:pPr>
              <w:pStyle w:val="P68B1DB1-Normal23"/>
              <w:spacing w:after="0"/>
              <w:jc w:val="center"/>
              <w:rPr>
                <w:rFonts w:eastAsia="Calibri" w:cs="Calibri"/>
                <w:noProof/>
              </w:rPr>
            </w:pPr>
            <w:r>
              <w:rPr>
                <w:noProof/>
              </w:rPr>
              <w:t>21.18</w:t>
            </w:r>
          </w:p>
        </w:tc>
        <w:tc>
          <w:tcPr>
            <w:tcW w:w="1760" w:type="dxa"/>
            <w:tcBorders>
              <w:top w:val="nil"/>
              <w:left w:val="nil"/>
              <w:bottom w:val="single" w:sz="4" w:space="0" w:color="auto"/>
              <w:right w:val="single" w:sz="4" w:space="0" w:color="auto"/>
            </w:tcBorders>
            <w:shd w:val="clear" w:color="auto" w:fill="C4EFCE"/>
            <w:vAlign w:val="center"/>
            <w:hideMark/>
          </w:tcPr>
          <w:p w14:paraId="40579BEA" w14:textId="1D5A61F1" w:rsidR="00F24946" w:rsidRDefault="00613B06">
            <w:pPr>
              <w:pStyle w:val="P68B1DB1-Normal23"/>
              <w:spacing w:after="0"/>
              <w:jc w:val="center"/>
              <w:rPr>
                <w:rFonts w:eastAsia="Calibri" w:cs="Calibri"/>
                <w:noProof/>
              </w:rPr>
            </w:pPr>
            <w:r>
              <w:rPr>
                <w:noProof/>
              </w:rPr>
              <w:t>RP-C21-r47</w:t>
            </w:r>
          </w:p>
        </w:tc>
        <w:tc>
          <w:tcPr>
            <w:tcW w:w="1520" w:type="dxa"/>
            <w:tcBorders>
              <w:top w:val="nil"/>
              <w:left w:val="nil"/>
              <w:bottom w:val="single" w:sz="4" w:space="0" w:color="auto"/>
              <w:right w:val="single" w:sz="4" w:space="0" w:color="auto"/>
            </w:tcBorders>
            <w:shd w:val="clear" w:color="auto" w:fill="C4EFCE"/>
            <w:vAlign w:val="center"/>
            <w:hideMark/>
          </w:tcPr>
          <w:p w14:paraId="7C053785"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F2FEF83" w14:textId="77777777" w:rsidR="00F24946" w:rsidRDefault="00613B06">
            <w:pPr>
              <w:pStyle w:val="P68B1DB1-Normal23"/>
              <w:spacing w:after="0"/>
              <w:jc w:val="both"/>
              <w:rPr>
                <w:rFonts w:eastAsia="Calibri" w:cs="Calibri"/>
                <w:noProof/>
              </w:rPr>
            </w:pPr>
            <w:r>
              <w:rPr>
                <w:noProof/>
              </w:rPr>
              <w:t>Začetek prve dražbe centraliziranega nakupa trajnostnega biometana</w:t>
            </w:r>
          </w:p>
        </w:tc>
      </w:tr>
      <w:tr w:rsidR="00F24946" w14:paraId="08D90CD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190E7F" w14:textId="77777777" w:rsidR="00F24946" w:rsidRDefault="00613B06">
            <w:pPr>
              <w:pStyle w:val="P68B1DB1-Normal23"/>
              <w:spacing w:after="0"/>
              <w:jc w:val="center"/>
              <w:rPr>
                <w:rFonts w:eastAsia="Calibri" w:cs="Calibri"/>
                <w:noProof/>
              </w:rPr>
            </w:pPr>
            <w:r>
              <w:rPr>
                <w:noProof/>
              </w:rPr>
              <w:t>21.20</w:t>
            </w:r>
          </w:p>
        </w:tc>
        <w:tc>
          <w:tcPr>
            <w:tcW w:w="1760" w:type="dxa"/>
            <w:tcBorders>
              <w:top w:val="nil"/>
              <w:left w:val="nil"/>
              <w:bottom w:val="single" w:sz="4" w:space="0" w:color="auto"/>
              <w:right w:val="single" w:sz="4" w:space="0" w:color="auto"/>
            </w:tcBorders>
            <w:shd w:val="clear" w:color="auto" w:fill="C4EFCE"/>
            <w:vAlign w:val="center"/>
            <w:hideMark/>
          </w:tcPr>
          <w:p w14:paraId="1B4E0D2F" w14:textId="42ABC8CD" w:rsidR="00F24946" w:rsidRDefault="00613B06">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1C5C7EE5"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37CE139" w14:textId="77777777" w:rsidR="00F24946" w:rsidRDefault="00613B06">
            <w:pPr>
              <w:pStyle w:val="P68B1DB1-Normal23"/>
              <w:spacing w:after="0"/>
              <w:jc w:val="both"/>
              <w:rPr>
                <w:rFonts w:eastAsia="Calibri" w:cs="Calibri"/>
                <w:noProof/>
              </w:rPr>
            </w:pPr>
            <w:r>
              <w:rPr>
                <w:noProof/>
              </w:rPr>
              <w:t>Vzpostavitev umerja 2030</w:t>
            </w:r>
          </w:p>
        </w:tc>
      </w:tr>
      <w:tr w:rsidR="00F24946" w14:paraId="4DEAB1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9CF6D3B" w14:textId="77777777" w:rsidR="00F24946" w:rsidRDefault="00613B06">
            <w:pPr>
              <w:pStyle w:val="P68B1DB1-Normal23"/>
              <w:spacing w:after="0"/>
              <w:jc w:val="center"/>
              <w:rPr>
                <w:rFonts w:eastAsia="Calibri" w:cs="Calibri"/>
                <w:noProof/>
              </w:rPr>
            </w:pPr>
            <w:r>
              <w:rPr>
                <w:noProof/>
              </w:rPr>
              <w:t>21.21</w:t>
            </w:r>
          </w:p>
        </w:tc>
        <w:tc>
          <w:tcPr>
            <w:tcW w:w="1760" w:type="dxa"/>
            <w:tcBorders>
              <w:top w:val="nil"/>
              <w:left w:val="nil"/>
              <w:bottom w:val="single" w:sz="4" w:space="0" w:color="auto"/>
              <w:right w:val="single" w:sz="4" w:space="0" w:color="auto"/>
            </w:tcBorders>
            <w:shd w:val="clear" w:color="auto" w:fill="C4EFCE"/>
            <w:vAlign w:val="center"/>
            <w:hideMark/>
          </w:tcPr>
          <w:p w14:paraId="759E15F8" w14:textId="0BC1ACC6" w:rsidR="00F24946" w:rsidRDefault="00613B06">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4CBDCB5F"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2FD427" w14:textId="77777777" w:rsidR="00F24946" w:rsidRDefault="00613B06">
            <w:pPr>
              <w:pStyle w:val="P68B1DB1-Normal23"/>
              <w:spacing w:after="0"/>
              <w:jc w:val="both"/>
              <w:rPr>
                <w:rFonts w:eastAsia="Calibri" w:cs="Calibri"/>
                <w:noProof/>
              </w:rPr>
            </w:pPr>
            <w:r>
              <w:rPr>
                <w:noProof/>
              </w:rPr>
              <w:t>Začetek veljavnosti uredbe o izdajanju občinskih dovoljenj za projekte obnovljivih virov energije in shranjevanja</w:t>
            </w:r>
          </w:p>
        </w:tc>
      </w:tr>
      <w:tr w:rsidR="00F24946" w14:paraId="544DFB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A5E44A" w14:textId="77777777" w:rsidR="00F24946" w:rsidRDefault="00613B06">
            <w:pPr>
              <w:pStyle w:val="P68B1DB1-Normal23"/>
              <w:spacing w:after="0"/>
              <w:jc w:val="center"/>
              <w:rPr>
                <w:rFonts w:eastAsia="Calibri" w:cs="Calibri"/>
                <w:noProof/>
              </w:rPr>
            </w:pPr>
            <w:r>
              <w:rPr>
                <w:noProof/>
              </w:rPr>
              <w:t>21.24</w:t>
            </w:r>
          </w:p>
        </w:tc>
        <w:tc>
          <w:tcPr>
            <w:tcW w:w="1760" w:type="dxa"/>
            <w:tcBorders>
              <w:top w:val="nil"/>
              <w:left w:val="nil"/>
              <w:bottom w:val="single" w:sz="4" w:space="0" w:color="auto"/>
              <w:right w:val="single" w:sz="4" w:space="0" w:color="auto"/>
            </w:tcBorders>
            <w:shd w:val="clear" w:color="auto" w:fill="C4EFCE"/>
            <w:vAlign w:val="center"/>
            <w:hideMark/>
          </w:tcPr>
          <w:p w14:paraId="5A33B31D" w14:textId="1FC01E9E" w:rsidR="00F24946" w:rsidRDefault="00613B06">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0C6B3D46"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91A62D3" w14:textId="77777777" w:rsidR="00F24946" w:rsidRDefault="00613B06">
            <w:pPr>
              <w:pStyle w:val="P68B1DB1-Normal23"/>
              <w:spacing w:after="0"/>
              <w:jc w:val="both"/>
              <w:rPr>
                <w:rFonts w:eastAsia="Calibri" w:cs="Calibri"/>
                <w:noProof/>
              </w:rPr>
            </w:pPr>
            <w:r>
              <w:rPr>
                <w:noProof/>
              </w:rPr>
              <w:t>Javni razpis za projekte za proizvodnjo plina iz obnovljivih virov</w:t>
            </w:r>
          </w:p>
        </w:tc>
      </w:tr>
      <w:tr w:rsidR="00F24946" w14:paraId="449FA24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B8A505" w14:textId="77777777" w:rsidR="00F24946" w:rsidRDefault="00613B06">
            <w:pPr>
              <w:pStyle w:val="P68B1DB1-Normal23"/>
              <w:spacing w:after="0"/>
              <w:jc w:val="center"/>
              <w:rPr>
                <w:rFonts w:eastAsia="Calibri" w:cs="Calibri"/>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1C9F8543" w14:textId="77777777" w:rsidR="00F24946" w:rsidRDefault="00613B06">
            <w:pPr>
              <w:pStyle w:val="P68B1DB1-Normal23"/>
              <w:spacing w:after="0"/>
              <w:jc w:val="center"/>
              <w:rPr>
                <w:rFonts w:eastAsia="Calibri" w:cs="Calibri"/>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2EC82A04" w14:textId="77777777" w:rsidR="00F24946" w:rsidRDefault="00613B06">
            <w:pPr>
              <w:pStyle w:val="P68B1DB1-Normal23"/>
              <w:spacing w:after="0"/>
              <w:jc w:val="center"/>
              <w:rPr>
                <w:rFonts w:eastAsia="Calibri" w:cs="Calibri"/>
                <w:noProof/>
              </w:rPr>
            </w:pPr>
            <w:r>
              <w:rPr>
                <w:noProof/>
              </w:rPr>
              <w:t xml:space="preserve">Znesek obroka </w:t>
            </w:r>
          </w:p>
        </w:tc>
        <w:tc>
          <w:tcPr>
            <w:tcW w:w="5060" w:type="dxa"/>
            <w:tcBorders>
              <w:top w:val="nil"/>
              <w:left w:val="nil"/>
              <w:bottom w:val="single" w:sz="4" w:space="0" w:color="auto"/>
              <w:right w:val="single" w:sz="4" w:space="0" w:color="auto"/>
            </w:tcBorders>
            <w:shd w:val="clear" w:color="auto" w:fill="C4EFCE"/>
            <w:vAlign w:val="center"/>
            <w:hideMark/>
          </w:tcPr>
          <w:p w14:paraId="5000AAA7" w14:textId="4A9A28C1" w:rsidR="00F24946" w:rsidRDefault="00613B06">
            <w:pPr>
              <w:pStyle w:val="P68B1DB1-Normal25"/>
              <w:spacing w:after="0"/>
              <w:jc w:val="center"/>
              <w:rPr>
                <w:rFonts w:eastAsia="Calibri" w:cs="Calibri"/>
                <w:noProof/>
                <w:sz w:val="18"/>
              </w:rPr>
            </w:pPr>
            <w:r>
              <w:rPr>
                <w:noProof/>
              </w:rPr>
              <w:t xml:space="preserve">1 877 616 715 EUR </w:t>
            </w:r>
          </w:p>
        </w:tc>
      </w:tr>
    </w:tbl>
    <w:p w14:paraId="3B218749" w14:textId="77777777" w:rsidR="00F24946" w:rsidRDefault="00F24946">
      <w:pPr>
        <w:rPr>
          <w:noProof/>
          <w:sz w:val="18"/>
        </w:rPr>
      </w:pPr>
    </w:p>
    <w:p w14:paraId="104FE146"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Šesti zahtevek za plačilo (nepovratna podpora): </w:t>
      </w:r>
    </w:p>
    <w:p w14:paraId="63820787" w14:textId="77777777" w:rsidR="00F24946" w:rsidRDefault="00F24946">
      <w:pPr>
        <w:keepNext/>
        <w:spacing w:before="40" w:after="160" w:line="259" w:lineRule="auto"/>
        <w:contextualSpacing/>
        <w:jc w:val="both"/>
        <w:rPr>
          <w:rFonts w:ascii="Times New Roman" w:eastAsiaTheme="minorEastAsia" w:hAnsi="Times New Roman" w:cs="Times New Roman"/>
          <w:noProof/>
          <w:sz w:val="18"/>
        </w:rPr>
      </w:pPr>
    </w:p>
    <w:tbl>
      <w:tblPr>
        <w:tblW w:w="9540" w:type="dxa"/>
        <w:tblInd w:w="113" w:type="dxa"/>
        <w:tblLook w:val="04A0" w:firstRow="1" w:lastRow="0" w:firstColumn="1" w:lastColumn="0" w:noHBand="0" w:noVBand="1"/>
      </w:tblPr>
      <w:tblGrid>
        <w:gridCol w:w="1177"/>
        <w:gridCol w:w="1731"/>
        <w:gridCol w:w="1491"/>
        <w:gridCol w:w="4919"/>
        <w:gridCol w:w="222"/>
      </w:tblGrid>
      <w:tr w:rsidR="00F24946" w14:paraId="5C1078BA" w14:textId="77777777">
        <w:trPr>
          <w:trHeight w:val="1065"/>
          <w:tblHeader/>
        </w:trPr>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0E67C2BA" w14:textId="77777777" w:rsidR="00F24946" w:rsidRDefault="00613B06">
            <w:pPr>
              <w:pStyle w:val="P68B1DB1-Normal6"/>
              <w:spacing w:after="0" w:line="240" w:lineRule="auto"/>
              <w:jc w:val="center"/>
              <w:rPr>
                <w:rFonts w:eastAsia="Times New Roman" w:cs="Times New Roman"/>
                <w:noProof/>
              </w:rPr>
            </w:pPr>
            <w:r>
              <w:rPr>
                <w:noProof/>
              </w:rPr>
              <w:t>Zaporedna številka</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3DA616A3" w14:textId="77777777" w:rsidR="00F24946" w:rsidRDefault="00613B06">
            <w:pPr>
              <w:pStyle w:val="P68B1DB1-Normal6"/>
              <w:spacing w:after="0" w:line="240" w:lineRule="auto"/>
              <w:jc w:val="center"/>
              <w:rPr>
                <w:rFonts w:eastAsia="Times New Roman" w:cs="Times New Roman"/>
                <w:noProof/>
              </w:rPr>
            </w:pPr>
            <w:r>
              <w:rPr>
                <w:noProof/>
              </w:rPr>
              <w:t>Povezani ukrep (reforma ali naložba)</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27BF467B" w14:textId="77777777" w:rsidR="00F24946" w:rsidRDefault="00613B06">
            <w:pPr>
              <w:pStyle w:val="P68B1DB1-Normal6"/>
              <w:spacing w:after="0" w:line="240" w:lineRule="auto"/>
              <w:jc w:val="center"/>
              <w:rPr>
                <w:rFonts w:eastAsia="Times New Roman" w:cs="Times New Roman"/>
                <w:noProof/>
              </w:rPr>
            </w:pPr>
            <w:r>
              <w:rPr>
                <w:noProof/>
              </w:rPr>
              <w:t>Mejnik/cilj</w:t>
            </w:r>
          </w:p>
        </w:tc>
        <w:tc>
          <w:tcPr>
            <w:tcW w:w="4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6FFF994C" w14:textId="77777777" w:rsidR="00F24946" w:rsidRDefault="00613B06">
            <w:pPr>
              <w:pStyle w:val="P68B1DB1-Normal6"/>
              <w:spacing w:after="0" w:line="240" w:lineRule="auto"/>
              <w:jc w:val="center"/>
              <w:rPr>
                <w:rFonts w:eastAsia="Times New Roman" w:cs="Times New Roman"/>
                <w:noProof/>
              </w:rPr>
            </w:pPr>
            <w:r>
              <w:rPr>
                <w:noProof/>
              </w:rPr>
              <w:t>Ime</w:t>
            </w:r>
          </w:p>
        </w:tc>
        <w:tc>
          <w:tcPr>
            <w:tcW w:w="0" w:type="auto"/>
          </w:tcPr>
          <w:p w14:paraId="3BA8F6CA" w14:textId="77777777" w:rsidR="00F24946" w:rsidRDefault="00F24946">
            <w:pPr>
              <w:spacing w:after="0" w:line="240" w:lineRule="auto"/>
              <w:rPr>
                <w:noProof/>
                <w:sz w:val="18"/>
              </w:rPr>
            </w:pPr>
          </w:p>
        </w:tc>
      </w:tr>
      <w:tr w:rsidR="00F24946" w14:paraId="40A55A26"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7EF44D23" w14:textId="77777777" w:rsidR="00F24946" w:rsidRDefault="00613B06">
            <w:pPr>
              <w:pStyle w:val="P68B1DB1-Normal23"/>
              <w:spacing w:after="0"/>
              <w:jc w:val="center"/>
              <w:rPr>
                <w:rFonts w:eastAsia="Calibri" w:cs="Calibri"/>
                <w:noProof/>
              </w:rPr>
            </w:pPr>
            <w:r>
              <w:rPr>
                <w:noProof/>
              </w:rPr>
              <w:t>1.7</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D40222F" w14:textId="77777777" w:rsidR="00F24946" w:rsidRDefault="00613B06">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206C69A0"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7A1CDF09" w14:textId="77777777" w:rsidR="00F24946" w:rsidRDefault="00613B06">
            <w:pPr>
              <w:pStyle w:val="P68B1DB1-Normal23"/>
              <w:spacing w:after="0"/>
              <w:jc w:val="both"/>
              <w:rPr>
                <w:rFonts w:eastAsia="Calibri" w:cs="Calibri"/>
                <w:noProof/>
              </w:rPr>
            </w:pPr>
            <w:r>
              <w:rPr>
                <w:noProof/>
              </w:rPr>
              <w:t>Začetek veljavnosti novega načrta upravljanja nacionalne zdravstvene službe</w:t>
            </w:r>
          </w:p>
        </w:tc>
      </w:tr>
      <w:tr w:rsidR="00F24946" w14:paraId="66751B46" w14:textId="77777777">
        <w:trPr>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228043A4" w14:textId="77777777" w:rsidR="00F24946" w:rsidRDefault="00613B06">
            <w:pPr>
              <w:pStyle w:val="P68B1DB1-Normal23"/>
              <w:spacing w:after="0"/>
              <w:jc w:val="center"/>
              <w:rPr>
                <w:rFonts w:eastAsia="Calibri" w:cs="Calibri"/>
                <w:noProof/>
              </w:rPr>
            </w:pPr>
            <w:r>
              <w:rPr>
                <w:noProof/>
              </w:rPr>
              <w:t>1.11</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2DAFAA45" w14:textId="77777777" w:rsidR="00F24946" w:rsidRDefault="00613B06">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4723DBAD"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45AF680B" w14:textId="77777777" w:rsidR="00F24946" w:rsidRDefault="00613B06">
            <w:pPr>
              <w:pStyle w:val="P68B1DB1-Normal23"/>
              <w:spacing w:after="0"/>
              <w:jc w:val="both"/>
              <w:rPr>
                <w:rFonts w:eastAsia="Calibri" w:cs="Calibri"/>
                <w:noProof/>
              </w:rPr>
            </w:pPr>
            <w:r>
              <w:rPr>
                <w:noProof/>
              </w:rPr>
              <w:t>Začetek veljavnosti akcijskega načrta za okrepitev centraliziranih nabavnih mehanizmov za zdravila</w:t>
            </w:r>
          </w:p>
        </w:tc>
        <w:tc>
          <w:tcPr>
            <w:tcW w:w="0" w:type="auto"/>
          </w:tcPr>
          <w:p w14:paraId="753752EC" w14:textId="77777777" w:rsidR="00F24946" w:rsidRDefault="00F24946">
            <w:pPr>
              <w:spacing w:after="0" w:line="240" w:lineRule="auto"/>
              <w:rPr>
                <w:noProof/>
                <w:sz w:val="18"/>
              </w:rPr>
            </w:pPr>
          </w:p>
        </w:tc>
      </w:tr>
      <w:tr w:rsidR="00F24946" w14:paraId="1808919D"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35A429DE" w14:textId="77777777" w:rsidR="00F24946" w:rsidRDefault="00613B06">
            <w:pPr>
              <w:pStyle w:val="P68B1DB1-Normal23"/>
              <w:spacing w:after="0"/>
              <w:jc w:val="center"/>
              <w:rPr>
                <w:rFonts w:eastAsia="Calibri" w:cs="Calibri"/>
                <w:noProof/>
              </w:rPr>
            </w:pPr>
            <w:r>
              <w:rPr>
                <w:noProof/>
              </w:rPr>
              <w:t>1.22</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5E6F087" w14:textId="77777777" w:rsidR="00F24946" w:rsidRDefault="00613B06">
            <w:pPr>
              <w:pStyle w:val="P68B1DB1-Normal23"/>
              <w:spacing w:after="0"/>
              <w:jc w:val="center"/>
              <w:rPr>
                <w:rFonts w:eastAsia="Calibri" w:cs="Calibri"/>
                <w:noProof/>
              </w:rPr>
            </w:pPr>
            <w:r>
              <w:rPr>
                <w:noProof/>
              </w:rPr>
              <w:t>Re-C01-i02</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7A664CD"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0575ECC2" w14:textId="77777777" w:rsidR="00F24946" w:rsidRDefault="00613B06">
            <w:pPr>
              <w:pStyle w:val="P68B1DB1-Normal23"/>
              <w:spacing w:after="0"/>
              <w:jc w:val="both"/>
              <w:rPr>
                <w:rFonts w:eastAsia="Calibri" w:cs="Calibri"/>
                <w:noProof/>
              </w:rPr>
            </w:pPr>
            <w:r>
              <w:rPr>
                <w:noProof/>
              </w:rPr>
              <w:t>Krepitev odzivne zmogljivosti nacionalnih mrež integrirane neprekinjene oskrbe in paliativne oskrbe na področju oskrbe na domu</w:t>
            </w:r>
          </w:p>
        </w:tc>
      </w:tr>
      <w:tr w:rsidR="00F24946" w14:paraId="40001357"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1BC70449" w14:textId="77777777" w:rsidR="00F24946" w:rsidRDefault="00613B06">
            <w:pPr>
              <w:pStyle w:val="P68B1DB1-Normal23"/>
              <w:spacing w:after="0"/>
              <w:jc w:val="center"/>
              <w:rPr>
                <w:rFonts w:eastAsia="Calibri" w:cs="Calibri"/>
                <w:noProof/>
              </w:rPr>
            </w:pPr>
            <w:r>
              <w:rPr>
                <w:noProof/>
              </w:rPr>
              <w:t>3.6</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3CFC2C9A" w14:textId="77777777" w:rsidR="00F24946" w:rsidRDefault="00613B06">
            <w:pPr>
              <w:pStyle w:val="P68B1DB1-Normal23"/>
              <w:spacing w:after="0"/>
              <w:jc w:val="center"/>
              <w:rPr>
                <w:rFonts w:eastAsia="Calibri" w:cs="Calibri"/>
                <w:noProof/>
              </w:rPr>
            </w:pPr>
            <w:r>
              <w:rPr>
                <w:noProof/>
              </w:rPr>
              <w:t xml:space="preserve">Re-C01-i02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147DFBF"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2D5F6706" w14:textId="77777777" w:rsidR="00F24946" w:rsidRDefault="00613B06">
            <w:pPr>
              <w:pStyle w:val="P68B1DB1-Normal23"/>
              <w:spacing w:after="0"/>
              <w:jc w:val="both"/>
              <w:rPr>
                <w:rFonts w:eastAsia="Calibri" w:cs="Calibri"/>
                <w:noProof/>
              </w:rPr>
            </w:pPr>
            <w:r>
              <w:rPr>
                <w:noProof/>
              </w:rPr>
              <w:t>Stanovanja z izboljšano dostopnostjo za osebe z omejeno mobilnostjo</w:t>
            </w:r>
          </w:p>
        </w:tc>
      </w:tr>
      <w:tr w:rsidR="00F24946" w14:paraId="6146DE32"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5DF2D95B" w14:textId="77777777" w:rsidR="00F24946" w:rsidRDefault="00613B06">
            <w:pPr>
              <w:pStyle w:val="P68B1DB1-Normal23"/>
              <w:spacing w:after="0"/>
              <w:jc w:val="center"/>
              <w:rPr>
                <w:rFonts w:eastAsia="Calibri" w:cs="Calibri"/>
                <w:noProof/>
              </w:rPr>
            </w:pPr>
            <w:r>
              <w:rPr>
                <w:noProof/>
              </w:rPr>
              <w:t>3.25</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48894F5A" w14:textId="77777777" w:rsidR="00F24946" w:rsidRDefault="00613B06">
            <w:pPr>
              <w:pStyle w:val="P68B1DB1-Normal23"/>
              <w:spacing w:after="0"/>
              <w:jc w:val="center"/>
              <w:rPr>
                <w:rFonts w:eastAsia="Calibri" w:cs="Calibri"/>
                <w:noProof/>
              </w:rPr>
            </w:pPr>
            <w:r>
              <w:rPr>
                <w:noProof/>
              </w:rPr>
              <w:t>Re-C01-i06</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56B5FA9F"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1E5C982E" w14:textId="77777777" w:rsidR="00F24946" w:rsidRDefault="00613B06">
            <w:pPr>
              <w:pStyle w:val="P68B1DB1-Normal23"/>
              <w:spacing w:after="0"/>
              <w:jc w:val="both"/>
              <w:rPr>
                <w:rFonts w:eastAsia="Calibri" w:cs="Calibri"/>
                <w:noProof/>
              </w:rPr>
            </w:pPr>
            <w:r>
              <w:rPr>
                <w:noProof/>
              </w:rPr>
              <w:t>Objava poročila o spremljanju metropolitanskih območij Porta in Lizbone v zvezi z ukrepi, sprejetimi na vsakem od 12 področij ukrepanja.</w:t>
            </w:r>
          </w:p>
        </w:tc>
      </w:tr>
      <w:tr w:rsidR="00F24946" w14:paraId="0020D0F3"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6C71AEC" w14:textId="77777777" w:rsidR="00F24946" w:rsidRDefault="00613B06">
            <w:pPr>
              <w:pStyle w:val="P68B1DB1-Normal23"/>
              <w:spacing w:after="0"/>
              <w:jc w:val="center"/>
              <w:rPr>
                <w:rFonts w:eastAsia="Calibri" w:cs="Calibri"/>
                <w:noProof/>
              </w:rPr>
            </w:pPr>
            <w:r>
              <w:rPr>
                <w:noProof/>
              </w:rPr>
              <w:t>5.33</w:t>
            </w:r>
          </w:p>
        </w:tc>
        <w:tc>
          <w:tcPr>
            <w:tcW w:w="1731" w:type="dxa"/>
            <w:tcBorders>
              <w:top w:val="nil"/>
              <w:left w:val="nil"/>
              <w:bottom w:val="single" w:sz="4" w:space="0" w:color="auto"/>
              <w:right w:val="single" w:sz="4" w:space="0" w:color="auto"/>
            </w:tcBorders>
            <w:shd w:val="clear" w:color="auto" w:fill="C4EFCE"/>
            <w:vAlign w:val="center"/>
            <w:hideMark/>
          </w:tcPr>
          <w:p w14:paraId="4F60CC1D" w14:textId="6EDC4274" w:rsidR="00F24946" w:rsidRDefault="00613B06">
            <w:pPr>
              <w:pStyle w:val="P68B1DB1-Normal23"/>
              <w:spacing w:after="0"/>
              <w:jc w:val="center"/>
              <w:rPr>
                <w:rFonts w:eastAsia="Calibri" w:cs="Calibri"/>
                <w:noProof/>
              </w:rPr>
            </w:pPr>
            <w:r>
              <w:rPr>
                <w:noProof/>
              </w:rPr>
              <w:t xml:space="preserve">Re-C05-i07-RAM </w:t>
            </w:r>
          </w:p>
        </w:tc>
        <w:tc>
          <w:tcPr>
            <w:tcW w:w="1491" w:type="dxa"/>
            <w:tcBorders>
              <w:top w:val="nil"/>
              <w:left w:val="nil"/>
              <w:bottom w:val="single" w:sz="4" w:space="0" w:color="auto"/>
              <w:right w:val="single" w:sz="4" w:space="0" w:color="auto"/>
            </w:tcBorders>
            <w:shd w:val="clear" w:color="auto" w:fill="C4EFCE"/>
            <w:vAlign w:val="center"/>
            <w:hideMark/>
          </w:tcPr>
          <w:p w14:paraId="4F836274"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E64E7E2" w14:textId="77777777" w:rsidR="00F24946" w:rsidRDefault="00613B06">
            <w:pPr>
              <w:pStyle w:val="P68B1DB1-Normal23"/>
              <w:spacing w:after="0"/>
              <w:jc w:val="both"/>
              <w:rPr>
                <w:rFonts w:eastAsia="Calibri" w:cs="Calibri"/>
                <w:noProof/>
              </w:rPr>
            </w:pPr>
            <w:r>
              <w:rPr>
                <w:noProof/>
              </w:rPr>
              <w:t>Podpis izvedbenega sporazuma (protokola) med Banco Português de Fomento, Instituto de Desenvolvimento Empresarial in izbranimi finančnimi posredniki</w:t>
            </w:r>
          </w:p>
        </w:tc>
      </w:tr>
      <w:tr w:rsidR="00F24946" w14:paraId="30129324"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5FCB9E5" w14:textId="77777777" w:rsidR="00F24946" w:rsidRDefault="00613B06">
            <w:pPr>
              <w:pStyle w:val="P68B1DB1-Normal23"/>
              <w:spacing w:after="0"/>
              <w:jc w:val="center"/>
              <w:rPr>
                <w:rFonts w:eastAsia="Calibri" w:cs="Calibri"/>
                <w:noProof/>
              </w:rPr>
            </w:pPr>
            <w:r>
              <w:rPr>
                <w:noProof/>
              </w:rPr>
              <w:t>8.21</w:t>
            </w:r>
          </w:p>
        </w:tc>
        <w:tc>
          <w:tcPr>
            <w:tcW w:w="1731" w:type="dxa"/>
            <w:tcBorders>
              <w:top w:val="nil"/>
              <w:left w:val="nil"/>
              <w:bottom w:val="single" w:sz="4" w:space="0" w:color="auto"/>
              <w:right w:val="single" w:sz="4" w:space="0" w:color="auto"/>
            </w:tcBorders>
            <w:shd w:val="clear" w:color="auto" w:fill="C4EFCE"/>
            <w:vAlign w:val="center"/>
            <w:hideMark/>
          </w:tcPr>
          <w:p w14:paraId="4B7441D6" w14:textId="77777777" w:rsidR="00F24946" w:rsidRDefault="00613B06">
            <w:pPr>
              <w:pStyle w:val="P68B1DB1-Normal23"/>
              <w:spacing w:after="0"/>
              <w:jc w:val="center"/>
              <w:rPr>
                <w:rFonts w:eastAsia="Calibri" w:cs="Calibri"/>
                <w:noProof/>
              </w:rPr>
            </w:pPr>
            <w:r>
              <w:rPr>
                <w:noProof/>
              </w:rPr>
              <w:t>Re-C08-i05</w:t>
            </w:r>
          </w:p>
        </w:tc>
        <w:tc>
          <w:tcPr>
            <w:tcW w:w="1491" w:type="dxa"/>
            <w:tcBorders>
              <w:top w:val="nil"/>
              <w:left w:val="nil"/>
              <w:bottom w:val="single" w:sz="4" w:space="0" w:color="auto"/>
              <w:right w:val="single" w:sz="4" w:space="0" w:color="auto"/>
            </w:tcBorders>
            <w:shd w:val="clear" w:color="auto" w:fill="C4EFCE"/>
            <w:vAlign w:val="center"/>
            <w:hideMark/>
          </w:tcPr>
          <w:p w14:paraId="460E8712"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6608672" w14:textId="77777777" w:rsidR="00F24946" w:rsidRDefault="00613B06">
            <w:pPr>
              <w:pStyle w:val="P68B1DB1-Normal23"/>
              <w:spacing w:after="0"/>
              <w:jc w:val="both"/>
              <w:rPr>
                <w:rFonts w:eastAsia="Calibri" w:cs="Calibri"/>
                <w:noProof/>
              </w:rPr>
            </w:pPr>
            <w:r>
              <w:rPr>
                <w:noProof/>
              </w:rPr>
              <w:t>Razvoj kampanje ozaveščanja za preprečevanje tveganega vedenja</w:t>
            </w:r>
          </w:p>
        </w:tc>
      </w:tr>
      <w:tr w:rsidR="00F24946" w14:paraId="143CDEBF"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53A389BE" w14:textId="77777777" w:rsidR="00F24946" w:rsidRDefault="00613B06">
            <w:pPr>
              <w:pStyle w:val="P68B1DB1-Normal23"/>
              <w:spacing w:after="0"/>
              <w:jc w:val="center"/>
              <w:rPr>
                <w:rFonts w:eastAsia="Calibri" w:cs="Calibri"/>
                <w:noProof/>
              </w:rPr>
            </w:pPr>
            <w:r>
              <w:rPr>
                <w:noProof/>
              </w:rPr>
              <w:t>10.13</w:t>
            </w:r>
          </w:p>
        </w:tc>
        <w:tc>
          <w:tcPr>
            <w:tcW w:w="1731" w:type="dxa"/>
            <w:tcBorders>
              <w:top w:val="nil"/>
              <w:left w:val="nil"/>
              <w:bottom w:val="single" w:sz="4" w:space="0" w:color="auto"/>
              <w:right w:val="single" w:sz="4" w:space="0" w:color="auto"/>
            </w:tcBorders>
            <w:shd w:val="clear" w:color="auto" w:fill="C4EFCE"/>
            <w:vAlign w:val="center"/>
            <w:hideMark/>
          </w:tcPr>
          <w:p w14:paraId="43E82AAB" w14:textId="5D3C7004" w:rsidR="00F24946" w:rsidRDefault="00613B06">
            <w:pPr>
              <w:pStyle w:val="P68B1DB1-Normal23"/>
              <w:spacing w:after="0"/>
              <w:jc w:val="center"/>
              <w:rPr>
                <w:rFonts w:eastAsia="Calibri" w:cs="Calibri"/>
                <w:noProof/>
              </w:rPr>
            </w:pPr>
            <w:r>
              <w:rPr>
                <w:noProof/>
              </w:rPr>
              <w:t xml:space="preserve">TC-C10-i06-RAM </w:t>
            </w:r>
          </w:p>
        </w:tc>
        <w:tc>
          <w:tcPr>
            <w:tcW w:w="1491" w:type="dxa"/>
            <w:tcBorders>
              <w:top w:val="nil"/>
              <w:left w:val="nil"/>
              <w:bottom w:val="single" w:sz="4" w:space="0" w:color="auto"/>
              <w:right w:val="single" w:sz="4" w:space="0" w:color="auto"/>
            </w:tcBorders>
            <w:shd w:val="clear" w:color="auto" w:fill="C4EFCE"/>
            <w:vAlign w:val="center"/>
            <w:hideMark/>
          </w:tcPr>
          <w:p w14:paraId="3CB9CA7F"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E9A44F3" w14:textId="77777777" w:rsidR="00F24946" w:rsidRDefault="00613B06">
            <w:pPr>
              <w:pStyle w:val="P68B1DB1-Normal23"/>
              <w:spacing w:after="0"/>
              <w:jc w:val="both"/>
              <w:rPr>
                <w:rFonts w:eastAsia="Calibri" w:cs="Calibri"/>
                <w:noProof/>
              </w:rPr>
            </w:pPr>
            <w:r>
              <w:rPr>
                <w:noProof/>
              </w:rPr>
              <w:t>Podpis pogodbe za večnamensko raziskovalno plovilo</w:t>
            </w:r>
          </w:p>
        </w:tc>
        <w:tc>
          <w:tcPr>
            <w:tcW w:w="0" w:type="auto"/>
          </w:tcPr>
          <w:p w14:paraId="3F53FDD0" w14:textId="77777777" w:rsidR="00F24946" w:rsidRDefault="00F24946">
            <w:pPr>
              <w:spacing w:after="0" w:line="240" w:lineRule="auto"/>
              <w:rPr>
                <w:noProof/>
                <w:sz w:val="18"/>
              </w:rPr>
            </w:pPr>
          </w:p>
        </w:tc>
      </w:tr>
      <w:tr w:rsidR="00F24946" w14:paraId="1B11DFC4"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39F21E" w14:textId="77777777" w:rsidR="00F24946" w:rsidRDefault="00613B06">
            <w:pPr>
              <w:pStyle w:val="P68B1DB1-Normal23"/>
              <w:spacing w:after="0"/>
              <w:jc w:val="center"/>
              <w:rPr>
                <w:rFonts w:eastAsia="Calibri" w:cs="Calibri"/>
                <w:noProof/>
              </w:rPr>
            </w:pPr>
            <w:r>
              <w:rPr>
                <w:noProof/>
              </w:rPr>
              <w:t>13.1</w:t>
            </w:r>
          </w:p>
        </w:tc>
        <w:tc>
          <w:tcPr>
            <w:tcW w:w="1731" w:type="dxa"/>
            <w:tcBorders>
              <w:top w:val="nil"/>
              <w:left w:val="nil"/>
              <w:bottom w:val="single" w:sz="4" w:space="0" w:color="auto"/>
              <w:right w:val="single" w:sz="4" w:space="0" w:color="auto"/>
            </w:tcBorders>
            <w:shd w:val="clear" w:color="auto" w:fill="C4EFCE"/>
            <w:vAlign w:val="center"/>
            <w:hideMark/>
          </w:tcPr>
          <w:p w14:paraId="100A5399" w14:textId="77777777" w:rsidR="00F24946" w:rsidRDefault="00613B06">
            <w:pPr>
              <w:pStyle w:val="P68B1DB1-Normal23"/>
              <w:spacing w:after="0"/>
              <w:jc w:val="center"/>
              <w:rPr>
                <w:rFonts w:eastAsia="Calibri" w:cs="Calibri"/>
                <w:noProof/>
              </w:rPr>
            </w:pPr>
            <w:r>
              <w:rPr>
                <w:noProof/>
              </w:rPr>
              <w:t xml:space="preserve">TC-C13-i01  </w:t>
            </w:r>
          </w:p>
        </w:tc>
        <w:tc>
          <w:tcPr>
            <w:tcW w:w="1491" w:type="dxa"/>
            <w:tcBorders>
              <w:top w:val="nil"/>
              <w:left w:val="nil"/>
              <w:bottom w:val="single" w:sz="4" w:space="0" w:color="auto"/>
              <w:right w:val="single" w:sz="4" w:space="0" w:color="auto"/>
            </w:tcBorders>
            <w:shd w:val="clear" w:color="auto" w:fill="C4EFCE"/>
            <w:vAlign w:val="center"/>
            <w:hideMark/>
          </w:tcPr>
          <w:p w14:paraId="7735E13B"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0E8DAA" w14:textId="77777777" w:rsidR="00F24946" w:rsidRDefault="00613B06">
            <w:pPr>
              <w:pStyle w:val="P68B1DB1-Normal23"/>
              <w:spacing w:after="0"/>
              <w:jc w:val="both"/>
              <w:rPr>
                <w:rFonts w:eastAsia="Calibri" w:cs="Calibri"/>
                <w:noProof/>
              </w:rPr>
            </w:pPr>
            <w:r>
              <w:rPr>
                <w:noProof/>
              </w:rPr>
              <w:t>Energijska prenova zasebnih stanovanjskih stavb</w:t>
            </w:r>
          </w:p>
        </w:tc>
        <w:tc>
          <w:tcPr>
            <w:tcW w:w="0" w:type="auto"/>
          </w:tcPr>
          <w:p w14:paraId="6E5DAF10" w14:textId="77777777" w:rsidR="00F24946" w:rsidRDefault="00F24946">
            <w:pPr>
              <w:spacing w:after="0" w:line="240" w:lineRule="auto"/>
              <w:rPr>
                <w:noProof/>
                <w:sz w:val="18"/>
              </w:rPr>
            </w:pPr>
          </w:p>
        </w:tc>
      </w:tr>
      <w:tr w:rsidR="00F24946" w14:paraId="04772B6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7C22BDC" w14:textId="77777777" w:rsidR="00F24946" w:rsidRDefault="00613B06">
            <w:pPr>
              <w:pStyle w:val="P68B1DB1-Normal23"/>
              <w:spacing w:after="0"/>
              <w:jc w:val="center"/>
              <w:rPr>
                <w:rFonts w:eastAsia="Calibri" w:cs="Calibri"/>
                <w:noProof/>
              </w:rPr>
            </w:pPr>
            <w:r>
              <w:rPr>
                <w:noProof/>
              </w:rPr>
              <w:t>14.12</w:t>
            </w:r>
          </w:p>
        </w:tc>
        <w:tc>
          <w:tcPr>
            <w:tcW w:w="1731" w:type="dxa"/>
            <w:tcBorders>
              <w:top w:val="nil"/>
              <w:left w:val="nil"/>
              <w:bottom w:val="single" w:sz="4" w:space="0" w:color="auto"/>
              <w:right w:val="single" w:sz="4" w:space="0" w:color="auto"/>
            </w:tcBorders>
            <w:shd w:val="clear" w:color="auto" w:fill="C4EFCE"/>
            <w:vAlign w:val="center"/>
            <w:hideMark/>
          </w:tcPr>
          <w:p w14:paraId="0F195F9B" w14:textId="77777777" w:rsidR="00F24946" w:rsidRDefault="00613B06">
            <w:pPr>
              <w:pStyle w:val="P68B1DB1-Normal23"/>
              <w:spacing w:after="0"/>
              <w:jc w:val="center"/>
              <w:rPr>
                <w:rFonts w:eastAsia="Calibri" w:cs="Calibri"/>
                <w:noProof/>
              </w:rPr>
            </w:pPr>
            <w:r>
              <w:rPr>
                <w:noProof/>
              </w:rPr>
              <w:t>TC-C14-i03-RAA</w:t>
            </w:r>
          </w:p>
        </w:tc>
        <w:tc>
          <w:tcPr>
            <w:tcW w:w="1491" w:type="dxa"/>
            <w:tcBorders>
              <w:top w:val="nil"/>
              <w:left w:val="nil"/>
              <w:bottom w:val="single" w:sz="4" w:space="0" w:color="auto"/>
              <w:right w:val="single" w:sz="4" w:space="0" w:color="auto"/>
            </w:tcBorders>
            <w:shd w:val="clear" w:color="auto" w:fill="C4EFCE"/>
            <w:vAlign w:val="center"/>
            <w:hideMark/>
          </w:tcPr>
          <w:p w14:paraId="5B757820"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48E5404" w14:textId="77777777" w:rsidR="00F24946" w:rsidRDefault="00613B06">
            <w:pPr>
              <w:pStyle w:val="P68B1DB1-Normal23"/>
              <w:spacing w:after="0"/>
              <w:jc w:val="both"/>
              <w:rPr>
                <w:rFonts w:eastAsia="Calibri" w:cs="Calibri"/>
                <w:noProof/>
              </w:rPr>
            </w:pPr>
            <w:r>
              <w:rPr>
                <w:noProof/>
              </w:rPr>
              <w:t>Dodatna proizvodnja električne energije iz obnovljivih virov v Corvu</w:t>
            </w:r>
          </w:p>
        </w:tc>
        <w:tc>
          <w:tcPr>
            <w:tcW w:w="0" w:type="auto"/>
          </w:tcPr>
          <w:p w14:paraId="233A08FA" w14:textId="77777777" w:rsidR="00F24946" w:rsidRDefault="00F24946">
            <w:pPr>
              <w:spacing w:after="0" w:line="240" w:lineRule="auto"/>
              <w:rPr>
                <w:noProof/>
                <w:sz w:val="18"/>
              </w:rPr>
            </w:pPr>
          </w:p>
        </w:tc>
      </w:tr>
      <w:tr w:rsidR="00F24946" w14:paraId="7BF5056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AC8B3F4" w14:textId="77777777" w:rsidR="00F24946" w:rsidRDefault="00613B06">
            <w:pPr>
              <w:pStyle w:val="P68B1DB1-Normal23"/>
              <w:spacing w:after="0"/>
              <w:jc w:val="center"/>
              <w:rPr>
                <w:rFonts w:eastAsia="Calibri" w:cs="Calibri"/>
                <w:noProof/>
              </w:rPr>
            </w:pPr>
            <w:r>
              <w:rPr>
                <w:noProof/>
              </w:rPr>
              <w:t>14.5</w:t>
            </w:r>
          </w:p>
        </w:tc>
        <w:tc>
          <w:tcPr>
            <w:tcW w:w="1731" w:type="dxa"/>
            <w:tcBorders>
              <w:top w:val="nil"/>
              <w:left w:val="nil"/>
              <w:bottom w:val="single" w:sz="4" w:space="0" w:color="auto"/>
              <w:right w:val="single" w:sz="4" w:space="0" w:color="auto"/>
            </w:tcBorders>
            <w:shd w:val="clear" w:color="auto" w:fill="C4EFCE"/>
            <w:vAlign w:val="center"/>
            <w:hideMark/>
          </w:tcPr>
          <w:p w14:paraId="30AC97EB" w14:textId="77777777" w:rsidR="00F24946" w:rsidRDefault="00613B06">
            <w:pPr>
              <w:pStyle w:val="P68B1DB1-Normal23"/>
              <w:spacing w:after="0"/>
              <w:jc w:val="center"/>
              <w:rPr>
                <w:rFonts w:eastAsia="Calibri" w:cs="Calibri"/>
                <w:noProof/>
              </w:rPr>
            </w:pPr>
            <w:r>
              <w:rPr>
                <w:noProof/>
              </w:rPr>
              <w:t xml:space="preserve">TC-C14-Ci02-RAM </w:t>
            </w:r>
          </w:p>
        </w:tc>
        <w:tc>
          <w:tcPr>
            <w:tcW w:w="1491" w:type="dxa"/>
            <w:tcBorders>
              <w:top w:val="nil"/>
              <w:left w:val="nil"/>
              <w:bottom w:val="single" w:sz="4" w:space="0" w:color="auto"/>
              <w:right w:val="single" w:sz="4" w:space="0" w:color="auto"/>
            </w:tcBorders>
            <w:shd w:val="clear" w:color="auto" w:fill="C4EFCE"/>
            <w:vAlign w:val="center"/>
            <w:hideMark/>
          </w:tcPr>
          <w:p w14:paraId="684CEB02"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E0A75B" w14:textId="77777777" w:rsidR="00F24946" w:rsidRDefault="00613B06">
            <w:pPr>
              <w:pStyle w:val="P68B1DB1-Normal23"/>
              <w:spacing w:after="0"/>
              <w:jc w:val="both"/>
              <w:rPr>
                <w:rFonts w:eastAsia="Calibri" w:cs="Calibri"/>
                <w:noProof/>
              </w:rPr>
            </w:pPr>
            <w:r>
              <w:rPr>
                <w:noProof/>
              </w:rPr>
              <w:t>Dodatna inštalirana zmogljivost za proizvodnjo vodne energije</w:t>
            </w:r>
          </w:p>
        </w:tc>
        <w:tc>
          <w:tcPr>
            <w:tcW w:w="0" w:type="auto"/>
          </w:tcPr>
          <w:p w14:paraId="6A814305" w14:textId="77777777" w:rsidR="00F24946" w:rsidRDefault="00F24946">
            <w:pPr>
              <w:spacing w:after="0" w:line="240" w:lineRule="auto"/>
              <w:rPr>
                <w:noProof/>
                <w:sz w:val="18"/>
              </w:rPr>
            </w:pPr>
          </w:p>
        </w:tc>
      </w:tr>
      <w:tr w:rsidR="00F24946" w14:paraId="2414C73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1DD6AE2" w14:textId="77777777" w:rsidR="00F24946" w:rsidRDefault="00613B06">
            <w:pPr>
              <w:pStyle w:val="P68B1DB1-Normal23"/>
              <w:spacing w:after="0"/>
              <w:jc w:val="center"/>
              <w:rPr>
                <w:rFonts w:eastAsia="Calibri" w:cs="Calibri"/>
                <w:noProof/>
              </w:rPr>
            </w:pPr>
            <w:r>
              <w:rPr>
                <w:noProof/>
              </w:rPr>
              <w:t>15.2</w:t>
            </w:r>
          </w:p>
        </w:tc>
        <w:tc>
          <w:tcPr>
            <w:tcW w:w="1731" w:type="dxa"/>
            <w:tcBorders>
              <w:top w:val="nil"/>
              <w:left w:val="nil"/>
              <w:bottom w:val="single" w:sz="4" w:space="0" w:color="auto"/>
              <w:right w:val="single" w:sz="4" w:space="0" w:color="auto"/>
            </w:tcBorders>
            <w:shd w:val="clear" w:color="auto" w:fill="C4EFCE"/>
            <w:vAlign w:val="center"/>
            <w:hideMark/>
          </w:tcPr>
          <w:p w14:paraId="265A1C92" w14:textId="77777777" w:rsidR="00F24946" w:rsidRDefault="00613B06">
            <w:pPr>
              <w:pStyle w:val="P68B1DB1-Normal23"/>
              <w:spacing w:after="0"/>
              <w:jc w:val="center"/>
              <w:rPr>
                <w:rFonts w:eastAsia="Calibri" w:cs="Calibri"/>
                <w:noProof/>
              </w:rPr>
            </w:pPr>
            <w:r>
              <w:rPr>
                <w:noProof/>
              </w:rPr>
              <w:t>TC-C15-i01</w:t>
            </w:r>
          </w:p>
        </w:tc>
        <w:tc>
          <w:tcPr>
            <w:tcW w:w="1491" w:type="dxa"/>
            <w:tcBorders>
              <w:top w:val="nil"/>
              <w:left w:val="nil"/>
              <w:bottom w:val="single" w:sz="4" w:space="0" w:color="auto"/>
              <w:right w:val="single" w:sz="4" w:space="0" w:color="auto"/>
            </w:tcBorders>
            <w:shd w:val="clear" w:color="auto" w:fill="C4EFCE"/>
            <w:vAlign w:val="center"/>
            <w:hideMark/>
          </w:tcPr>
          <w:p w14:paraId="6A06D6EB"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36FE9F6" w14:textId="77777777" w:rsidR="00F24946" w:rsidRDefault="00613B06">
            <w:pPr>
              <w:pStyle w:val="P68B1DB1-Normal23"/>
              <w:spacing w:after="0"/>
              <w:jc w:val="both"/>
              <w:rPr>
                <w:rFonts w:eastAsia="Calibri" w:cs="Calibri"/>
                <w:noProof/>
              </w:rPr>
            </w:pPr>
            <w:r>
              <w:rPr>
                <w:noProof/>
              </w:rPr>
              <w:t>Poročilo o napredku pri širitvi lizbonske mreže Metro</w:t>
            </w:r>
          </w:p>
        </w:tc>
        <w:tc>
          <w:tcPr>
            <w:tcW w:w="0" w:type="auto"/>
          </w:tcPr>
          <w:p w14:paraId="176F4E1F" w14:textId="77777777" w:rsidR="00F24946" w:rsidRDefault="00F24946">
            <w:pPr>
              <w:spacing w:after="0" w:line="240" w:lineRule="auto"/>
              <w:rPr>
                <w:noProof/>
                <w:sz w:val="18"/>
              </w:rPr>
            </w:pPr>
          </w:p>
        </w:tc>
      </w:tr>
      <w:tr w:rsidR="00F24946" w14:paraId="1B841B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C2C500B" w14:textId="77777777" w:rsidR="00F24946" w:rsidRDefault="00613B06">
            <w:pPr>
              <w:pStyle w:val="P68B1DB1-Normal23"/>
              <w:spacing w:after="0"/>
              <w:jc w:val="center"/>
              <w:rPr>
                <w:rFonts w:eastAsia="Calibri" w:cs="Calibri"/>
                <w:noProof/>
              </w:rPr>
            </w:pPr>
            <w:r>
              <w:rPr>
                <w:noProof/>
              </w:rPr>
              <w:t>16.6</w:t>
            </w:r>
          </w:p>
        </w:tc>
        <w:tc>
          <w:tcPr>
            <w:tcW w:w="1731" w:type="dxa"/>
            <w:tcBorders>
              <w:top w:val="nil"/>
              <w:left w:val="nil"/>
              <w:bottom w:val="single" w:sz="4" w:space="0" w:color="auto"/>
              <w:right w:val="single" w:sz="4" w:space="0" w:color="auto"/>
            </w:tcBorders>
            <w:shd w:val="clear" w:color="auto" w:fill="C4EFCE"/>
            <w:vAlign w:val="center"/>
            <w:hideMark/>
          </w:tcPr>
          <w:p w14:paraId="5B078A84" w14:textId="77777777" w:rsidR="00F24946" w:rsidRDefault="00613B06">
            <w:pPr>
              <w:pStyle w:val="P68B1DB1-Normal23"/>
              <w:spacing w:after="0"/>
              <w:jc w:val="center"/>
              <w:rPr>
                <w:rFonts w:eastAsia="Calibri" w:cs="Calibri"/>
                <w:noProof/>
              </w:rPr>
            </w:pPr>
            <w:r>
              <w:rPr>
                <w:noProof/>
              </w:rPr>
              <w:t>TD-C16-i02</w:t>
            </w:r>
          </w:p>
        </w:tc>
        <w:tc>
          <w:tcPr>
            <w:tcW w:w="1491" w:type="dxa"/>
            <w:tcBorders>
              <w:top w:val="nil"/>
              <w:left w:val="nil"/>
              <w:bottom w:val="single" w:sz="4" w:space="0" w:color="auto"/>
              <w:right w:val="single" w:sz="4" w:space="0" w:color="auto"/>
            </w:tcBorders>
            <w:shd w:val="clear" w:color="auto" w:fill="C4EFCE"/>
            <w:vAlign w:val="center"/>
            <w:hideMark/>
          </w:tcPr>
          <w:p w14:paraId="4B59BF99"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D181BA9" w14:textId="77777777" w:rsidR="00F24946" w:rsidRDefault="00613B06">
            <w:pPr>
              <w:pStyle w:val="P68B1DB1-Normal23"/>
              <w:spacing w:after="0"/>
              <w:jc w:val="both"/>
              <w:rPr>
                <w:rFonts w:eastAsia="Calibri" w:cs="Calibri"/>
                <w:noProof/>
              </w:rPr>
            </w:pPr>
            <w:r>
              <w:rPr>
                <w:noProof/>
              </w:rPr>
              <w:t>Razviti pilotni proizvodi in storitve nacionalne mreže za preskusne naprave</w:t>
            </w:r>
          </w:p>
        </w:tc>
        <w:tc>
          <w:tcPr>
            <w:tcW w:w="0" w:type="auto"/>
          </w:tcPr>
          <w:p w14:paraId="30E9FC62" w14:textId="77777777" w:rsidR="00F24946" w:rsidRDefault="00F24946">
            <w:pPr>
              <w:spacing w:after="0" w:line="240" w:lineRule="auto"/>
              <w:rPr>
                <w:noProof/>
                <w:sz w:val="18"/>
              </w:rPr>
            </w:pPr>
          </w:p>
        </w:tc>
      </w:tr>
      <w:tr w:rsidR="00F24946" w14:paraId="60F2EA6A"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14B7C4" w14:textId="77777777" w:rsidR="00F24946" w:rsidRDefault="00613B06">
            <w:pPr>
              <w:pStyle w:val="P68B1DB1-Normal23"/>
              <w:spacing w:after="0"/>
              <w:jc w:val="center"/>
              <w:rPr>
                <w:rFonts w:eastAsia="Calibri" w:cs="Calibri"/>
                <w:noProof/>
              </w:rPr>
            </w:pPr>
            <w:r>
              <w:rPr>
                <w:noProof/>
              </w:rPr>
              <w:t>17.9</w:t>
            </w:r>
          </w:p>
        </w:tc>
        <w:tc>
          <w:tcPr>
            <w:tcW w:w="1731" w:type="dxa"/>
            <w:tcBorders>
              <w:top w:val="nil"/>
              <w:left w:val="nil"/>
              <w:bottom w:val="single" w:sz="4" w:space="0" w:color="auto"/>
              <w:right w:val="single" w:sz="4" w:space="0" w:color="auto"/>
            </w:tcBorders>
            <w:shd w:val="clear" w:color="auto" w:fill="C4EFCE"/>
            <w:vAlign w:val="center"/>
            <w:hideMark/>
          </w:tcPr>
          <w:p w14:paraId="53DAA92D" w14:textId="77777777" w:rsidR="00F24946" w:rsidRDefault="00613B06">
            <w:pPr>
              <w:pStyle w:val="P68B1DB1-Normal23"/>
              <w:spacing w:after="0"/>
              <w:jc w:val="center"/>
              <w:rPr>
                <w:rFonts w:eastAsia="Calibri" w:cs="Calibri"/>
                <w:noProof/>
              </w:rPr>
            </w:pPr>
            <w:r>
              <w:rPr>
                <w:noProof/>
              </w:rPr>
              <w:t xml:space="preserve">TD-C17-i01  </w:t>
            </w:r>
          </w:p>
        </w:tc>
        <w:tc>
          <w:tcPr>
            <w:tcW w:w="1491" w:type="dxa"/>
            <w:tcBorders>
              <w:top w:val="nil"/>
              <w:left w:val="nil"/>
              <w:bottom w:val="single" w:sz="4" w:space="0" w:color="auto"/>
              <w:right w:val="single" w:sz="4" w:space="0" w:color="auto"/>
            </w:tcBorders>
            <w:shd w:val="clear" w:color="auto" w:fill="C4EFCE"/>
            <w:vAlign w:val="center"/>
            <w:hideMark/>
          </w:tcPr>
          <w:p w14:paraId="06990E6D"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8CB0E5D" w14:textId="77777777" w:rsidR="00F24946" w:rsidRDefault="00613B06">
            <w:pPr>
              <w:pStyle w:val="P68B1DB1-Normal23"/>
              <w:spacing w:after="0"/>
              <w:jc w:val="both"/>
              <w:rPr>
                <w:rFonts w:eastAsia="Calibri" w:cs="Calibri"/>
                <w:noProof/>
              </w:rPr>
            </w:pPr>
            <w:r>
              <w:rPr>
                <w:noProof/>
              </w:rPr>
              <w:t>Zaključek izvajanja državnega računovodskega subjekta</w:t>
            </w:r>
          </w:p>
        </w:tc>
      </w:tr>
      <w:tr w:rsidR="00F24946" w14:paraId="52B41EA8"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217BC2C" w14:textId="77777777" w:rsidR="00F24946" w:rsidRDefault="00613B06">
            <w:pPr>
              <w:pStyle w:val="P68B1DB1-Normal23"/>
              <w:spacing w:after="0"/>
              <w:jc w:val="center"/>
              <w:rPr>
                <w:rFonts w:eastAsia="Calibri" w:cs="Calibri"/>
                <w:noProof/>
              </w:rPr>
            </w:pPr>
            <w:r>
              <w:rPr>
                <w:noProof/>
              </w:rPr>
              <w:t>18.3</w:t>
            </w:r>
          </w:p>
        </w:tc>
        <w:tc>
          <w:tcPr>
            <w:tcW w:w="1731" w:type="dxa"/>
            <w:tcBorders>
              <w:top w:val="nil"/>
              <w:left w:val="nil"/>
              <w:bottom w:val="single" w:sz="4" w:space="0" w:color="auto"/>
              <w:right w:val="single" w:sz="4" w:space="0" w:color="auto"/>
            </w:tcBorders>
            <w:shd w:val="clear" w:color="auto" w:fill="C4EFCE"/>
            <w:vAlign w:val="center"/>
            <w:hideMark/>
          </w:tcPr>
          <w:p w14:paraId="439AD1C1" w14:textId="77777777" w:rsidR="00F24946" w:rsidRDefault="00613B06">
            <w:pPr>
              <w:pStyle w:val="P68B1DB1-Normal23"/>
              <w:spacing w:after="0"/>
              <w:jc w:val="center"/>
              <w:rPr>
                <w:rFonts w:eastAsia="Calibri" w:cs="Calibri"/>
                <w:noProof/>
              </w:rPr>
            </w:pPr>
            <w:r>
              <w:rPr>
                <w:noProof/>
              </w:rPr>
              <w:t xml:space="preserve">TD-C18-r33  </w:t>
            </w:r>
          </w:p>
        </w:tc>
        <w:tc>
          <w:tcPr>
            <w:tcW w:w="1491" w:type="dxa"/>
            <w:tcBorders>
              <w:top w:val="nil"/>
              <w:left w:val="nil"/>
              <w:bottom w:val="single" w:sz="4" w:space="0" w:color="auto"/>
              <w:right w:val="single" w:sz="4" w:space="0" w:color="auto"/>
            </w:tcBorders>
            <w:shd w:val="clear" w:color="auto" w:fill="C4EFCE"/>
            <w:vAlign w:val="center"/>
            <w:hideMark/>
          </w:tcPr>
          <w:p w14:paraId="256DB6ED"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D0F6574" w14:textId="77777777" w:rsidR="00F24946" w:rsidRDefault="00613B06">
            <w:pPr>
              <w:pStyle w:val="P68B1DB1-Normal23"/>
              <w:spacing w:after="0"/>
              <w:jc w:val="both"/>
              <w:rPr>
                <w:rFonts w:eastAsia="Calibri" w:cs="Calibri"/>
                <w:noProof/>
              </w:rPr>
            </w:pPr>
            <w:r>
              <w:rPr>
                <w:noProof/>
              </w:rPr>
              <w:t>Začetek veljavnosti revidiranega pravnega okvira za insolventnost in izterjavo</w:t>
            </w:r>
          </w:p>
        </w:tc>
      </w:tr>
      <w:tr w:rsidR="00F24946" w14:paraId="6BA9A315"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308F543" w14:textId="77777777" w:rsidR="00F24946" w:rsidRDefault="00613B06">
            <w:pPr>
              <w:pStyle w:val="P68B1DB1-Normal23"/>
              <w:spacing w:after="0"/>
              <w:jc w:val="center"/>
              <w:rPr>
                <w:rFonts w:eastAsia="Calibri" w:cs="Calibri"/>
                <w:noProof/>
              </w:rPr>
            </w:pPr>
            <w:r>
              <w:rPr>
                <w:noProof/>
              </w:rPr>
              <w:t>18.6</w:t>
            </w:r>
          </w:p>
        </w:tc>
        <w:tc>
          <w:tcPr>
            <w:tcW w:w="1731" w:type="dxa"/>
            <w:tcBorders>
              <w:top w:val="nil"/>
              <w:left w:val="nil"/>
              <w:bottom w:val="single" w:sz="4" w:space="0" w:color="auto"/>
              <w:right w:val="single" w:sz="4" w:space="0" w:color="auto"/>
            </w:tcBorders>
            <w:shd w:val="clear" w:color="auto" w:fill="C4EFCE"/>
            <w:vAlign w:val="center"/>
            <w:hideMark/>
          </w:tcPr>
          <w:p w14:paraId="69B5EA32" w14:textId="77777777" w:rsidR="00F24946" w:rsidRDefault="00613B06">
            <w:pPr>
              <w:pStyle w:val="P68B1DB1-Normal23"/>
              <w:spacing w:after="0"/>
              <w:jc w:val="center"/>
              <w:rPr>
                <w:rFonts w:eastAsia="Calibri" w:cs="Calibri"/>
                <w:noProof/>
              </w:rPr>
            </w:pPr>
            <w:r>
              <w:rPr>
                <w:noProof/>
              </w:rPr>
              <w:t xml:space="preserve">TD-C18-i01  </w:t>
            </w:r>
          </w:p>
        </w:tc>
        <w:tc>
          <w:tcPr>
            <w:tcW w:w="1491" w:type="dxa"/>
            <w:tcBorders>
              <w:top w:val="nil"/>
              <w:left w:val="nil"/>
              <w:bottom w:val="single" w:sz="4" w:space="0" w:color="auto"/>
              <w:right w:val="single" w:sz="4" w:space="0" w:color="auto"/>
            </w:tcBorders>
            <w:shd w:val="clear" w:color="auto" w:fill="C4EFCE"/>
            <w:vAlign w:val="center"/>
            <w:hideMark/>
          </w:tcPr>
          <w:p w14:paraId="02E67EB9"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5F982AAA" w14:textId="77777777" w:rsidR="00F24946" w:rsidRDefault="00613B06">
            <w:pPr>
              <w:pStyle w:val="P68B1DB1-Normal23"/>
              <w:spacing w:after="0"/>
              <w:jc w:val="both"/>
              <w:rPr>
                <w:rFonts w:eastAsia="Calibri" w:cs="Calibri"/>
                <w:noProof/>
              </w:rPr>
            </w:pPr>
            <w:r>
              <w:rPr>
                <w:noProof/>
              </w:rPr>
              <w:t>Informacijski sistem „podjetje 2.0“</w:t>
            </w:r>
          </w:p>
        </w:tc>
      </w:tr>
      <w:tr w:rsidR="00F24946" w14:paraId="066A4BC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8C5AC18" w14:textId="77777777" w:rsidR="00F24946" w:rsidRDefault="00613B06">
            <w:pPr>
              <w:pStyle w:val="P68B1DB1-Normal23"/>
              <w:spacing w:after="0"/>
              <w:jc w:val="center"/>
              <w:rPr>
                <w:rFonts w:eastAsia="Calibri" w:cs="Calibri"/>
                <w:noProof/>
              </w:rPr>
            </w:pPr>
            <w:r>
              <w:rPr>
                <w:noProof/>
              </w:rPr>
              <w:t>20.6</w:t>
            </w:r>
          </w:p>
        </w:tc>
        <w:tc>
          <w:tcPr>
            <w:tcW w:w="1731" w:type="dxa"/>
            <w:tcBorders>
              <w:top w:val="nil"/>
              <w:left w:val="nil"/>
              <w:bottom w:val="single" w:sz="4" w:space="0" w:color="auto"/>
              <w:right w:val="single" w:sz="4" w:space="0" w:color="auto"/>
            </w:tcBorders>
            <w:shd w:val="clear" w:color="auto" w:fill="C4EFCE"/>
            <w:vAlign w:val="center"/>
            <w:hideMark/>
          </w:tcPr>
          <w:p w14:paraId="02680F3B" w14:textId="77777777" w:rsidR="00F24946" w:rsidRDefault="00613B06">
            <w:pPr>
              <w:pStyle w:val="P68B1DB1-Normal23"/>
              <w:spacing w:after="0"/>
              <w:jc w:val="center"/>
              <w:rPr>
                <w:rFonts w:eastAsia="Calibri" w:cs="Calibri"/>
                <w:noProof/>
              </w:rPr>
            </w:pPr>
            <w:r>
              <w:rPr>
                <w:noProof/>
              </w:rPr>
              <w:t xml:space="preserve">TD-C20-i01  </w:t>
            </w:r>
          </w:p>
        </w:tc>
        <w:tc>
          <w:tcPr>
            <w:tcW w:w="1491" w:type="dxa"/>
            <w:tcBorders>
              <w:top w:val="nil"/>
              <w:left w:val="nil"/>
              <w:bottom w:val="single" w:sz="4" w:space="0" w:color="auto"/>
              <w:right w:val="single" w:sz="4" w:space="0" w:color="auto"/>
            </w:tcBorders>
            <w:shd w:val="clear" w:color="auto" w:fill="C4EFCE"/>
            <w:vAlign w:val="center"/>
            <w:hideMark/>
          </w:tcPr>
          <w:p w14:paraId="6D1CFD3C" w14:textId="77777777" w:rsidR="00F24946" w:rsidRDefault="00613B06">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0C2BC67C" w14:textId="77777777" w:rsidR="00F24946" w:rsidRDefault="00613B06">
            <w:pPr>
              <w:pStyle w:val="P68B1DB1-Normal23"/>
              <w:spacing w:after="0"/>
              <w:jc w:val="both"/>
              <w:rPr>
                <w:rFonts w:eastAsia="Calibri" w:cs="Calibri"/>
                <w:noProof/>
              </w:rPr>
            </w:pPr>
            <w:r>
              <w:rPr>
                <w:noProof/>
              </w:rPr>
              <w:t>Učilnice z novo opremo za projekcije</w:t>
            </w:r>
          </w:p>
        </w:tc>
      </w:tr>
      <w:tr w:rsidR="00F24946" w14:paraId="3F22673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EADFA0" w14:textId="77777777" w:rsidR="00F24946" w:rsidRDefault="00613B06">
            <w:pPr>
              <w:pStyle w:val="P68B1DB1-Normal23"/>
              <w:spacing w:after="0"/>
              <w:jc w:val="center"/>
              <w:rPr>
                <w:rFonts w:eastAsia="Calibri" w:cs="Calibri"/>
                <w:noProof/>
              </w:rPr>
            </w:pPr>
            <w:r>
              <w:rPr>
                <w:noProof/>
              </w:rPr>
              <w:t>21.12</w:t>
            </w:r>
          </w:p>
        </w:tc>
        <w:tc>
          <w:tcPr>
            <w:tcW w:w="1731" w:type="dxa"/>
            <w:tcBorders>
              <w:top w:val="nil"/>
              <w:left w:val="nil"/>
              <w:bottom w:val="single" w:sz="4" w:space="0" w:color="auto"/>
              <w:right w:val="single" w:sz="4" w:space="0" w:color="auto"/>
            </w:tcBorders>
            <w:shd w:val="clear" w:color="auto" w:fill="C4EFCE"/>
            <w:vAlign w:val="center"/>
            <w:hideMark/>
          </w:tcPr>
          <w:p w14:paraId="6B91C308" w14:textId="77777777" w:rsidR="00F24946" w:rsidRDefault="00613B06">
            <w:pPr>
              <w:pStyle w:val="P68B1DB1-Normal23"/>
              <w:spacing w:after="0"/>
              <w:jc w:val="center"/>
              <w:rPr>
                <w:rFonts w:eastAsia="Calibri" w:cs="Calibri"/>
                <w:noProof/>
              </w:rPr>
            </w:pPr>
            <w:r>
              <w:rPr>
                <w:noProof/>
              </w:rPr>
              <w:t>RP-C21-i05</w:t>
            </w:r>
          </w:p>
        </w:tc>
        <w:tc>
          <w:tcPr>
            <w:tcW w:w="1491" w:type="dxa"/>
            <w:tcBorders>
              <w:top w:val="nil"/>
              <w:left w:val="nil"/>
              <w:bottom w:val="single" w:sz="4" w:space="0" w:color="auto"/>
              <w:right w:val="single" w:sz="4" w:space="0" w:color="auto"/>
            </w:tcBorders>
            <w:shd w:val="clear" w:color="auto" w:fill="C4EFCE"/>
            <w:vAlign w:val="center"/>
            <w:hideMark/>
          </w:tcPr>
          <w:p w14:paraId="51F3F5CD"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1729A8E5" w14:textId="77777777" w:rsidR="00F24946" w:rsidRDefault="00613B06">
            <w:pPr>
              <w:pStyle w:val="P68B1DB1-Normal23"/>
              <w:spacing w:after="0"/>
              <w:jc w:val="both"/>
              <w:rPr>
                <w:rFonts w:eastAsia="Calibri" w:cs="Calibri"/>
                <w:noProof/>
              </w:rPr>
            </w:pPr>
            <w:r>
              <w:rPr>
                <w:noProof/>
              </w:rPr>
              <w:t>Podpis pogojev odobritve za izvajanje industrijskih projektov</w:t>
            </w:r>
          </w:p>
        </w:tc>
        <w:tc>
          <w:tcPr>
            <w:tcW w:w="0" w:type="auto"/>
          </w:tcPr>
          <w:p w14:paraId="3441107D" w14:textId="77777777" w:rsidR="00F24946" w:rsidRDefault="00F24946">
            <w:pPr>
              <w:spacing w:after="0" w:line="240" w:lineRule="auto"/>
              <w:rPr>
                <w:noProof/>
                <w:sz w:val="18"/>
              </w:rPr>
            </w:pPr>
          </w:p>
        </w:tc>
      </w:tr>
      <w:tr w:rsidR="00F24946" w14:paraId="62CE6F8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5DDD690" w14:textId="77777777" w:rsidR="00F24946" w:rsidRDefault="00613B06">
            <w:pPr>
              <w:pStyle w:val="P68B1DB1-Normal23"/>
              <w:spacing w:after="0"/>
              <w:jc w:val="center"/>
              <w:rPr>
                <w:rFonts w:eastAsia="Calibri" w:cs="Calibri"/>
                <w:noProof/>
              </w:rPr>
            </w:pPr>
            <w:r>
              <w:rPr>
                <w:noProof/>
              </w:rPr>
              <w:t>21.17</w:t>
            </w:r>
          </w:p>
        </w:tc>
        <w:tc>
          <w:tcPr>
            <w:tcW w:w="1731" w:type="dxa"/>
            <w:tcBorders>
              <w:top w:val="nil"/>
              <w:left w:val="nil"/>
              <w:bottom w:val="single" w:sz="4" w:space="0" w:color="auto"/>
              <w:right w:val="single" w:sz="4" w:space="0" w:color="auto"/>
            </w:tcBorders>
            <w:shd w:val="clear" w:color="auto" w:fill="C4EFCE"/>
            <w:vAlign w:val="center"/>
            <w:hideMark/>
          </w:tcPr>
          <w:p w14:paraId="4A7D0D48" w14:textId="6D14D617" w:rsidR="00F24946" w:rsidRDefault="00613B06">
            <w:pPr>
              <w:pStyle w:val="P68B1DB1-Normal23"/>
              <w:spacing w:after="0"/>
              <w:jc w:val="center"/>
              <w:rPr>
                <w:rFonts w:eastAsia="Calibri" w:cs="Calibri"/>
                <w:noProof/>
              </w:rPr>
            </w:pPr>
            <w:r>
              <w:rPr>
                <w:noProof/>
              </w:rPr>
              <w:t>RP-C21-r46</w:t>
            </w:r>
          </w:p>
        </w:tc>
        <w:tc>
          <w:tcPr>
            <w:tcW w:w="1491" w:type="dxa"/>
            <w:tcBorders>
              <w:top w:val="nil"/>
              <w:left w:val="nil"/>
              <w:bottom w:val="single" w:sz="4" w:space="0" w:color="auto"/>
              <w:right w:val="single" w:sz="4" w:space="0" w:color="auto"/>
            </w:tcBorders>
            <w:shd w:val="clear" w:color="auto" w:fill="C4EFCE"/>
            <w:vAlign w:val="center"/>
            <w:hideMark/>
          </w:tcPr>
          <w:p w14:paraId="3A735B1F"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67B978A" w14:textId="77777777" w:rsidR="00F24946" w:rsidRDefault="00613B06">
            <w:pPr>
              <w:pStyle w:val="P68B1DB1-Normal23"/>
              <w:spacing w:after="0"/>
              <w:jc w:val="both"/>
              <w:rPr>
                <w:rFonts w:eastAsia="Calibri" w:cs="Calibri"/>
                <w:noProof/>
              </w:rPr>
            </w:pPr>
            <w:r>
              <w:rPr>
                <w:noProof/>
              </w:rPr>
              <w:t>Začetek veljavnosti revidirane uredbe o nacionalnem omrežju za prenos plina in uredbe o nacionalnem omrežju za distribucijo plina</w:t>
            </w:r>
          </w:p>
        </w:tc>
        <w:tc>
          <w:tcPr>
            <w:tcW w:w="0" w:type="auto"/>
          </w:tcPr>
          <w:p w14:paraId="7E717CD2" w14:textId="77777777" w:rsidR="00F24946" w:rsidRDefault="00F24946">
            <w:pPr>
              <w:spacing w:after="0" w:line="240" w:lineRule="auto"/>
              <w:rPr>
                <w:noProof/>
                <w:sz w:val="18"/>
              </w:rPr>
            </w:pPr>
          </w:p>
        </w:tc>
      </w:tr>
      <w:tr w:rsidR="00F24946" w14:paraId="04CE70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498CBBC" w14:textId="77777777" w:rsidR="00F24946" w:rsidRDefault="00613B06">
            <w:pPr>
              <w:pStyle w:val="P68B1DB1-Normal23"/>
              <w:spacing w:after="0"/>
              <w:jc w:val="center"/>
              <w:rPr>
                <w:rFonts w:eastAsia="Calibri" w:cs="Calibri"/>
                <w:noProof/>
              </w:rPr>
            </w:pPr>
            <w:r>
              <w:rPr>
                <w:noProof/>
              </w:rPr>
              <w:t>21.19</w:t>
            </w:r>
          </w:p>
        </w:tc>
        <w:tc>
          <w:tcPr>
            <w:tcW w:w="1731" w:type="dxa"/>
            <w:tcBorders>
              <w:top w:val="nil"/>
              <w:left w:val="nil"/>
              <w:bottom w:val="single" w:sz="4" w:space="0" w:color="auto"/>
              <w:right w:val="single" w:sz="4" w:space="0" w:color="auto"/>
            </w:tcBorders>
            <w:shd w:val="clear" w:color="auto" w:fill="C4EFCE"/>
            <w:vAlign w:val="center"/>
            <w:hideMark/>
          </w:tcPr>
          <w:p w14:paraId="14CCA84B" w14:textId="452A7EC5" w:rsidR="00F24946" w:rsidRDefault="00613B06">
            <w:pPr>
              <w:pStyle w:val="P68B1DB1-Normal23"/>
              <w:spacing w:after="0"/>
              <w:jc w:val="center"/>
              <w:rPr>
                <w:rFonts w:eastAsia="Calibri" w:cs="Calibri"/>
                <w:noProof/>
              </w:rPr>
            </w:pPr>
            <w:r>
              <w:rPr>
                <w:noProof/>
              </w:rPr>
              <w:t>RP-C21-r47</w:t>
            </w:r>
          </w:p>
        </w:tc>
        <w:tc>
          <w:tcPr>
            <w:tcW w:w="1491" w:type="dxa"/>
            <w:tcBorders>
              <w:top w:val="nil"/>
              <w:left w:val="nil"/>
              <w:bottom w:val="single" w:sz="4" w:space="0" w:color="auto"/>
              <w:right w:val="single" w:sz="4" w:space="0" w:color="auto"/>
            </w:tcBorders>
            <w:shd w:val="clear" w:color="auto" w:fill="C4EFCE"/>
            <w:vAlign w:val="center"/>
            <w:hideMark/>
          </w:tcPr>
          <w:p w14:paraId="0A60F32E"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45DEC73" w14:textId="77777777" w:rsidR="00F24946" w:rsidRDefault="00613B06">
            <w:pPr>
              <w:pStyle w:val="P68B1DB1-Normal23"/>
              <w:spacing w:after="0"/>
              <w:jc w:val="both"/>
              <w:rPr>
                <w:rFonts w:eastAsia="Calibri" w:cs="Calibri"/>
                <w:noProof/>
              </w:rPr>
            </w:pPr>
            <w:r>
              <w:rPr>
                <w:noProof/>
              </w:rPr>
              <w:t>Sprejetje akcijskega načrta za biometan</w:t>
            </w:r>
          </w:p>
        </w:tc>
        <w:tc>
          <w:tcPr>
            <w:tcW w:w="0" w:type="auto"/>
          </w:tcPr>
          <w:p w14:paraId="6244CF38" w14:textId="77777777" w:rsidR="00F24946" w:rsidRDefault="00F24946">
            <w:pPr>
              <w:spacing w:after="0" w:line="240" w:lineRule="auto"/>
              <w:rPr>
                <w:noProof/>
                <w:sz w:val="18"/>
              </w:rPr>
            </w:pPr>
          </w:p>
        </w:tc>
      </w:tr>
      <w:tr w:rsidR="00F24946" w14:paraId="614F83E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B38B6C" w14:textId="77777777" w:rsidR="00F24946" w:rsidRDefault="00613B06">
            <w:pPr>
              <w:pStyle w:val="P68B1DB1-Normal23"/>
              <w:spacing w:after="0"/>
              <w:jc w:val="center"/>
              <w:rPr>
                <w:rFonts w:eastAsia="Calibri" w:cs="Calibri"/>
                <w:noProof/>
              </w:rPr>
            </w:pPr>
            <w:r>
              <w:rPr>
                <w:noProof/>
              </w:rPr>
              <w:t>21.22</w:t>
            </w:r>
          </w:p>
        </w:tc>
        <w:tc>
          <w:tcPr>
            <w:tcW w:w="1731" w:type="dxa"/>
            <w:tcBorders>
              <w:top w:val="nil"/>
              <w:left w:val="nil"/>
              <w:bottom w:val="single" w:sz="4" w:space="0" w:color="auto"/>
              <w:right w:val="single" w:sz="4" w:space="0" w:color="auto"/>
            </w:tcBorders>
            <w:shd w:val="clear" w:color="auto" w:fill="C4EFCE"/>
            <w:vAlign w:val="center"/>
            <w:hideMark/>
          </w:tcPr>
          <w:p w14:paraId="48F8BD33" w14:textId="5060F7CF" w:rsidR="00F24946" w:rsidRDefault="00613B06">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97F16E3"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6B9DAF45" w14:textId="77777777" w:rsidR="00F24946" w:rsidRDefault="00613B06">
            <w:pPr>
              <w:pStyle w:val="P68B1DB1-Normal23"/>
              <w:spacing w:after="0"/>
              <w:jc w:val="both"/>
              <w:rPr>
                <w:rFonts w:eastAsia="Calibri" w:cs="Calibri"/>
                <w:noProof/>
              </w:rPr>
            </w:pPr>
            <w:r>
              <w:rPr>
                <w:noProof/>
              </w:rPr>
              <w:t>Usposabljanje osebja, ki sodeluje pri izdajanju dovoljenj za projekte na področju obnovljivih virov energije</w:t>
            </w:r>
          </w:p>
        </w:tc>
        <w:tc>
          <w:tcPr>
            <w:tcW w:w="0" w:type="auto"/>
          </w:tcPr>
          <w:p w14:paraId="1B59DBBC" w14:textId="77777777" w:rsidR="00F24946" w:rsidRDefault="00F24946">
            <w:pPr>
              <w:spacing w:after="0" w:line="240" w:lineRule="auto"/>
              <w:rPr>
                <w:noProof/>
                <w:sz w:val="18"/>
              </w:rPr>
            </w:pPr>
          </w:p>
        </w:tc>
      </w:tr>
      <w:tr w:rsidR="00F24946" w14:paraId="1A789DE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2840F22" w14:textId="77777777" w:rsidR="00F24946" w:rsidRDefault="00613B06">
            <w:pPr>
              <w:pStyle w:val="P68B1DB1-Normal23"/>
              <w:spacing w:after="0"/>
              <w:jc w:val="center"/>
              <w:rPr>
                <w:rFonts w:eastAsia="Calibri" w:cs="Calibri"/>
                <w:noProof/>
              </w:rPr>
            </w:pPr>
            <w:r>
              <w:rPr>
                <w:noProof/>
              </w:rPr>
              <w:t>21.23</w:t>
            </w:r>
          </w:p>
        </w:tc>
        <w:tc>
          <w:tcPr>
            <w:tcW w:w="1731" w:type="dxa"/>
            <w:tcBorders>
              <w:top w:val="nil"/>
              <w:left w:val="nil"/>
              <w:bottom w:val="single" w:sz="4" w:space="0" w:color="auto"/>
              <w:right w:val="single" w:sz="4" w:space="0" w:color="auto"/>
            </w:tcBorders>
            <w:shd w:val="clear" w:color="auto" w:fill="C4EFCE"/>
            <w:vAlign w:val="center"/>
            <w:hideMark/>
          </w:tcPr>
          <w:p w14:paraId="5F455980" w14:textId="7B09C91A" w:rsidR="00F24946" w:rsidRDefault="00613B06">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2876EA7"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0ACA668" w14:textId="77777777" w:rsidR="00F24946" w:rsidRDefault="00613B06">
            <w:pPr>
              <w:pStyle w:val="P68B1DB1-Normal23"/>
              <w:spacing w:after="0"/>
              <w:jc w:val="both"/>
              <w:rPr>
                <w:rFonts w:eastAsia="Calibri" w:cs="Calibri"/>
                <w:noProof/>
              </w:rPr>
            </w:pPr>
            <w:r>
              <w:rPr>
                <w:noProof/>
              </w:rPr>
              <w:t>Sprejetje časovnega razporeda za dodelitev novih zmogljivosti za energijo iz obnovljivih virov s posebnim poudarkom na geografskih območjih, ki izhajajo iz sektorskega programa „Območja za obnovljive vire energije“</w:t>
            </w:r>
          </w:p>
        </w:tc>
      </w:tr>
      <w:tr w:rsidR="00F24946" w14:paraId="06A277B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4F7C25" w14:textId="77777777" w:rsidR="00F24946" w:rsidRDefault="00613B06">
            <w:pPr>
              <w:pStyle w:val="P68B1DB1-Normal23"/>
              <w:spacing w:after="0"/>
              <w:jc w:val="center"/>
              <w:rPr>
                <w:rFonts w:eastAsia="Calibri" w:cs="Calibri"/>
                <w:noProof/>
              </w:rPr>
            </w:pPr>
            <w:r>
              <w:rPr>
                <w:noProof/>
              </w:rPr>
              <w:t>21.26</w:t>
            </w:r>
          </w:p>
        </w:tc>
        <w:tc>
          <w:tcPr>
            <w:tcW w:w="1731" w:type="dxa"/>
            <w:tcBorders>
              <w:top w:val="nil"/>
              <w:left w:val="nil"/>
              <w:bottom w:val="single" w:sz="4" w:space="0" w:color="auto"/>
              <w:right w:val="single" w:sz="4" w:space="0" w:color="auto"/>
            </w:tcBorders>
            <w:shd w:val="clear" w:color="auto" w:fill="C4EFCE"/>
            <w:vAlign w:val="center"/>
            <w:hideMark/>
          </w:tcPr>
          <w:p w14:paraId="245A5243" w14:textId="32E9BC0F" w:rsidR="00F24946" w:rsidRDefault="00613B06">
            <w:pPr>
              <w:pStyle w:val="P68B1DB1-Normal23"/>
              <w:spacing w:after="0"/>
              <w:jc w:val="center"/>
              <w:rPr>
                <w:rFonts w:eastAsia="Calibri" w:cs="Calibri"/>
                <w:noProof/>
              </w:rPr>
            </w:pPr>
            <w:r>
              <w:rPr>
                <w:noProof/>
              </w:rPr>
              <w:t>RP-C21-i07</w:t>
            </w:r>
          </w:p>
        </w:tc>
        <w:tc>
          <w:tcPr>
            <w:tcW w:w="1491" w:type="dxa"/>
            <w:tcBorders>
              <w:top w:val="nil"/>
              <w:left w:val="nil"/>
              <w:bottom w:val="single" w:sz="4" w:space="0" w:color="auto"/>
              <w:right w:val="single" w:sz="4" w:space="0" w:color="auto"/>
            </w:tcBorders>
            <w:shd w:val="clear" w:color="auto" w:fill="C4EFCE"/>
            <w:vAlign w:val="center"/>
            <w:hideMark/>
          </w:tcPr>
          <w:p w14:paraId="38129E5F"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D5267AC" w14:textId="77777777" w:rsidR="00F24946" w:rsidRDefault="00613B06">
            <w:pPr>
              <w:pStyle w:val="P68B1DB1-Normal23"/>
              <w:spacing w:after="0"/>
              <w:jc w:val="both"/>
              <w:rPr>
                <w:rFonts w:eastAsia="Calibri" w:cs="Calibri"/>
                <w:noProof/>
              </w:rPr>
            </w:pPr>
            <w:r>
              <w:rPr>
                <w:noProof/>
              </w:rPr>
              <w:t>Podpis pogodb za tehnične študije na morju</w:t>
            </w:r>
          </w:p>
        </w:tc>
        <w:tc>
          <w:tcPr>
            <w:tcW w:w="0" w:type="auto"/>
          </w:tcPr>
          <w:p w14:paraId="1D5FFE10" w14:textId="77777777" w:rsidR="00F24946" w:rsidRDefault="00F24946">
            <w:pPr>
              <w:spacing w:after="0" w:line="240" w:lineRule="auto"/>
              <w:rPr>
                <w:noProof/>
                <w:sz w:val="18"/>
              </w:rPr>
            </w:pPr>
          </w:p>
        </w:tc>
      </w:tr>
      <w:tr w:rsidR="00F24946" w14:paraId="74F928D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1D78166" w14:textId="77777777" w:rsidR="00F24946" w:rsidRDefault="00613B06">
            <w:pPr>
              <w:pStyle w:val="P68B1DB1-Normal23"/>
              <w:spacing w:after="0"/>
              <w:jc w:val="center"/>
              <w:rPr>
                <w:rFonts w:eastAsia="Calibri" w:cs="Calibri"/>
                <w:noProof/>
              </w:rPr>
            </w:pPr>
            <w:r>
              <w:rPr>
                <w:noProof/>
              </w:rPr>
              <w:t>21.28</w:t>
            </w:r>
          </w:p>
        </w:tc>
        <w:tc>
          <w:tcPr>
            <w:tcW w:w="1731" w:type="dxa"/>
            <w:tcBorders>
              <w:top w:val="nil"/>
              <w:left w:val="nil"/>
              <w:bottom w:val="single" w:sz="4" w:space="0" w:color="auto"/>
              <w:right w:val="single" w:sz="4" w:space="0" w:color="auto"/>
            </w:tcBorders>
            <w:shd w:val="clear" w:color="auto" w:fill="C4EFCE"/>
            <w:vAlign w:val="center"/>
            <w:hideMark/>
          </w:tcPr>
          <w:p w14:paraId="638BD854" w14:textId="7CBF63B7" w:rsidR="00F24946" w:rsidRDefault="00613B06">
            <w:pPr>
              <w:pStyle w:val="P68B1DB1-Normal23"/>
              <w:spacing w:after="0"/>
              <w:jc w:val="center"/>
              <w:rPr>
                <w:rFonts w:eastAsia="Calibri" w:cs="Calibri"/>
                <w:noProof/>
              </w:rPr>
            </w:pPr>
            <w:r>
              <w:rPr>
                <w:noProof/>
              </w:rPr>
              <w:t>RP-C21-i08</w:t>
            </w:r>
          </w:p>
        </w:tc>
        <w:tc>
          <w:tcPr>
            <w:tcW w:w="1491" w:type="dxa"/>
            <w:tcBorders>
              <w:top w:val="nil"/>
              <w:left w:val="nil"/>
              <w:bottom w:val="single" w:sz="4" w:space="0" w:color="auto"/>
              <w:right w:val="single" w:sz="4" w:space="0" w:color="auto"/>
            </w:tcBorders>
            <w:shd w:val="clear" w:color="auto" w:fill="C4EFCE"/>
            <w:vAlign w:val="center"/>
            <w:hideMark/>
          </w:tcPr>
          <w:p w14:paraId="06F70A27"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E4D2267" w14:textId="77777777" w:rsidR="00F24946" w:rsidRDefault="00613B06">
            <w:pPr>
              <w:pStyle w:val="P68B1DB1-Normal23"/>
              <w:spacing w:after="0"/>
              <w:jc w:val="both"/>
              <w:rPr>
                <w:rFonts w:eastAsia="Calibri" w:cs="Calibri"/>
                <w:noProof/>
              </w:rPr>
            </w:pPr>
            <w:r>
              <w:rPr>
                <w:noProof/>
              </w:rPr>
              <w:t>Podpis pogojev za sprejem za namestitev zmogljivosti za shranjevanje električne energije</w:t>
            </w:r>
          </w:p>
        </w:tc>
        <w:tc>
          <w:tcPr>
            <w:tcW w:w="0" w:type="auto"/>
          </w:tcPr>
          <w:p w14:paraId="002DB804" w14:textId="77777777" w:rsidR="00F24946" w:rsidRDefault="00F24946">
            <w:pPr>
              <w:spacing w:after="0" w:line="240" w:lineRule="auto"/>
              <w:rPr>
                <w:noProof/>
                <w:sz w:val="18"/>
              </w:rPr>
            </w:pPr>
          </w:p>
        </w:tc>
      </w:tr>
      <w:tr w:rsidR="00F24946" w14:paraId="56A7925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5A0096A" w14:textId="77777777" w:rsidR="00F24946" w:rsidRDefault="00613B06">
            <w:pPr>
              <w:pStyle w:val="P68B1DB1-Normal23"/>
              <w:spacing w:after="0"/>
              <w:jc w:val="center"/>
              <w:rPr>
                <w:rFonts w:eastAsia="Calibri" w:cs="Calibri"/>
                <w:noProof/>
              </w:rPr>
            </w:pPr>
            <w:r>
              <w:rPr>
                <w:noProof/>
              </w:rPr>
              <w:t>21.35</w:t>
            </w:r>
          </w:p>
        </w:tc>
        <w:tc>
          <w:tcPr>
            <w:tcW w:w="1731" w:type="dxa"/>
            <w:tcBorders>
              <w:top w:val="nil"/>
              <w:left w:val="nil"/>
              <w:bottom w:val="single" w:sz="4" w:space="0" w:color="auto"/>
              <w:right w:val="single" w:sz="4" w:space="0" w:color="auto"/>
            </w:tcBorders>
            <w:shd w:val="clear" w:color="auto" w:fill="C4EFCE"/>
            <w:vAlign w:val="center"/>
            <w:hideMark/>
          </w:tcPr>
          <w:p w14:paraId="3795D271" w14:textId="17BBBA36" w:rsidR="00F24946" w:rsidRDefault="00613B06">
            <w:pPr>
              <w:pStyle w:val="P68B1DB1-Normal23"/>
              <w:spacing w:after="0"/>
              <w:jc w:val="center"/>
              <w:rPr>
                <w:rFonts w:eastAsia="Calibri" w:cs="Calibri"/>
                <w:noProof/>
              </w:rPr>
            </w:pPr>
            <w:r>
              <w:rPr>
                <w:noProof/>
              </w:rPr>
              <w:t>RP-C21-i12</w:t>
            </w:r>
          </w:p>
        </w:tc>
        <w:tc>
          <w:tcPr>
            <w:tcW w:w="1491" w:type="dxa"/>
            <w:tcBorders>
              <w:top w:val="nil"/>
              <w:left w:val="nil"/>
              <w:bottom w:val="single" w:sz="4" w:space="0" w:color="auto"/>
              <w:right w:val="single" w:sz="4" w:space="0" w:color="auto"/>
            </w:tcBorders>
            <w:shd w:val="clear" w:color="auto" w:fill="C4EFCE"/>
            <w:vAlign w:val="center"/>
            <w:hideMark/>
          </w:tcPr>
          <w:p w14:paraId="09B715F7"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FD26132" w14:textId="77777777" w:rsidR="00F24946" w:rsidRDefault="00613B06">
            <w:pPr>
              <w:pStyle w:val="P68B1DB1-Normal23"/>
              <w:spacing w:after="0"/>
              <w:jc w:val="both"/>
              <w:rPr>
                <w:rFonts w:eastAsia="Calibri" w:cs="Calibri"/>
                <w:noProof/>
              </w:rPr>
            </w:pPr>
            <w:r>
              <w:rPr>
                <w:noProof/>
              </w:rPr>
              <w:t>Podpis pogodbe za nakup čistih avtobusov v okviru programa za razogljičenje javnega prevoza</w:t>
            </w:r>
          </w:p>
        </w:tc>
        <w:tc>
          <w:tcPr>
            <w:tcW w:w="0" w:type="auto"/>
          </w:tcPr>
          <w:p w14:paraId="54E7AB68" w14:textId="77777777" w:rsidR="00F24946" w:rsidRDefault="00F24946">
            <w:pPr>
              <w:spacing w:after="0" w:line="240" w:lineRule="auto"/>
              <w:rPr>
                <w:noProof/>
                <w:sz w:val="18"/>
              </w:rPr>
            </w:pPr>
          </w:p>
        </w:tc>
      </w:tr>
      <w:tr w:rsidR="00F24946" w14:paraId="2005FDB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tcPr>
          <w:p w14:paraId="75A6F4F7" w14:textId="77777777" w:rsidR="00F24946" w:rsidRDefault="00613B06">
            <w:pPr>
              <w:pStyle w:val="P68B1DB1-Normal23"/>
              <w:spacing w:after="0"/>
              <w:jc w:val="center"/>
              <w:rPr>
                <w:rFonts w:eastAsia="Calibri" w:cs="Calibri"/>
                <w:noProof/>
              </w:rPr>
            </w:pPr>
            <w:r>
              <w:rPr>
                <w:noProof/>
              </w:rPr>
              <w:t>21.40</w:t>
            </w:r>
          </w:p>
        </w:tc>
        <w:tc>
          <w:tcPr>
            <w:tcW w:w="1731" w:type="dxa"/>
            <w:tcBorders>
              <w:top w:val="nil"/>
              <w:left w:val="nil"/>
              <w:bottom w:val="single" w:sz="4" w:space="0" w:color="auto"/>
              <w:right w:val="single" w:sz="4" w:space="0" w:color="auto"/>
            </w:tcBorders>
            <w:shd w:val="clear" w:color="auto" w:fill="C4EFCE"/>
            <w:vAlign w:val="center"/>
          </w:tcPr>
          <w:p w14:paraId="21109940" w14:textId="77777777" w:rsidR="00F24946" w:rsidRDefault="00613B06">
            <w:pPr>
              <w:pStyle w:val="P68B1DB1-Normal23"/>
              <w:spacing w:after="0"/>
              <w:jc w:val="center"/>
              <w:rPr>
                <w:rFonts w:eastAsia="Calibri" w:cs="Calibri"/>
                <w:noProof/>
              </w:rPr>
            </w:pPr>
            <w:r>
              <w:rPr>
                <w:noProof/>
              </w:rPr>
              <w:t>RP-C21-i15-RAA</w:t>
            </w:r>
          </w:p>
        </w:tc>
        <w:tc>
          <w:tcPr>
            <w:tcW w:w="1491" w:type="dxa"/>
            <w:tcBorders>
              <w:top w:val="nil"/>
              <w:left w:val="nil"/>
              <w:bottom w:val="single" w:sz="4" w:space="0" w:color="auto"/>
              <w:right w:val="single" w:sz="4" w:space="0" w:color="auto"/>
            </w:tcBorders>
            <w:shd w:val="clear" w:color="auto" w:fill="C4EFCE"/>
            <w:vAlign w:val="center"/>
          </w:tcPr>
          <w:p w14:paraId="14D3E6EC" w14:textId="77777777" w:rsidR="00F24946" w:rsidRDefault="00613B06">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tcPr>
          <w:p w14:paraId="204EA7D4" w14:textId="77777777" w:rsidR="00F24946" w:rsidRDefault="00613B06">
            <w:pPr>
              <w:pStyle w:val="P68B1DB1-Normal23"/>
              <w:spacing w:after="0"/>
              <w:jc w:val="both"/>
              <w:rPr>
                <w:rFonts w:eastAsia="Calibri" w:cs="Calibri"/>
                <w:noProof/>
              </w:rPr>
            </w:pPr>
            <w:r>
              <w:rPr>
                <w:noProof/>
              </w:rPr>
              <w:t>Podpis pogodbe o nakupu dveh električnih trajektov za prevoz potnikov in vozil med otoki Pico, Faial in São Jorge</w:t>
            </w:r>
          </w:p>
        </w:tc>
        <w:tc>
          <w:tcPr>
            <w:tcW w:w="0" w:type="auto"/>
          </w:tcPr>
          <w:p w14:paraId="04893D6C" w14:textId="77777777" w:rsidR="00F24946" w:rsidRDefault="00F24946">
            <w:pPr>
              <w:spacing w:after="0" w:line="240" w:lineRule="auto"/>
              <w:rPr>
                <w:noProof/>
                <w:sz w:val="18"/>
              </w:rPr>
            </w:pPr>
          </w:p>
        </w:tc>
      </w:tr>
      <w:tr w:rsidR="00F24946" w14:paraId="6B53B02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E28EFA" w14:textId="77777777" w:rsidR="00F24946" w:rsidRDefault="00F24946">
            <w:pPr>
              <w:jc w:val="center"/>
              <w:rPr>
                <w:rFonts w:ascii="Calibri" w:eastAsia="Calibri" w:hAnsi="Calibri" w:cs="Calibri"/>
                <w:noProof/>
                <w:sz w:val="16"/>
              </w:rPr>
            </w:pPr>
          </w:p>
        </w:tc>
        <w:tc>
          <w:tcPr>
            <w:tcW w:w="1731" w:type="dxa"/>
            <w:tcBorders>
              <w:top w:val="nil"/>
              <w:left w:val="nil"/>
              <w:bottom w:val="single" w:sz="4" w:space="0" w:color="auto"/>
              <w:right w:val="single" w:sz="4" w:space="0" w:color="auto"/>
            </w:tcBorders>
            <w:shd w:val="clear" w:color="auto" w:fill="C4EFCE"/>
            <w:vAlign w:val="center"/>
            <w:hideMark/>
          </w:tcPr>
          <w:p w14:paraId="2E93C338" w14:textId="77777777" w:rsidR="00F24946" w:rsidRDefault="00F24946">
            <w:pPr>
              <w:jc w:val="center"/>
              <w:rPr>
                <w:rFonts w:ascii="Calibri" w:eastAsia="Calibri" w:hAnsi="Calibri" w:cs="Calibri"/>
                <w:noProof/>
                <w:sz w:val="16"/>
              </w:rPr>
            </w:pPr>
          </w:p>
        </w:tc>
        <w:tc>
          <w:tcPr>
            <w:tcW w:w="1491" w:type="dxa"/>
            <w:tcBorders>
              <w:top w:val="nil"/>
              <w:left w:val="nil"/>
              <w:bottom w:val="single" w:sz="4" w:space="0" w:color="auto"/>
              <w:right w:val="single" w:sz="4" w:space="0" w:color="auto"/>
            </w:tcBorders>
            <w:shd w:val="clear" w:color="auto" w:fill="C4EFCE"/>
            <w:vAlign w:val="center"/>
            <w:hideMark/>
          </w:tcPr>
          <w:p w14:paraId="75B5103C"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4919" w:type="dxa"/>
            <w:tcBorders>
              <w:top w:val="nil"/>
              <w:left w:val="nil"/>
              <w:bottom w:val="single" w:sz="4" w:space="0" w:color="auto"/>
              <w:right w:val="single" w:sz="4" w:space="0" w:color="auto"/>
            </w:tcBorders>
            <w:shd w:val="clear" w:color="auto" w:fill="C4EFCE"/>
            <w:vAlign w:val="center"/>
            <w:hideMark/>
          </w:tcPr>
          <w:p w14:paraId="3E3CC648" w14:textId="2B08B464" w:rsidR="00F24946" w:rsidRDefault="00613B06">
            <w:pPr>
              <w:pStyle w:val="P68B1DB1-Normal25"/>
              <w:spacing w:after="0" w:line="240" w:lineRule="auto"/>
              <w:jc w:val="center"/>
              <w:rPr>
                <w:rFonts w:cs="Calibri"/>
                <w:noProof/>
              </w:rPr>
            </w:pPr>
            <w:r>
              <w:rPr>
                <w:noProof/>
              </w:rPr>
              <w:t xml:space="preserve"> 1 501 588 718 EUR </w:t>
            </w:r>
          </w:p>
        </w:tc>
        <w:tc>
          <w:tcPr>
            <w:tcW w:w="0" w:type="auto"/>
          </w:tcPr>
          <w:p w14:paraId="3C8F94FE" w14:textId="77777777" w:rsidR="00F24946" w:rsidRDefault="00F24946">
            <w:pPr>
              <w:spacing w:after="0" w:line="240" w:lineRule="auto"/>
              <w:rPr>
                <w:noProof/>
              </w:rPr>
            </w:pPr>
          </w:p>
        </w:tc>
      </w:tr>
    </w:tbl>
    <w:p w14:paraId="0498FCB8" w14:textId="77777777" w:rsidR="00F24946" w:rsidRDefault="00F24946">
      <w:pPr>
        <w:keepNext/>
        <w:spacing w:before="40" w:after="160" w:line="259" w:lineRule="auto"/>
        <w:ind w:left="360"/>
        <w:contextualSpacing/>
        <w:jc w:val="both"/>
        <w:rPr>
          <w:rFonts w:ascii="Times New Roman" w:eastAsiaTheme="minorEastAsia" w:hAnsi="Times New Roman" w:cs="Times New Roman"/>
          <w:noProof/>
          <w:sz w:val="24"/>
        </w:rPr>
      </w:pPr>
    </w:p>
    <w:p w14:paraId="7C23D5C3"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Sedmi zahtevek za plačilo (nepovratna podpora): </w:t>
      </w:r>
    </w:p>
    <w:p w14:paraId="05CC9F84"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2089B95C" w14:textId="77777777">
        <w:trPr>
          <w:trHeight w:val="509"/>
          <w:tblHeader/>
        </w:trPr>
        <w:tc>
          <w:tcPr>
            <w:tcW w:w="1200" w:type="dxa"/>
            <w:vMerge w:val="restart"/>
            <w:shd w:val="clear" w:color="auto" w:fill="BDD7EE"/>
            <w:vAlign w:val="center"/>
            <w:hideMark/>
          </w:tcPr>
          <w:p w14:paraId="1610403B"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087CD088"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3758B49E"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6115E89D"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74F34BCB" w14:textId="77777777">
        <w:trPr>
          <w:trHeight w:val="509"/>
          <w:tblHeader/>
        </w:trPr>
        <w:tc>
          <w:tcPr>
            <w:tcW w:w="1200" w:type="dxa"/>
            <w:vMerge/>
            <w:vAlign w:val="center"/>
            <w:hideMark/>
          </w:tcPr>
          <w:p w14:paraId="5E98CE98" w14:textId="77777777" w:rsidR="00F24946" w:rsidRDefault="00F24946">
            <w:pPr>
              <w:spacing w:after="0" w:line="240" w:lineRule="auto"/>
              <w:rPr>
                <w:rFonts w:ascii="Times New Roman" w:eastAsia="Times New Roman" w:hAnsi="Times New Roman" w:cs="Times New Roman"/>
                <w:b/>
                <w:noProof/>
                <w:sz w:val="20"/>
              </w:rPr>
            </w:pPr>
          </w:p>
        </w:tc>
        <w:tc>
          <w:tcPr>
            <w:tcW w:w="1760" w:type="dxa"/>
            <w:vMerge/>
            <w:vAlign w:val="center"/>
            <w:hideMark/>
          </w:tcPr>
          <w:p w14:paraId="273A84B2" w14:textId="77777777" w:rsidR="00F24946" w:rsidRDefault="00F24946">
            <w:pPr>
              <w:spacing w:after="0" w:line="240" w:lineRule="auto"/>
              <w:rPr>
                <w:rFonts w:ascii="Times New Roman" w:eastAsia="Times New Roman" w:hAnsi="Times New Roman" w:cs="Times New Roman"/>
                <w:b/>
                <w:noProof/>
                <w:sz w:val="20"/>
              </w:rPr>
            </w:pPr>
          </w:p>
        </w:tc>
        <w:tc>
          <w:tcPr>
            <w:tcW w:w="1520" w:type="dxa"/>
            <w:vMerge/>
            <w:vAlign w:val="center"/>
            <w:hideMark/>
          </w:tcPr>
          <w:p w14:paraId="0B017496" w14:textId="77777777" w:rsidR="00F24946" w:rsidRDefault="00F24946">
            <w:pPr>
              <w:spacing w:after="0" w:line="240" w:lineRule="auto"/>
              <w:rPr>
                <w:rFonts w:ascii="Times New Roman" w:eastAsia="Times New Roman" w:hAnsi="Times New Roman" w:cs="Times New Roman"/>
                <w:b/>
                <w:noProof/>
                <w:sz w:val="20"/>
              </w:rPr>
            </w:pPr>
          </w:p>
        </w:tc>
        <w:tc>
          <w:tcPr>
            <w:tcW w:w="5060" w:type="dxa"/>
            <w:vMerge/>
            <w:vAlign w:val="center"/>
            <w:hideMark/>
          </w:tcPr>
          <w:p w14:paraId="51E262C0" w14:textId="77777777" w:rsidR="00F24946" w:rsidRDefault="00F24946">
            <w:pPr>
              <w:spacing w:after="0" w:line="240" w:lineRule="auto"/>
              <w:rPr>
                <w:rFonts w:ascii="Times New Roman" w:eastAsia="Times New Roman" w:hAnsi="Times New Roman" w:cs="Times New Roman"/>
                <w:b/>
                <w:noProof/>
                <w:sz w:val="20"/>
              </w:rPr>
            </w:pPr>
          </w:p>
        </w:tc>
      </w:tr>
      <w:tr w:rsidR="00F24946" w14:paraId="78D2FC43" w14:textId="77777777">
        <w:trPr>
          <w:trHeight w:val="440"/>
        </w:trPr>
        <w:tc>
          <w:tcPr>
            <w:tcW w:w="1200" w:type="dxa"/>
            <w:shd w:val="clear" w:color="auto" w:fill="C4EFCE"/>
            <w:vAlign w:val="center"/>
            <w:hideMark/>
          </w:tcPr>
          <w:p w14:paraId="34AFA81A" w14:textId="77777777" w:rsidR="00F24946" w:rsidRDefault="00613B06">
            <w:pPr>
              <w:pStyle w:val="P68B1DB1-Normal23"/>
              <w:spacing w:after="0"/>
              <w:jc w:val="center"/>
              <w:rPr>
                <w:rFonts w:eastAsia="Calibri" w:cs="Calibri"/>
                <w:noProof/>
              </w:rPr>
            </w:pPr>
            <w:r>
              <w:rPr>
                <w:noProof/>
              </w:rPr>
              <w:t>1.10</w:t>
            </w:r>
          </w:p>
        </w:tc>
        <w:tc>
          <w:tcPr>
            <w:tcW w:w="1760" w:type="dxa"/>
            <w:shd w:val="clear" w:color="auto" w:fill="C4EFCE"/>
            <w:vAlign w:val="center"/>
            <w:hideMark/>
          </w:tcPr>
          <w:p w14:paraId="51D0C2F0" w14:textId="77777777" w:rsidR="00F24946" w:rsidRDefault="00613B06">
            <w:pPr>
              <w:pStyle w:val="P68B1DB1-Normal23"/>
              <w:spacing w:after="0"/>
              <w:jc w:val="center"/>
              <w:rPr>
                <w:rFonts w:eastAsia="Calibri" w:cs="Calibri"/>
                <w:noProof/>
              </w:rPr>
            </w:pPr>
            <w:r>
              <w:rPr>
                <w:noProof/>
              </w:rPr>
              <w:t>Re-C01-r03</w:t>
            </w:r>
          </w:p>
        </w:tc>
        <w:tc>
          <w:tcPr>
            <w:tcW w:w="1520" w:type="dxa"/>
            <w:shd w:val="clear" w:color="auto" w:fill="C4EFCE"/>
            <w:vAlign w:val="center"/>
            <w:hideMark/>
          </w:tcPr>
          <w:p w14:paraId="50D354B1"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664EC88" w14:textId="77777777" w:rsidR="00F24946" w:rsidRDefault="00613B06">
            <w:pPr>
              <w:pStyle w:val="P68B1DB1-Normal23"/>
              <w:spacing w:after="0"/>
              <w:jc w:val="both"/>
              <w:rPr>
                <w:rFonts w:eastAsia="Calibri" w:cs="Calibri"/>
                <w:noProof/>
              </w:rPr>
            </w:pPr>
            <w:r>
              <w:rPr>
                <w:noProof/>
              </w:rPr>
              <w:t>Krepitev odzivov na hospitalizacijo na domu v bolnišnicah nacionalne zdravstvene službe</w:t>
            </w:r>
          </w:p>
        </w:tc>
      </w:tr>
      <w:tr w:rsidR="00F24946" w14:paraId="281EF144" w14:textId="77777777">
        <w:trPr>
          <w:trHeight w:val="440"/>
        </w:trPr>
        <w:tc>
          <w:tcPr>
            <w:tcW w:w="1200" w:type="dxa"/>
            <w:shd w:val="clear" w:color="auto" w:fill="C4EFCE"/>
            <w:vAlign w:val="center"/>
            <w:hideMark/>
          </w:tcPr>
          <w:p w14:paraId="512494E5" w14:textId="77777777" w:rsidR="00F24946" w:rsidRDefault="00613B06">
            <w:pPr>
              <w:pStyle w:val="P68B1DB1-Normal23"/>
              <w:spacing w:after="0"/>
              <w:jc w:val="center"/>
              <w:rPr>
                <w:rFonts w:eastAsia="Calibri" w:cs="Calibri"/>
                <w:noProof/>
              </w:rPr>
            </w:pPr>
            <w:r>
              <w:rPr>
                <w:noProof/>
              </w:rPr>
              <w:t>1.14</w:t>
            </w:r>
          </w:p>
        </w:tc>
        <w:tc>
          <w:tcPr>
            <w:tcW w:w="1760" w:type="dxa"/>
            <w:shd w:val="clear" w:color="auto" w:fill="C4EFCE"/>
            <w:vAlign w:val="center"/>
            <w:hideMark/>
          </w:tcPr>
          <w:p w14:paraId="0370E718" w14:textId="77777777" w:rsidR="00F24946" w:rsidRDefault="00613B06">
            <w:pPr>
              <w:pStyle w:val="P68B1DB1-Normal23"/>
              <w:spacing w:after="0"/>
              <w:jc w:val="center"/>
              <w:rPr>
                <w:rFonts w:eastAsia="Calibri" w:cs="Calibri"/>
                <w:noProof/>
              </w:rPr>
            </w:pPr>
            <w:r>
              <w:rPr>
                <w:noProof/>
              </w:rPr>
              <w:t>Re-C01-i01</w:t>
            </w:r>
          </w:p>
        </w:tc>
        <w:tc>
          <w:tcPr>
            <w:tcW w:w="1520" w:type="dxa"/>
            <w:shd w:val="clear" w:color="auto" w:fill="C4EFCE"/>
            <w:vAlign w:val="center"/>
            <w:hideMark/>
          </w:tcPr>
          <w:p w14:paraId="1D5E254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FC949BF" w14:textId="77777777" w:rsidR="00F24946" w:rsidRDefault="00613B06">
            <w:pPr>
              <w:pStyle w:val="P68B1DB1-Normal23"/>
              <w:spacing w:after="0"/>
              <w:jc w:val="both"/>
              <w:rPr>
                <w:rFonts w:eastAsia="Calibri" w:cs="Calibri"/>
                <w:noProof/>
              </w:rPr>
            </w:pPr>
            <w:r>
              <w:rPr>
                <w:noProof/>
              </w:rPr>
              <w:t>Gradnja novih zdravstvenih enot</w:t>
            </w:r>
          </w:p>
        </w:tc>
      </w:tr>
      <w:tr w:rsidR="00F24946" w14:paraId="5D10BD59" w14:textId="77777777">
        <w:trPr>
          <w:trHeight w:val="440"/>
        </w:trPr>
        <w:tc>
          <w:tcPr>
            <w:tcW w:w="1200" w:type="dxa"/>
            <w:shd w:val="clear" w:color="auto" w:fill="C4EFCE"/>
            <w:vAlign w:val="center"/>
            <w:hideMark/>
          </w:tcPr>
          <w:p w14:paraId="461A7F1E" w14:textId="77777777" w:rsidR="00F24946" w:rsidRDefault="00613B06">
            <w:pPr>
              <w:pStyle w:val="P68B1DB1-Normal23"/>
              <w:spacing w:after="0"/>
              <w:jc w:val="center"/>
              <w:rPr>
                <w:rFonts w:eastAsia="Calibri" w:cs="Calibri"/>
                <w:noProof/>
              </w:rPr>
            </w:pPr>
            <w:r>
              <w:rPr>
                <w:noProof/>
              </w:rPr>
              <w:t>1.35</w:t>
            </w:r>
          </w:p>
        </w:tc>
        <w:tc>
          <w:tcPr>
            <w:tcW w:w="1760" w:type="dxa"/>
            <w:shd w:val="clear" w:color="auto" w:fill="C4EFCE"/>
            <w:vAlign w:val="center"/>
            <w:hideMark/>
          </w:tcPr>
          <w:p w14:paraId="018B6B55" w14:textId="77777777" w:rsidR="00F24946" w:rsidRDefault="00613B06">
            <w:pPr>
              <w:pStyle w:val="P68B1DB1-Normal23"/>
              <w:spacing w:after="0"/>
              <w:jc w:val="center"/>
              <w:rPr>
                <w:rFonts w:eastAsia="Calibri" w:cs="Calibri"/>
                <w:noProof/>
              </w:rPr>
            </w:pPr>
            <w:r>
              <w:rPr>
                <w:noProof/>
              </w:rPr>
              <w:t>Re-C01-i07-RAM</w:t>
            </w:r>
          </w:p>
        </w:tc>
        <w:tc>
          <w:tcPr>
            <w:tcW w:w="1520" w:type="dxa"/>
            <w:shd w:val="clear" w:color="auto" w:fill="C4EFCE"/>
            <w:vAlign w:val="center"/>
            <w:hideMark/>
          </w:tcPr>
          <w:p w14:paraId="5CA14FA7"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379A737" w14:textId="77777777" w:rsidR="00F24946" w:rsidRDefault="00613B06">
            <w:pPr>
              <w:pStyle w:val="P68B1DB1-Normal23"/>
              <w:spacing w:after="0"/>
              <w:jc w:val="both"/>
              <w:rPr>
                <w:rFonts w:eastAsia="Calibri" w:cs="Calibri"/>
                <w:noProof/>
              </w:rPr>
            </w:pPr>
            <w:r>
              <w:rPr>
                <w:noProof/>
              </w:rPr>
              <w:t>Nova računalniška oprema za regionalno zdravstveno službo Madeire</w:t>
            </w:r>
          </w:p>
        </w:tc>
      </w:tr>
      <w:tr w:rsidR="00F24946" w14:paraId="6C85753F" w14:textId="77777777">
        <w:trPr>
          <w:trHeight w:val="440"/>
        </w:trPr>
        <w:tc>
          <w:tcPr>
            <w:tcW w:w="1200" w:type="dxa"/>
            <w:shd w:val="clear" w:color="auto" w:fill="C4EFCE"/>
            <w:vAlign w:val="center"/>
            <w:hideMark/>
          </w:tcPr>
          <w:p w14:paraId="663CED66" w14:textId="77777777" w:rsidR="00F24946" w:rsidRDefault="00613B06">
            <w:pPr>
              <w:pStyle w:val="P68B1DB1-Normal23"/>
              <w:spacing w:after="0"/>
              <w:jc w:val="center"/>
              <w:rPr>
                <w:rFonts w:eastAsia="Calibri" w:cs="Calibri"/>
                <w:noProof/>
              </w:rPr>
            </w:pPr>
            <w:r>
              <w:rPr>
                <w:noProof/>
              </w:rPr>
              <w:t>1.37</w:t>
            </w:r>
          </w:p>
        </w:tc>
        <w:tc>
          <w:tcPr>
            <w:tcW w:w="1760" w:type="dxa"/>
            <w:shd w:val="clear" w:color="auto" w:fill="C4EFCE"/>
            <w:vAlign w:val="center"/>
            <w:hideMark/>
          </w:tcPr>
          <w:p w14:paraId="4A6C5BBD" w14:textId="77777777" w:rsidR="00F24946" w:rsidRDefault="00613B06">
            <w:pPr>
              <w:pStyle w:val="P68B1DB1-Normal23"/>
              <w:spacing w:after="0"/>
              <w:jc w:val="center"/>
              <w:rPr>
                <w:rFonts w:eastAsia="Calibri" w:cs="Calibri"/>
                <w:noProof/>
              </w:rPr>
            </w:pPr>
            <w:r>
              <w:rPr>
                <w:noProof/>
              </w:rPr>
              <w:t>Re-C01-i08-RAA</w:t>
            </w:r>
          </w:p>
        </w:tc>
        <w:tc>
          <w:tcPr>
            <w:tcW w:w="1520" w:type="dxa"/>
            <w:shd w:val="clear" w:color="auto" w:fill="C4EFCE"/>
            <w:vAlign w:val="center"/>
            <w:hideMark/>
          </w:tcPr>
          <w:p w14:paraId="3A083AE7"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8C87034" w14:textId="77777777" w:rsidR="00F24946" w:rsidRDefault="00613B06">
            <w:pPr>
              <w:pStyle w:val="P68B1DB1-Normal23"/>
              <w:spacing w:after="0"/>
              <w:jc w:val="both"/>
              <w:rPr>
                <w:rFonts w:eastAsia="Calibri" w:cs="Calibri"/>
                <w:noProof/>
              </w:rPr>
            </w:pPr>
            <w:r>
              <w:rPr>
                <w:noProof/>
              </w:rPr>
              <w:t>Uvedba imenovanj na telemedicino v regionalni zdravstveni službi Azorov</w:t>
            </w:r>
          </w:p>
        </w:tc>
      </w:tr>
      <w:tr w:rsidR="00F24946" w14:paraId="0E7C2786" w14:textId="77777777">
        <w:trPr>
          <w:trHeight w:val="440"/>
        </w:trPr>
        <w:tc>
          <w:tcPr>
            <w:tcW w:w="1200" w:type="dxa"/>
            <w:shd w:val="clear" w:color="auto" w:fill="C4EFCE"/>
            <w:vAlign w:val="center"/>
            <w:hideMark/>
          </w:tcPr>
          <w:p w14:paraId="56EFE37A" w14:textId="77777777" w:rsidR="00F24946" w:rsidRDefault="00613B06">
            <w:pPr>
              <w:pStyle w:val="P68B1DB1-Normal23"/>
              <w:spacing w:after="0"/>
              <w:jc w:val="center"/>
              <w:rPr>
                <w:rFonts w:eastAsia="Calibri" w:cs="Calibri"/>
                <w:noProof/>
              </w:rPr>
            </w:pPr>
            <w:r>
              <w:rPr>
                <w:noProof/>
              </w:rPr>
              <w:t>1.42</w:t>
            </w:r>
          </w:p>
        </w:tc>
        <w:tc>
          <w:tcPr>
            <w:tcW w:w="1760" w:type="dxa"/>
            <w:shd w:val="clear" w:color="auto" w:fill="C4EFCE"/>
            <w:vAlign w:val="center"/>
            <w:hideMark/>
          </w:tcPr>
          <w:p w14:paraId="4BF6A73F" w14:textId="77777777" w:rsidR="00F24946" w:rsidRDefault="00613B06">
            <w:pPr>
              <w:pStyle w:val="P68B1DB1-Normal23"/>
              <w:spacing w:after="0"/>
              <w:jc w:val="center"/>
              <w:rPr>
                <w:rFonts w:eastAsia="Calibri" w:cs="Calibri"/>
                <w:noProof/>
              </w:rPr>
            </w:pPr>
            <w:r>
              <w:rPr>
                <w:noProof/>
              </w:rPr>
              <w:t>Re-C01-i10</w:t>
            </w:r>
          </w:p>
        </w:tc>
        <w:tc>
          <w:tcPr>
            <w:tcW w:w="1520" w:type="dxa"/>
            <w:shd w:val="clear" w:color="auto" w:fill="C4EFCE"/>
            <w:vAlign w:val="center"/>
            <w:hideMark/>
          </w:tcPr>
          <w:p w14:paraId="507AF341"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7D2D683" w14:textId="77777777" w:rsidR="00F24946" w:rsidRDefault="00613B06">
            <w:pPr>
              <w:pStyle w:val="P68B1DB1-Normal23"/>
              <w:spacing w:after="0"/>
              <w:jc w:val="both"/>
              <w:rPr>
                <w:rFonts w:eastAsia="Calibri" w:cs="Calibri"/>
                <w:noProof/>
              </w:rPr>
            </w:pPr>
            <w:r>
              <w:rPr>
                <w:noProof/>
              </w:rPr>
              <w:t>Nakup težke medicinske opreme</w:t>
            </w:r>
          </w:p>
        </w:tc>
      </w:tr>
      <w:tr w:rsidR="00F24946" w14:paraId="5FD85112" w14:textId="77777777">
        <w:trPr>
          <w:trHeight w:val="440"/>
        </w:trPr>
        <w:tc>
          <w:tcPr>
            <w:tcW w:w="1200" w:type="dxa"/>
            <w:shd w:val="clear" w:color="auto" w:fill="C4EFCE"/>
            <w:vAlign w:val="center"/>
            <w:hideMark/>
          </w:tcPr>
          <w:p w14:paraId="4C05018B" w14:textId="77777777" w:rsidR="00F24946" w:rsidRDefault="00613B06">
            <w:pPr>
              <w:pStyle w:val="P68B1DB1-Normal23"/>
              <w:spacing w:after="0"/>
              <w:jc w:val="center"/>
              <w:rPr>
                <w:rFonts w:eastAsia="Calibri" w:cs="Calibri"/>
                <w:noProof/>
              </w:rPr>
            </w:pPr>
            <w:r>
              <w:rPr>
                <w:noProof/>
              </w:rPr>
              <w:t>2.5</w:t>
            </w:r>
          </w:p>
        </w:tc>
        <w:tc>
          <w:tcPr>
            <w:tcW w:w="1760" w:type="dxa"/>
            <w:shd w:val="clear" w:color="auto" w:fill="C4EFCE"/>
            <w:vAlign w:val="center"/>
            <w:hideMark/>
          </w:tcPr>
          <w:p w14:paraId="7718FE5F" w14:textId="77777777" w:rsidR="00F24946" w:rsidRDefault="00613B06">
            <w:pPr>
              <w:pStyle w:val="P68B1DB1-Normal23"/>
              <w:spacing w:after="0"/>
              <w:jc w:val="center"/>
              <w:rPr>
                <w:rFonts w:eastAsia="Calibri" w:cs="Calibri"/>
                <w:noProof/>
              </w:rPr>
            </w:pPr>
            <w:r>
              <w:rPr>
                <w:noProof/>
              </w:rPr>
              <w:t>Re-C02-i02</w:t>
            </w:r>
          </w:p>
        </w:tc>
        <w:tc>
          <w:tcPr>
            <w:tcW w:w="1520" w:type="dxa"/>
            <w:shd w:val="clear" w:color="auto" w:fill="C4EFCE"/>
            <w:vAlign w:val="center"/>
            <w:hideMark/>
          </w:tcPr>
          <w:p w14:paraId="14E36A4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3716262" w14:textId="77777777" w:rsidR="00F24946" w:rsidRDefault="00613B06">
            <w:pPr>
              <w:pStyle w:val="P68B1DB1-Normal23"/>
              <w:spacing w:after="0"/>
              <w:jc w:val="both"/>
              <w:rPr>
                <w:rFonts w:eastAsia="Calibri" w:cs="Calibri"/>
                <w:noProof/>
              </w:rPr>
            </w:pPr>
            <w:r>
              <w:rPr>
                <w:noProof/>
              </w:rPr>
              <w:t>Nacionalna nepovratna sredstva za nujno in začasno nastanitev – Podpis sporazumov o financiranju nujnih in prehodnih nastanitev</w:t>
            </w:r>
          </w:p>
        </w:tc>
      </w:tr>
      <w:tr w:rsidR="00F24946" w14:paraId="558EEAA4" w14:textId="77777777">
        <w:trPr>
          <w:trHeight w:val="440"/>
        </w:trPr>
        <w:tc>
          <w:tcPr>
            <w:tcW w:w="1200" w:type="dxa"/>
            <w:shd w:val="clear" w:color="auto" w:fill="C4EFCE"/>
            <w:vAlign w:val="center"/>
            <w:hideMark/>
          </w:tcPr>
          <w:p w14:paraId="08AB08F8" w14:textId="77777777" w:rsidR="00F24946" w:rsidRDefault="00613B06">
            <w:pPr>
              <w:pStyle w:val="P68B1DB1-Normal23"/>
              <w:spacing w:after="0"/>
              <w:jc w:val="center"/>
              <w:rPr>
                <w:rFonts w:eastAsia="Calibri" w:cs="Calibri"/>
                <w:noProof/>
              </w:rPr>
            </w:pPr>
            <w:r>
              <w:rPr>
                <w:noProof/>
              </w:rPr>
              <w:t>2.10</w:t>
            </w:r>
          </w:p>
        </w:tc>
        <w:tc>
          <w:tcPr>
            <w:tcW w:w="1760" w:type="dxa"/>
            <w:shd w:val="clear" w:color="auto" w:fill="C4EFCE"/>
            <w:vAlign w:val="center"/>
            <w:hideMark/>
          </w:tcPr>
          <w:p w14:paraId="2483B503" w14:textId="77777777" w:rsidR="00F24946" w:rsidRDefault="00613B06">
            <w:pPr>
              <w:pStyle w:val="P68B1DB1-Normal23"/>
              <w:spacing w:after="0"/>
              <w:jc w:val="center"/>
              <w:rPr>
                <w:rFonts w:eastAsia="Calibri" w:cs="Calibri"/>
                <w:noProof/>
              </w:rPr>
            </w:pPr>
            <w:r>
              <w:rPr>
                <w:noProof/>
              </w:rPr>
              <w:t>Re-C02-i03-RAM</w:t>
            </w:r>
          </w:p>
        </w:tc>
        <w:tc>
          <w:tcPr>
            <w:tcW w:w="1520" w:type="dxa"/>
            <w:shd w:val="clear" w:color="auto" w:fill="C4EFCE"/>
            <w:vAlign w:val="center"/>
            <w:hideMark/>
          </w:tcPr>
          <w:p w14:paraId="6BC4004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94C0CAB" w14:textId="77777777" w:rsidR="00F24946" w:rsidRDefault="00613B06">
            <w:pPr>
              <w:pStyle w:val="P68B1DB1-Normal23"/>
              <w:spacing w:after="0"/>
              <w:jc w:val="both"/>
              <w:rPr>
                <w:rFonts w:eastAsia="Calibri" w:cs="Calibri"/>
                <w:noProof/>
              </w:rPr>
            </w:pPr>
            <w:r>
              <w:rPr>
                <w:noProof/>
              </w:rPr>
              <w:t>Podprta stanovanja v avtonomni pokrajini Madeira</w:t>
            </w:r>
          </w:p>
        </w:tc>
      </w:tr>
      <w:tr w:rsidR="00F24946" w14:paraId="692CD3EC" w14:textId="77777777">
        <w:trPr>
          <w:trHeight w:val="440"/>
        </w:trPr>
        <w:tc>
          <w:tcPr>
            <w:tcW w:w="1200" w:type="dxa"/>
            <w:shd w:val="clear" w:color="auto" w:fill="C4EFCE"/>
            <w:vAlign w:val="center"/>
            <w:hideMark/>
          </w:tcPr>
          <w:p w14:paraId="66CC6C58" w14:textId="77777777" w:rsidR="00F24946" w:rsidRDefault="00613B06">
            <w:pPr>
              <w:pStyle w:val="P68B1DB1-Normal23"/>
              <w:spacing w:after="0"/>
              <w:jc w:val="center"/>
              <w:rPr>
                <w:rFonts w:eastAsia="Calibri" w:cs="Calibri"/>
                <w:noProof/>
              </w:rPr>
            </w:pPr>
            <w:r>
              <w:rPr>
                <w:noProof/>
              </w:rPr>
              <w:t>3.2</w:t>
            </w:r>
          </w:p>
        </w:tc>
        <w:tc>
          <w:tcPr>
            <w:tcW w:w="1760" w:type="dxa"/>
            <w:shd w:val="clear" w:color="auto" w:fill="C4EFCE"/>
            <w:vAlign w:val="center"/>
            <w:hideMark/>
          </w:tcPr>
          <w:p w14:paraId="4B6552D8" w14:textId="77777777" w:rsidR="00F24946" w:rsidRDefault="00613B06">
            <w:pPr>
              <w:pStyle w:val="P68B1DB1-Normal23"/>
              <w:spacing w:after="0"/>
              <w:jc w:val="center"/>
              <w:rPr>
                <w:rFonts w:eastAsia="Calibri" w:cs="Calibri"/>
                <w:noProof/>
              </w:rPr>
            </w:pPr>
            <w:r>
              <w:rPr>
                <w:noProof/>
              </w:rPr>
              <w:t>Re-C03-i01</w:t>
            </w:r>
          </w:p>
        </w:tc>
        <w:tc>
          <w:tcPr>
            <w:tcW w:w="1520" w:type="dxa"/>
            <w:shd w:val="clear" w:color="auto" w:fill="C4EFCE"/>
            <w:vAlign w:val="center"/>
            <w:hideMark/>
          </w:tcPr>
          <w:p w14:paraId="0928115F"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12F2860" w14:textId="77777777" w:rsidR="00F24946" w:rsidRDefault="00613B06">
            <w:pPr>
              <w:pStyle w:val="P68B1DB1-Normal23"/>
              <w:spacing w:after="0"/>
              <w:jc w:val="both"/>
              <w:rPr>
                <w:rFonts w:eastAsia="Calibri" w:cs="Calibri"/>
                <w:noProof/>
              </w:rPr>
            </w:pPr>
            <w:r>
              <w:rPr>
                <w:noProof/>
              </w:rPr>
              <w:t>Ustanovitev skupin za socialno posredovanje (Radar Social)</w:t>
            </w:r>
          </w:p>
        </w:tc>
      </w:tr>
      <w:tr w:rsidR="00F24946" w14:paraId="30BD846E" w14:textId="77777777">
        <w:trPr>
          <w:trHeight w:val="440"/>
        </w:trPr>
        <w:tc>
          <w:tcPr>
            <w:tcW w:w="1200" w:type="dxa"/>
            <w:shd w:val="clear" w:color="auto" w:fill="C4EFCE"/>
            <w:vAlign w:val="center"/>
            <w:hideMark/>
          </w:tcPr>
          <w:p w14:paraId="77CAF7E5" w14:textId="77777777" w:rsidR="00F24946" w:rsidRDefault="00613B06">
            <w:pPr>
              <w:pStyle w:val="P68B1DB1-Normal23"/>
              <w:spacing w:after="0"/>
              <w:jc w:val="center"/>
              <w:rPr>
                <w:rFonts w:eastAsia="Calibri" w:cs="Calibri"/>
                <w:noProof/>
              </w:rPr>
            </w:pPr>
            <w:r>
              <w:rPr>
                <w:noProof/>
              </w:rPr>
              <w:t>3.18</w:t>
            </w:r>
          </w:p>
        </w:tc>
        <w:tc>
          <w:tcPr>
            <w:tcW w:w="1760" w:type="dxa"/>
            <w:shd w:val="clear" w:color="auto" w:fill="C4EFCE"/>
            <w:vAlign w:val="center"/>
            <w:hideMark/>
          </w:tcPr>
          <w:p w14:paraId="4095135D" w14:textId="77777777" w:rsidR="00F24946" w:rsidRDefault="00613B06">
            <w:pPr>
              <w:pStyle w:val="P68B1DB1-Normal23"/>
              <w:spacing w:after="0"/>
              <w:jc w:val="center"/>
              <w:rPr>
                <w:rFonts w:eastAsia="Calibri" w:cs="Calibri"/>
                <w:noProof/>
              </w:rPr>
            </w:pPr>
            <w:r>
              <w:rPr>
                <w:noProof/>
              </w:rPr>
              <w:t>Re-C03-i05</w:t>
            </w:r>
          </w:p>
        </w:tc>
        <w:tc>
          <w:tcPr>
            <w:tcW w:w="1520" w:type="dxa"/>
            <w:shd w:val="clear" w:color="auto" w:fill="C4EFCE"/>
            <w:vAlign w:val="center"/>
            <w:hideMark/>
          </w:tcPr>
          <w:p w14:paraId="3214A456"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CF15101" w14:textId="77777777" w:rsidR="00F24946" w:rsidRDefault="00613B06">
            <w:pPr>
              <w:pStyle w:val="P68B1DB1-Normal23"/>
              <w:spacing w:after="0"/>
              <w:jc w:val="both"/>
              <w:rPr>
                <w:rFonts w:eastAsia="Calibri" w:cs="Calibri"/>
                <w:noProof/>
              </w:rPr>
            </w:pPr>
            <w:r>
              <w:rPr>
                <w:noProof/>
              </w:rPr>
              <w:t>Digitalna informacijska platforma za invalide</w:t>
            </w:r>
          </w:p>
        </w:tc>
      </w:tr>
      <w:tr w:rsidR="00F24946" w14:paraId="20628CE8" w14:textId="77777777">
        <w:trPr>
          <w:trHeight w:val="440"/>
        </w:trPr>
        <w:tc>
          <w:tcPr>
            <w:tcW w:w="1200" w:type="dxa"/>
            <w:shd w:val="clear" w:color="auto" w:fill="C4EFCE"/>
            <w:vAlign w:val="center"/>
            <w:hideMark/>
          </w:tcPr>
          <w:p w14:paraId="718E4D78" w14:textId="77777777" w:rsidR="00F24946" w:rsidRDefault="00613B06">
            <w:pPr>
              <w:pStyle w:val="P68B1DB1-Normal23"/>
              <w:spacing w:after="0"/>
              <w:jc w:val="center"/>
              <w:rPr>
                <w:rFonts w:eastAsia="Calibri" w:cs="Calibri"/>
                <w:noProof/>
              </w:rPr>
            </w:pPr>
            <w:r>
              <w:rPr>
                <w:noProof/>
              </w:rPr>
              <w:t>5.37</w:t>
            </w:r>
          </w:p>
        </w:tc>
        <w:tc>
          <w:tcPr>
            <w:tcW w:w="1760" w:type="dxa"/>
            <w:shd w:val="clear" w:color="auto" w:fill="C4EFCE"/>
            <w:vAlign w:val="center"/>
            <w:hideMark/>
          </w:tcPr>
          <w:p w14:paraId="7B3EE8CE" w14:textId="77777777" w:rsidR="00F24946" w:rsidRDefault="00613B06">
            <w:pPr>
              <w:pStyle w:val="P68B1DB1-Normal23"/>
              <w:spacing w:after="0"/>
              <w:jc w:val="center"/>
              <w:rPr>
                <w:rFonts w:eastAsia="Calibri" w:cs="Calibri"/>
                <w:noProof/>
              </w:rPr>
            </w:pPr>
            <w:r>
              <w:rPr>
                <w:noProof/>
              </w:rPr>
              <w:t>Re-C05-i08</w:t>
            </w:r>
          </w:p>
        </w:tc>
        <w:tc>
          <w:tcPr>
            <w:tcW w:w="1520" w:type="dxa"/>
            <w:shd w:val="clear" w:color="auto" w:fill="C4EFCE"/>
            <w:vAlign w:val="center"/>
            <w:hideMark/>
          </w:tcPr>
          <w:p w14:paraId="37761C8D"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9320E7C" w14:textId="77777777" w:rsidR="00F24946" w:rsidRDefault="00613B06">
            <w:pPr>
              <w:pStyle w:val="P68B1DB1-Normal23"/>
              <w:spacing w:after="0"/>
              <w:jc w:val="both"/>
              <w:rPr>
                <w:rFonts w:eastAsia="Calibri" w:cs="Calibri"/>
                <w:noProof/>
              </w:rPr>
            </w:pPr>
            <w:r>
              <w:rPr>
                <w:noProof/>
              </w:rPr>
              <w:t>Ustanovitev nacionalnega centra za napredno računalništvo (CNCA).</w:t>
            </w:r>
          </w:p>
        </w:tc>
      </w:tr>
      <w:tr w:rsidR="00F24946" w14:paraId="6A2FA64B" w14:textId="77777777">
        <w:trPr>
          <w:trHeight w:val="440"/>
        </w:trPr>
        <w:tc>
          <w:tcPr>
            <w:tcW w:w="1200" w:type="dxa"/>
            <w:shd w:val="clear" w:color="auto" w:fill="C4EFCE"/>
            <w:vAlign w:val="center"/>
            <w:hideMark/>
          </w:tcPr>
          <w:p w14:paraId="7FC45C4C" w14:textId="77777777" w:rsidR="00F24946" w:rsidRDefault="00613B06">
            <w:pPr>
              <w:pStyle w:val="P68B1DB1-Normal23"/>
              <w:spacing w:after="0"/>
              <w:jc w:val="center"/>
              <w:rPr>
                <w:rFonts w:eastAsia="Calibri" w:cs="Calibri"/>
                <w:noProof/>
              </w:rPr>
            </w:pPr>
            <w:r>
              <w:rPr>
                <w:noProof/>
              </w:rPr>
              <w:t>6.5</w:t>
            </w:r>
          </w:p>
        </w:tc>
        <w:tc>
          <w:tcPr>
            <w:tcW w:w="1760" w:type="dxa"/>
            <w:shd w:val="clear" w:color="auto" w:fill="C4EFCE"/>
            <w:vAlign w:val="center"/>
            <w:hideMark/>
          </w:tcPr>
          <w:p w14:paraId="2B15BC68" w14:textId="77777777" w:rsidR="00F24946" w:rsidRDefault="00613B06">
            <w:pPr>
              <w:pStyle w:val="P68B1DB1-Normal23"/>
              <w:spacing w:after="0"/>
              <w:jc w:val="center"/>
              <w:rPr>
                <w:rFonts w:eastAsia="Calibri" w:cs="Calibri"/>
                <w:noProof/>
              </w:rPr>
            </w:pPr>
            <w:r>
              <w:rPr>
                <w:noProof/>
              </w:rPr>
              <w:t>Re-C06-i02</w:t>
            </w:r>
          </w:p>
        </w:tc>
        <w:tc>
          <w:tcPr>
            <w:tcW w:w="1520" w:type="dxa"/>
            <w:shd w:val="clear" w:color="auto" w:fill="C4EFCE"/>
            <w:vAlign w:val="center"/>
            <w:hideMark/>
          </w:tcPr>
          <w:p w14:paraId="7BE9B1B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F542581" w14:textId="77777777" w:rsidR="00F24946" w:rsidRDefault="00613B06">
            <w:pPr>
              <w:pStyle w:val="P68B1DB1-Normal23"/>
              <w:spacing w:after="0"/>
              <w:jc w:val="both"/>
              <w:rPr>
                <w:rFonts w:eastAsia="Calibri" w:cs="Calibri"/>
                <w:noProof/>
              </w:rPr>
            </w:pPr>
            <w:r>
              <w:rPr>
                <w:noProof/>
              </w:rPr>
              <w:t>Finančna podpora za pogodbe za nedoločen čas</w:t>
            </w:r>
          </w:p>
        </w:tc>
      </w:tr>
      <w:tr w:rsidR="00F24946" w14:paraId="4839FE69" w14:textId="77777777">
        <w:trPr>
          <w:trHeight w:val="440"/>
        </w:trPr>
        <w:tc>
          <w:tcPr>
            <w:tcW w:w="1200" w:type="dxa"/>
            <w:shd w:val="clear" w:color="auto" w:fill="C4EFCE"/>
            <w:vAlign w:val="center"/>
            <w:hideMark/>
          </w:tcPr>
          <w:p w14:paraId="410B82AF" w14:textId="77777777" w:rsidR="00F24946" w:rsidRDefault="00613B06">
            <w:pPr>
              <w:pStyle w:val="P68B1DB1-Normal23"/>
              <w:spacing w:after="0"/>
              <w:jc w:val="center"/>
              <w:rPr>
                <w:rFonts w:eastAsia="Calibri" w:cs="Calibri"/>
                <w:noProof/>
              </w:rPr>
            </w:pPr>
            <w:r>
              <w:rPr>
                <w:noProof/>
              </w:rPr>
              <w:t>6.17</w:t>
            </w:r>
          </w:p>
        </w:tc>
        <w:tc>
          <w:tcPr>
            <w:tcW w:w="1760" w:type="dxa"/>
            <w:shd w:val="clear" w:color="auto" w:fill="C4EFCE"/>
            <w:vAlign w:val="center"/>
            <w:hideMark/>
          </w:tcPr>
          <w:p w14:paraId="71A13B94" w14:textId="77777777" w:rsidR="00F24946" w:rsidRDefault="00613B06">
            <w:pPr>
              <w:pStyle w:val="P68B1DB1-Normal23"/>
              <w:spacing w:after="0"/>
              <w:jc w:val="center"/>
              <w:rPr>
                <w:rFonts w:eastAsia="Calibri" w:cs="Calibri"/>
                <w:noProof/>
              </w:rPr>
            </w:pPr>
            <w:r>
              <w:rPr>
                <w:noProof/>
              </w:rPr>
              <w:t>Re-C06-r18</w:t>
            </w:r>
          </w:p>
        </w:tc>
        <w:tc>
          <w:tcPr>
            <w:tcW w:w="1520" w:type="dxa"/>
            <w:shd w:val="clear" w:color="auto" w:fill="C4EFCE"/>
            <w:vAlign w:val="center"/>
            <w:hideMark/>
          </w:tcPr>
          <w:p w14:paraId="51778BF5"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41251F" w14:textId="77777777" w:rsidR="00F24946" w:rsidRDefault="00613B06">
            <w:pPr>
              <w:pStyle w:val="P68B1DB1-Normal23"/>
              <w:spacing w:after="0"/>
              <w:jc w:val="both"/>
              <w:rPr>
                <w:rFonts w:eastAsia="Calibri" w:cs="Calibri"/>
                <w:noProof/>
              </w:rPr>
            </w:pPr>
            <w:r>
              <w:rPr>
                <w:noProof/>
              </w:rPr>
              <w:t>Določiti portugalsko normo za sistem enakega upravljanja plačil.</w:t>
            </w:r>
          </w:p>
        </w:tc>
      </w:tr>
      <w:tr w:rsidR="00F24946" w14:paraId="0118C2E1" w14:textId="77777777">
        <w:trPr>
          <w:trHeight w:val="440"/>
        </w:trPr>
        <w:tc>
          <w:tcPr>
            <w:tcW w:w="1200" w:type="dxa"/>
            <w:shd w:val="clear" w:color="auto" w:fill="C4EFCE"/>
            <w:vAlign w:val="center"/>
          </w:tcPr>
          <w:p w14:paraId="73E1EE90" w14:textId="77777777" w:rsidR="00F24946" w:rsidRDefault="00613B06">
            <w:pPr>
              <w:pStyle w:val="P68B1DB1-Normal23"/>
              <w:spacing w:after="0"/>
              <w:jc w:val="center"/>
              <w:rPr>
                <w:rFonts w:eastAsia="Calibri" w:cs="Calibri"/>
                <w:noProof/>
              </w:rPr>
            </w:pPr>
            <w:r>
              <w:rPr>
                <w:noProof/>
              </w:rPr>
              <w:t>6.18</w:t>
            </w:r>
          </w:p>
        </w:tc>
        <w:tc>
          <w:tcPr>
            <w:tcW w:w="1760" w:type="dxa"/>
            <w:shd w:val="clear" w:color="auto" w:fill="C4EFCE"/>
            <w:vAlign w:val="center"/>
          </w:tcPr>
          <w:p w14:paraId="3D8A0425" w14:textId="77777777" w:rsidR="00F24946" w:rsidRDefault="00613B06">
            <w:pPr>
              <w:pStyle w:val="P68B1DB1-Normal23"/>
              <w:spacing w:after="0"/>
              <w:jc w:val="center"/>
              <w:rPr>
                <w:rFonts w:eastAsia="Calibri" w:cs="Calibri"/>
                <w:noProof/>
              </w:rPr>
            </w:pPr>
            <w:r>
              <w:rPr>
                <w:noProof/>
              </w:rPr>
              <w:t>Re-C06-r18</w:t>
            </w:r>
          </w:p>
        </w:tc>
        <w:tc>
          <w:tcPr>
            <w:tcW w:w="1520" w:type="dxa"/>
            <w:shd w:val="clear" w:color="auto" w:fill="C4EFCE"/>
            <w:vAlign w:val="center"/>
          </w:tcPr>
          <w:p w14:paraId="72CDE6C4"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tcPr>
          <w:p w14:paraId="601AD98C" w14:textId="77777777" w:rsidR="00F24946" w:rsidRDefault="00613B06">
            <w:pPr>
              <w:pStyle w:val="P68B1DB1-Normal23"/>
              <w:spacing w:after="0"/>
              <w:jc w:val="both"/>
              <w:rPr>
                <w:rFonts w:eastAsia="Calibri" w:cs="Calibri"/>
                <w:noProof/>
              </w:rPr>
            </w:pPr>
            <w:r>
              <w:rPr>
                <w:noProof/>
              </w:rPr>
              <w:t>Priglasitev podjetij z več kot 50 delavci, ki imajo znatne razlike v plačah med spoloma</w:t>
            </w:r>
          </w:p>
        </w:tc>
      </w:tr>
      <w:tr w:rsidR="00F24946" w14:paraId="6DE96290" w14:textId="77777777">
        <w:trPr>
          <w:trHeight w:val="440"/>
        </w:trPr>
        <w:tc>
          <w:tcPr>
            <w:tcW w:w="1200" w:type="dxa"/>
            <w:shd w:val="clear" w:color="auto" w:fill="C4EFCE"/>
            <w:vAlign w:val="center"/>
            <w:hideMark/>
          </w:tcPr>
          <w:p w14:paraId="2DF8DE3F" w14:textId="77777777" w:rsidR="00F24946" w:rsidRDefault="00613B06">
            <w:pPr>
              <w:pStyle w:val="P68B1DB1-Normal23"/>
              <w:spacing w:after="0"/>
              <w:jc w:val="center"/>
              <w:rPr>
                <w:rFonts w:eastAsia="Calibri" w:cs="Calibri"/>
                <w:noProof/>
              </w:rPr>
            </w:pPr>
            <w:r>
              <w:rPr>
                <w:noProof/>
              </w:rPr>
              <w:t>6.24</w:t>
            </w:r>
          </w:p>
        </w:tc>
        <w:tc>
          <w:tcPr>
            <w:tcW w:w="1760" w:type="dxa"/>
            <w:shd w:val="clear" w:color="auto" w:fill="C4EFCE"/>
            <w:vAlign w:val="center"/>
            <w:hideMark/>
          </w:tcPr>
          <w:p w14:paraId="3F72ECAE" w14:textId="77777777" w:rsidR="00F24946" w:rsidRDefault="00613B06">
            <w:pPr>
              <w:pStyle w:val="P68B1DB1-Normal23"/>
              <w:spacing w:after="0"/>
              <w:jc w:val="center"/>
              <w:rPr>
                <w:rFonts w:eastAsia="Calibri" w:cs="Calibri"/>
                <w:noProof/>
              </w:rPr>
            </w:pPr>
            <w:r>
              <w:rPr>
                <w:noProof/>
              </w:rPr>
              <w:t>Re-C06-i07</w:t>
            </w:r>
          </w:p>
        </w:tc>
        <w:tc>
          <w:tcPr>
            <w:tcW w:w="1520" w:type="dxa"/>
            <w:shd w:val="clear" w:color="auto" w:fill="C4EFCE"/>
            <w:vAlign w:val="center"/>
            <w:hideMark/>
          </w:tcPr>
          <w:p w14:paraId="36EEB3BA"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E71C6ED" w14:textId="77777777" w:rsidR="00F24946" w:rsidRDefault="00613B06">
            <w:pPr>
              <w:pStyle w:val="P68B1DB1-Normal23"/>
              <w:spacing w:after="0"/>
              <w:jc w:val="both"/>
              <w:rPr>
                <w:rFonts w:eastAsia="Calibri" w:cs="Calibri"/>
                <w:noProof/>
              </w:rPr>
            </w:pPr>
            <w:r>
              <w:rPr>
                <w:noProof/>
              </w:rPr>
              <w:t xml:space="preserve">Inovacije in pedagoška posodobitev v visokem šolstvu </w:t>
            </w:r>
          </w:p>
        </w:tc>
      </w:tr>
      <w:tr w:rsidR="00F24946" w14:paraId="71CB9782" w14:textId="77777777">
        <w:trPr>
          <w:trHeight w:val="440"/>
        </w:trPr>
        <w:tc>
          <w:tcPr>
            <w:tcW w:w="1200" w:type="dxa"/>
            <w:shd w:val="clear" w:color="auto" w:fill="C4EFCE"/>
            <w:vAlign w:val="center"/>
            <w:hideMark/>
          </w:tcPr>
          <w:p w14:paraId="2D7720E1" w14:textId="77777777" w:rsidR="00F24946" w:rsidRDefault="00613B06">
            <w:pPr>
              <w:pStyle w:val="P68B1DB1-Normal23"/>
              <w:spacing w:after="0"/>
              <w:jc w:val="center"/>
              <w:rPr>
                <w:rFonts w:eastAsia="Calibri" w:cs="Calibri"/>
                <w:noProof/>
              </w:rPr>
            </w:pPr>
            <w:r>
              <w:rPr>
                <w:noProof/>
              </w:rPr>
              <w:t>6.26</w:t>
            </w:r>
          </w:p>
        </w:tc>
        <w:tc>
          <w:tcPr>
            <w:tcW w:w="1760" w:type="dxa"/>
            <w:shd w:val="clear" w:color="auto" w:fill="C4EFCE"/>
            <w:vAlign w:val="center"/>
            <w:hideMark/>
          </w:tcPr>
          <w:p w14:paraId="4E35273D" w14:textId="0EFE6435" w:rsidR="00F24946" w:rsidRDefault="00613B06">
            <w:pPr>
              <w:pStyle w:val="P68B1DB1-Normal23"/>
              <w:spacing w:after="0"/>
              <w:jc w:val="center"/>
              <w:rPr>
                <w:rFonts w:eastAsia="Calibri" w:cs="Calibri"/>
                <w:noProof/>
              </w:rPr>
            </w:pPr>
            <w:r>
              <w:rPr>
                <w:noProof/>
              </w:rPr>
              <w:t>Re-C06-i08-RAM</w:t>
            </w:r>
          </w:p>
        </w:tc>
        <w:tc>
          <w:tcPr>
            <w:tcW w:w="1520" w:type="dxa"/>
            <w:shd w:val="clear" w:color="auto" w:fill="C4EFCE"/>
            <w:vAlign w:val="center"/>
            <w:hideMark/>
          </w:tcPr>
          <w:p w14:paraId="682F1E48"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A9A92A" w14:textId="77777777" w:rsidR="00F24946" w:rsidRDefault="00613B06">
            <w:pPr>
              <w:pStyle w:val="P68B1DB1-Normal23"/>
              <w:spacing w:after="0"/>
              <w:jc w:val="both"/>
              <w:rPr>
                <w:rFonts w:eastAsia="Calibri" w:cs="Calibri"/>
                <w:noProof/>
              </w:rPr>
            </w:pPr>
            <w:r>
              <w:rPr>
                <w:noProof/>
              </w:rPr>
              <w:t>Podpisana pogodba za razširitev stavbe CITMA</w:t>
            </w:r>
          </w:p>
        </w:tc>
      </w:tr>
      <w:tr w:rsidR="00F24946" w14:paraId="1641F158" w14:textId="77777777">
        <w:trPr>
          <w:trHeight w:val="440"/>
        </w:trPr>
        <w:tc>
          <w:tcPr>
            <w:tcW w:w="1200" w:type="dxa"/>
            <w:shd w:val="clear" w:color="auto" w:fill="C4EFCE"/>
            <w:vAlign w:val="center"/>
            <w:hideMark/>
          </w:tcPr>
          <w:p w14:paraId="2A803BC2" w14:textId="77777777" w:rsidR="00F24946" w:rsidRDefault="00613B06">
            <w:pPr>
              <w:pStyle w:val="P68B1DB1-Normal23"/>
              <w:spacing w:after="0"/>
              <w:jc w:val="center"/>
              <w:rPr>
                <w:rFonts w:eastAsia="Calibri" w:cs="Calibri"/>
                <w:noProof/>
              </w:rPr>
            </w:pPr>
            <w:r>
              <w:rPr>
                <w:noProof/>
              </w:rPr>
              <w:t>7.2</w:t>
            </w:r>
          </w:p>
        </w:tc>
        <w:tc>
          <w:tcPr>
            <w:tcW w:w="1760" w:type="dxa"/>
            <w:shd w:val="clear" w:color="auto" w:fill="C4EFCE"/>
            <w:vAlign w:val="center"/>
            <w:hideMark/>
          </w:tcPr>
          <w:p w14:paraId="148139C0" w14:textId="77777777" w:rsidR="00F24946" w:rsidRDefault="00613B06">
            <w:pPr>
              <w:pStyle w:val="P68B1DB1-Normal23"/>
              <w:spacing w:after="0"/>
              <w:jc w:val="center"/>
              <w:rPr>
                <w:rFonts w:eastAsia="Calibri" w:cs="Calibri"/>
                <w:noProof/>
              </w:rPr>
            </w:pPr>
            <w:r>
              <w:rPr>
                <w:noProof/>
              </w:rPr>
              <w:t>Re-C07-i00</w:t>
            </w:r>
          </w:p>
        </w:tc>
        <w:tc>
          <w:tcPr>
            <w:tcW w:w="1520" w:type="dxa"/>
            <w:shd w:val="clear" w:color="auto" w:fill="C4EFCE"/>
            <w:vAlign w:val="center"/>
            <w:hideMark/>
          </w:tcPr>
          <w:p w14:paraId="3C913E09"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B05BD75" w14:textId="4917198F" w:rsidR="00F24946" w:rsidRDefault="00613B06">
            <w:pPr>
              <w:pStyle w:val="P68B1DB1-Normal23"/>
              <w:spacing w:after="0"/>
              <w:jc w:val="both"/>
              <w:rPr>
                <w:rFonts w:eastAsia="Calibri" w:cs="Calibri"/>
                <w:noProof/>
              </w:rPr>
            </w:pPr>
            <w:r>
              <w:rPr>
                <w:noProof/>
              </w:rPr>
              <w:t>Javno dostopna polnilna mesta za električna vozila</w:t>
            </w:r>
          </w:p>
        </w:tc>
      </w:tr>
      <w:tr w:rsidR="00F24946" w14:paraId="409538B8" w14:textId="77777777">
        <w:trPr>
          <w:trHeight w:val="440"/>
        </w:trPr>
        <w:tc>
          <w:tcPr>
            <w:tcW w:w="1200" w:type="dxa"/>
            <w:shd w:val="clear" w:color="auto" w:fill="C4EFCE"/>
            <w:vAlign w:val="center"/>
            <w:hideMark/>
          </w:tcPr>
          <w:p w14:paraId="7AD48D83" w14:textId="77777777" w:rsidR="00F24946" w:rsidRDefault="00613B06">
            <w:pPr>
              <w:pStyle w:val="P68B1DB1-Normal23"/>
              <w:spacing w:after="0"/>
              <w:jc w:val="center"/>
              <w:rPr>
                <w:rFonts w:eastAsia="Calibri" w:cs="Calibri"/>
                <w:noProof/>
              </w:rPr>
            </w:pPr>
            <w:r>
              <w:rPr>
                <w:noProof/>
              </w:rPr>
              <w:t>8.13</w:t>
            </w:r>
          </w:p>
        </w:tc>
        <w:tc>
          <w:tcPr>
            <w:tcW w:w="1760" w:type="dxa"/>
            <w:shd w:val="clear" w:color="auto" w:fill="C4EFCE"/>
            <w:vAlign w:val="center"/>
            <w:hideMark/>
          </w:tcPr>
          <w:p w14:paraId="4745E4E8" w14:textId="77777777" w:rsidR="00F24946" w:rsidRDefault="00613B06">
            <w:pPr>
              <w:pStyle w:val="P68B1DB1-Normal23"/>
              <w:spacing w:after="0"/>
              <w:jc w:val="center"/>
              <w:rPr>
                <w:rFonts w:eastAsia="Calibri" w:cs="Calibri"/>
                <w:noProof/>
              </w:rPr>
            </w:pPr>
            <w:r>
              <w:rPr>
                <w:noProof/>
              </w:rPr>
              <w:t>Re-C08-i05</w:t>
            </w:r>
          </w:p>
        </w:tc>
        <w:tc>
          <w:tcPr>
            <w:tcW w:w="1520" w:type="dxa"/>
            <w:shd w:val="clear" w:color="auto" w:fill="C4EFCE"/>
            <w:vAlign w:val="center"/>
            <w:hideMark/>
          </w:tcPr>
          <w:p w14:paraId="5F6B7E1B"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9D1CC3E" w14:textId="77777777" w:rsidR="00F24946" w:rsidRDefault="00613B06">
            <w:pPr>
              <w:pStyle w:val="P68B1DB1-Normal23"/>
              <w:spacing w:after="0"/>
              <w:jc w:val="both"/>
              <w:rPr>
                <w:rFonts w:eastAsia="Calibri" w:cs="Calibri"/>
                <w:noProof/>
              </w:rPr>
            </w:pPr>
            <w:r>
              <w:rPr>
                <w:noProof/>
              </w:rPr>
              <w:t>Okrepitev subjektov ministrstva za notranje zadeve z vozili in operativno opremo</w:t>
            </w:r>
          </w:p>
        </w:tc>
      </w:tr>
      <w:tr w:rsidR="00F24946" w14:paraId="46442EA5" w14:textId="77777777">
        <w:trPr>
          <w:trHeight w:val="440"/>
        </w:trPr>
        <w:tc>
          <w:tcPr>
            <w:tcW w:w="1200" w:type="dxa"/>
            <w:shd w:val="clear" w:color="auto" w:fill="C4EFCE"/>
            <w:vAlign w:val="center"/>
            <w:hideMark/>
          </w:tcPr>
          <w:p w14:paraId="37ADCEA6" w14:textId="77777777" w:rsidR="00F24946" w:rsidRDefault="00613B06">
            <w:pPr>
              <w:pStyle w:val="P68B1DB1-Normal23"/>
              <w:spacing w:after="0"/>
              <w:jc w:val="center"/>
              <w:rPr>
                <w:rFonts w:eastAsia="Calibri" w:cs="Calibri"/>
                <w:noProof/>
              </w:rPr>
            </w:pPr>
            <w:r>
              <w:rPr>
                <w:noProof/>
              </w:rPr>
              <w:t>9.1</w:t>
            </w:r>
          </w:p>
        </w:tc>
        <w:tc>
          <w:tcPr>
            <w:tcW w:w="1760" w:type="dxa"/>
            <w:shd w:val="clear" w:color="auto" w:fill="C4EFCE"/>
            <w:vAlign w:val="center"/>
            <w:hideMark/>
          </w:tcPr>
          <w:p w14:paraId="21DD8E0C" w14:textId="77777777" w:rsidR="00F24946" w:rsidRDefault="00613B06">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4B9F30BC"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51D75FD" w14:textId="77777777" w:rsidR="00F24946" w:rsidRDefault="00613B06">
            <w:pPr>
              <w:pStyle w:val="P68B1DB1-Normal23"/>
              <w:spacing w:after="0"/>
              <w:jc w:val="both"/>
              <w:rPr>
                <w:rFonts w:eastAsia="Calibri" w:cs="Calibri"/>
                <w:noProof/>
              </w:rPr>
            </w:pPr>
            <w:r>
              <w:rPr>
                <w:noProof/>
              </w:rPr>
              <w:t>Dodatna merilna mesta nameščenih virov podzemne vode (SM3)</w:t>
            </w:r>
          </w:p>
        </w:tc>
      </w:tr>
      <w:tr w:rsidR="00F24946" w14:paraId="19B5815B" w14:textId="77777777">
        <w:trPr>
          <w:trHeight w:val="440"/>
        </w:trPr>
        <w:tc>
          <w:tcPr>
            <w:tcW w:w="1200" w:type="dxa"/>
            <w:shd w:val="clear" w:color="auto" w:fill="C4EFCE"/>
            <w:vAlign w:val="center"/>
            <w:hideMark/>
          </w:tcPr>
          <w:p w14:paraId="40BE5193" w14:textId="77777777" w:rsidR="00F24946" w:rsidRDefault="00613B06">
            <w:pPr>
              <w:pStyle w:val="P68B1DB1-Normal23"/>
              <w:spacing w:after="0"/>
              <w:jc w:val="center"/>
              <w:rPr>
                <w:rFonts w:eastAsia="Calibri" w:cs="Calibri"/>
                <w:noProof/>
              </w:rPr>
            </w:pPr>
            <w:r>
              <w:rPr>
                <w:noProof/>
              </w:rPr>
              <w:t>9.5</w:t>
            </w:r>
          </w:p>
        </w:tc>
        <w:tc>
          <w:tcPr>
            <w:tcW w:w="1760" w:type="dxa"/>
            <w:shd w:val="clear" w:color="auto" w:fill="C4EFCE"/>
            <w:vAlign w:val="center"/>
            <w:hideMark/>
          </w:tcPr>
          <w:p w14:paraId="604C41E0" w14:textId="77777777" w:rsidR="00F24946" w:rsidRDefault="00613B06">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68882788"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A618198" w14:textId="77777777" w:rsidR="00F24946" w:rsidRDefault="00613B06">
            <w:pPr>
              <w:pStyle w:val="P68B1DB1-Normal23"/>
              <w:spacing w:after="0"/>
              <w:jc w:val="both"/>
              <w:rPr>
                <w:rFonts w:eastAsia="Calibri" w:cs="Calibri"/>
                <w:noProof/>
              </w:rPr>
            </w:pPr>
            <w:r>
              <w:rPr>
                <w:noProof/>
              </w:rPr>
              <w:t>Sprejetje posodobljenega načrta (če je potrebno) ukrepa o odvzemu v Guadiani, ki v celoti vključuje vse rezultate in pogoje iz presoje vplivov na okolje (SM5)</w:t>
            </w:r>
          </w:p>
        </w:tc>
      </w:tr>
      <w:tr w:rsidR="00F24946" w14:paraId="61BA2CC6" w14:textId="77777777">
        <w:trPr>
          <w:trHeight w:val="440"/>
        </w:trPr>
        <w:tc>
          <w:tcPr>
            <w:tcW w:w="1200" w:type="dxa"/>
            <w:shd w:val="clear" w:color="auto" w:fill="C4EFCE"/>
            <w:vAlign w:val="center"/>
            <w:hideMark/>
          </w:tcPr>
          <w:p w14:paraId="6330516E" w14:textId="77777777" w:rsidR="00F24946" w:rsidRDefault="00613B06">
            <w:pPr>
              <w:pStyle w:val="P68B1DB1-Normal23"/>
              <w:spacing w:after="0"/>
              <w:jc w:val="center"/>
              <w:rPr>
                <w:rFonts w:eastAsia="Calibri" w:cs="Calibri"/>
                <w:noProof/>
              </w:rPr>
            </w:pPr>
            <w:r>
              <w:rPr>
                <w:noProof/>
              </w:rPr>
              <w:t>9.7</w:t>
            </w:r>
          </w:p>
        </w:tc>
        <w:tc>
          <w:tcPr>
            <w:tcW w:w="1760" w:type="dxa"/>
            <w:shd w:val="clear" w:color="auto" w:fill="C4EFCE"/>
            <w:vAlign w:val="center"/>
            <w:hideMark/>
          </w:tcPr>
          <w:p w14:paraId="4FB0CCD7" w14:textId="77777777" w:rsidR="00F24946" w:rsidRDefault="00613B06">
            <w:pPr>
              <w:pStyle w:val="P68B1DB1-Normal23"/>
              <w:spacing w:after="0"/>
              <w:jc w:val="center"/>
              <w:rPr>
                <w:rFonts w:eastAsia="Calibri" w:cs="Calibri"/>
                <w:noProof/>
              </w:rPr>
            </w:pPr>
            <w:r>
              <w:rPr>
                <w:noProof/>
              </w:rPr>
              <w:t xml:space="preserve">Re-C09-i01  </w:t>
            </w:r>
          </w:p>
        </w:tc>
        <w:tc>
          <w:tcPr>
            <w:tcW w:w="1520" w:type="dxa"/>
            <w:shd w:val="clear" w:color="auto" w:fill="C4EFCE"/>
            <w:vAlign w:val="center"/>
            <w:hideMark/>
          </w:tcPr>
          <w:p w14:paraId="4CAF32D0"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83D462D" w14:textId="77777777" w:rsidR="00F24946" w:rsidRDefault="00613B06">
            <w:pPr>
              <w:pStyle w:val="P68B1DB1-Normal23"/>
              <w:spacing w:after="0"/>
              <w:jc w:val="both"/>
              <w:rPr>
                <w:rFonts w:eastAsia="Calibri" w:cs="Calibri"/>
                <w:noProof/>
              </w:rPr>
            </w:pPr>
            <w:r>
              <w:rPr>
                <w:noProof/>
              </w:rPr>
              <w:t>Sprejetje posodobljenega načrta (če je potrebno) ukrepa razsoljenja, ki v celoti vključuje vse rezultate in pogoje iz presoje vplivov na okolje (SM6)</w:t>
            </w:r>
          </w:p>
        </w:tc>
      </w:tr>
      <w:tr w:rsidR="00F24946" w14:paraId="0AB93700" w14:textId="77777777">
        <w:trPr>
          <w:trHeight w:val="440"/>
        </w:trPr>
        <w:tc>
          <w:tcPr>
            <w:tcW w:w="1200" w:type="dxa"/>
            <w:shd w:val="clear" w:color="auto" w:fill="C4EFCE"/>
            <w:vAlign w:val="center"/>
            <w:hideMark/>
          </w:tcPr>
          <w:p w14:paraId="3E548EA8" w14:textId="77777777" w:rsidR="00F24946" w:rsidRDefault="00613B06">
            <w:pPr>
              <w:pStyle w:val="P68B1DB1-Normal23"/>
              <w:spacing w:after="0"/>
              <w:jc w:val="center"/>
              <w:rPr>
                <w:rFonts w:eastAsia="Calibri" w:cs="Calibri"/>
                <w:noProof/>
              </w:rPr>
            </w:pPr>
            <w:r>
              <w:rPr>
                <w:noProof/>
              </w:rPr>
              <w:t>10.15</w:t>
            </w:r>
          </w:p>
        </w:tc>
        <w:tc>
          <w:tcPr>
            <w:tcW w:w="1760" w:type="dxa"/>
            <w:shd w:val="clear" w:color="auto" w:fill="C4EFCE"/>
            <w:vAlign w:val="center"/>
            <w:hideMark/>
          </w:tcPr>
          <w:p w14:paraId="4CF19DFE" w14:textId="77777777" w:rsidR="00F24946" w:rsidRDefault="00613B06">
            <w:pPr>
              <w:pStyle w:val="P68B1DB1-Normal23"/>
              <w:spacing w:after="0"/>
              <w:jc w:val="center"/>
              <w:rPr>
                <w:rFonts w:eastAsia="Calibri" w:cs="Calibri"/>
                <w:noProof/>
              </w:rPr>
            </w:pPr>
            <w:r>
              <w:rPr>
                <w:noProof/>
              </w:rPr>
              <w:t>TC-C10-i06-RAM</w:t>
            </w:r>
          </w:p>
        </w:tc>
        <w:tc>
          <w:tcPr>
            <w:tcW w:w="1520" w:type="dxa"/>
            <w:shd w:val="clear" w:color="auto" w:fill="C4EFCE"/>
            <w:vAlign w:val="center"/>
            <w:hideMark/>
          </w:tcPr>
          <w:p w14:paraId="6C4706BE"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BDA8F52" w14:textId="77777777" w:rsidR="00F24946" w:rsidRDefault="00613B06">
            <w:pPr>
              <w:pStyle w:val="P68B1DB1-Normal23"/>
              <w:spacing w:after="0"/>
              <w:jc w:val="both"/>
              <w:rPr>
                <w:rFonts w:eastAsia="Calibri" w:cs="Calibri"/>
                <w:noProof/>
              </w:rPr>
            </w:pPr>
            <w:r>
              <w:rPr>
                <w:noProof/>
              </w:rPr>
              <w:t>Dobava dveh avtonomnih brezpilotnih vozil</w:t>
            </w:r>
          </w:p>
        </w:tc>
      </w:tr>
      <w:tr w:rsidR="00F24946" w14:paraId="0980B6CB" w14:textId="77777777">
        <w:trPr>
          <w:trHeight w:val="440"/>
        </w:trPr>
        <w:tc>
          <w:tcPr>
            <w:tcW w:w="1200" w:type="dxa"/>
            <w:shd w:val="clear" w:color="auto" w:fill="C4EFCE"/>
            <w:vAlign w:val="center"/>
            <w:hideMark/>
          </w:tcPr>
          <w:p w14:paraId="7E7FB85D" w14:textId="77777777" w:rsidR="00F24946" w:rsidRDefault="00613B06">
            <w:pPr>
              <w:pStyle w:val="P68B1DB1-Normal23"/>
              <w:spacing w:after="0"/>
              <w:jc w:val="center"/>
              <w:rPr>
                <w:rFonts w:eastAsia="Calibri" w:cs="Calibri"/>
                <w:noProof/>
              </w:rPr>
            </w:pPr>
            <w:r>
              <w:rPr>
                <w:noProof/>
              </w:rPr>
              <w:t>14.4</w:t>
            </w:r>
          </w:p>
        </w:tc>
        <w:tc>
          <w:tcPr>
            <w:tcW w:w="1760" w:type="dxa"/>
            <w:shd w:val="clear" w:color="auto" w:fill="C4EFCE"/>
            <w:vAlign w:val="center"/>
            <w:hideMark/>
          </w:tcPr>
          <w:p w14:paraId="04D0BEED" w14:textId="77777777" w:rsidR="00F24946" w:rsidRDefault="00613B06">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57393661"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8E80E7D" w14:textId="77777777" w:rsidR="00F24946" w:rsidRDefault="00613B06">
            <w:pPr>
              <w:pStyle w:val="P68B1DB1-Normal23"/>
              <w:spacing w:after="0"/>
              <w:jc w:val="both"/>
              <w:rPr>
                <w:rFonts w:eastAsia="Calibri" w:cs="Calibri"/>
                <w:noProof/>
              </w:rPr>
            </w:pPr>
            <w:r>
              <w:rPr>
                <w:noProof/>
              </w:rPr>
              <w:t>Namestitev novega sinhronega kompenzatorja</w:t>
            </w:r>
          </w:p>
        </w:tc>
      </w:tr>
      <w:tr w:rsidR="00F24946" w14:paraId="5A41BED8" w14:textId="77777777">
        <w:trPr>
          <w:trHeight w:val="440"/>
        </w:trPr>
        <w:tc>
          <w:tcPr>
            <w:tcW w:w="1200" w:type="dxa"/>
            <w:shd w:val="clear" w:color="auto" w:fill="C4EFCE"/>
            <w:vAlign w:val="center"/>
            <w:hideMark/>
          </w:tcPr>
          <w:p w14:paraId="29F13402" w14:textId="77777777" w:rsidR="00F24946" w:rsidRDefault="00613B06">
            <w:pPr>
              <w:pStyle w:val="P68B1DB1-Normal23"/>
              <w:spacing w:after="0"/>
              <w:jc w:val="center"/>
              <w:rPr>
                <w:rFonts w:eastAsia="Calibri" w:cs="Calibri"/>
                <w:noProof/>
              </w:rPr>
            </w:pPr>
            <w:r>
              <w:rPr>
                <w:noProof/>
              </w:rPr>
              <w:t>14.6</w:t>
            </w:r>
          </w:p>
        </w:tc>
        <w:tc>
          <w:tcPr>
            <w:tcW w:w="1760" w:type="dxa"/>
            <w:shd w:val="clear" w:color="auto" w:fill="C4EFCE"/>
            <w:vAlign w:val="center"/>
            <w:hideMark/>
          </w:tcPr>
          <w:p w14:paraId="2564F54A" w14:textId="77777777" w:rsidR="00F24946" w:rsidRDefault="00613B06">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2D22D314"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C086CC6" w14:textId="77777777" w:rsidR="00F24946" w:rsidRDefault="00613B06">
            <w:pPr>
              <w:pStyle w:val="P68B1DB1-Normal23"/>
              <w:spacing w:after="0"/>
              <w:jc w:val="both"/>
              <w:rPr>
                <w:rFonts w:eastAsia="Calibri" w:cs="Calibri"/>
                <w:noProof/>
              </w:rPr>
            </w:pPr>
            <w:r>
              <w:rPr>
                <w:noProof/>
              </w:rPr>
              <w:t>Obnovljena inštalirana proizvodna zmogljivost hidroelektrarn</w:t>
            </w:r>
          </w:p>
        </w:tc>
      </w:tr>
      <w:tr w:rsidR="00F24946" w14:paraId="67DAD308" w14:textId="77777777">
        <w:trPr>
          <w:trHeight w:val="440"/>
        </w:trPr>
        <w:tc>
          <w:tcPr>
            <w:tcW w:w="1200" w:type="dxa"/>
            <w:shd w:val="clear" w:color="auto" w:fill="C4EFCE"/>
            <w:vAlign w:val="center"/>
            <w:hideMark/>
          </w:tcPr>
          <w:p w14:paraId="27435949" w14:textId="77777777" w:rsidR="00F24946" w:rsidRDefault="00613B06">
            <w:pPr>
              <w:pStyle w:val="P68B1DB1-Normal23"/>
              <w:spacing w:after="0"/>
              <w:jc w:val="center"/>
              <w:rPr>
                <w:rFonts w:eastAsia="Calibri" w:cs="Calibri"/>
                <w:noProof/>
              </w:rPr>
            </w:pPr>
            <w:r>
              <w:rPr>
                <w:noProof/>
              </w:rPr>
              <w:t>14.7</w:t>
            </w:r>
          </w:p>
        </w:tc>
        <w:tc>
          <w:tcPr>
            <w:tcW w:w="1760" w:type="dxa"/>
            <w:shd w:val="clear" w:color="auto" w:fill="C4EFCE"/>
            <w:vAlign w:val="center"/>
            <w:hideMark/>
          </w:tcPr>
          <w:p w14:paraId="5DC4FFD0" w14:textId="77777777" w:rsidR="00F24946" w:rsidRDefault="00613B06">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6996B48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98F423" w14:textId="77777777" w:rsidR="00F24946" w:rsidRDefault="00613B06">
            <w:pPr>
              <w:pStyle w:val="P68B1DB1-Normal23"/>
              <w:spacing w:after="0"/>
              <w:jc w:val="both"/>
              <w:rPr>
                <w:rFonts w:eastAsia="Calibri" w:cs="Calibri"/>
                <w:noProof/>
              </w:rPr>
            </w:pPr>
            <w:r>
              <w:rPr>
                <w:noProof/>
              </w:rPr>
              <w:t>Dodatna nameščena zmogljivost akumulatorskega sistema za shranjevanje</w:t>
            </w:r>
          </w:p>
        </w:tc>
      </w:tr>
      <w:tr w:rsidR="00F24946" w14:paraId="33AF3466" w14:textId="77777777">
        <w:trPr>
          <w:trHeight w:val="440"/>
        </w:trPr>
        <w:tc>
          <w:tcPr>
            <w:tcW w:w="1200" w:type="dxa"/>
            <w:shd w:val="clear" w:color="auto" w:fill="C4EFCE"/>
            <w:vAlign w:val="center"/>
            <w:hideMark/>
          </w:tcPr>
          <w:p w14:paraId="50DEBE76" w14:textId="77777777" w:rsidR="00F24946" w:rsidRDefault="00613B06">
            <w:pPr>
              <w:pStyle w:val="P68B1DB1-Normal23"/>
              <w:spacing w:after="0"/>
              <w:jc w:val="center"/>
              <w:rPr>
                <w:rFonts w:eastAsia="Calibri" w:cs="Calibri"/>
                <w:noProof/>
              </w:rPr>
            </w:pPr>
            <w:r>
              <w:rPr>
                <w:noProof/>
              </w:rPr>
              <w:t>15.5</w:t>
            </w:r>
          </w:p>
        </w:tc>
        <w:tc>
          <w:tcPr>
            <w:tcW w:w="1760" w:type="dxa"/>
            <w:shd w:val="clear" w:color="auto" w:fill="C4EFCE"/>
            <w:vAlign w:val="center"/>
            <w:hideMark/>
          </w:tcPr>
          <w:p w14:paraId="0C3D8592" w14:textId="77777777" w:rsidR="00F24946" w:rsidRDefault="00613B06">
            <w:pPr>
              <w:pStyle w:val="P68B1DB1-Normal23"/>
              <w:spacing w:after="0"/>
              <w:jc w:val="center"/>
              <w:rPr>
                <w:rFonts w:eastAsia="Calibri" w:cs="Calibri"/>
                <w:noProof/>
              </w:rPr>
            </w:pPr>
            <w:r>
              <w:rPr>
                <w:noProof/>
              </w:rPr>
              <w:t>TC-C15-i02</w:t>
            </w:r>
          </w:p>
        </w:tc>
        <w:tc>
          <w:tcPr>
            <w:tcW w:w="1520" w:type="dxa"/>
            <w:shd w:val="clear" w:color="auto" w:fill="C4EFCE"/>
            <w:vAlign w:val="center"/>
            <w:hideMark/>
          </w:tcPr>
          <w:p w14:paraId="2F39D734"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901C353" w14:textId="77777777" w:rsidR="00F24946" w:rsidRDefault="00613B06">
            <w:pPr>
              <w:pStyle w:val="P68B1DB1-Normal23"/>
              <w:spacing w:after="0"/>
              <w:jc w:val="both"/>
              <w:rPr>
                <w:rFonts w:eastAsia="Calibri" w:cs="Calibri"/>
                <w:noProof/>
              </w:rPr>
            </w:pPr>
            <w:r>
              <w:rPr>
                <w:noProof/>
              </w:rPr>
              <w:t>Poročilo o napredku pri širitvi omrežja podzemne železnice Porto</w:t>
            </w:r>
          </w:p>
        </w:tc>
      </w:tr>
      <w:tr w:rsidR="00F24946" w14:paraId="7CD1B8EB" w14:textId="77777777">
        <w:trPr>
          <w:trHeight w:val="440"/>
        </w:trPr>
        <w:tc>
          <w:tcPr>
            <w:tcW w:w="1200" w:type="dxa"/>
            <w:shd w:val="clear" w:color="auto" w:fill="C4EFCE"/>
            <w:vAlign w:val="center"/>
            <w:hideMark/>
          </w:tcPr>
          <w:p w14:paraId="637A0073" w14:textId="77777777" w:rsidR="00F24946" w:rsidRDefault="00613B06">
            <w:pPr>
              <w:pStyle w:val="P68B1DB1-Normal23"/>
              <w:spacing w:after="0"/>
              <w:jc w:val="center"/>
              <w:rPr>
                <w:rFonts w:eastAsia="Calibri" w:cs="Calibri"/>
                <w:noProof/>
              </w:rPr>
            </w:pPr>
            <w:r>
              <w:rPr>
                <w:noProof/>
              </w:rPr>
              <w:t>15.11</w:t>
            </w:r>
          </w:p>
        </w:tc>
        <w:tc>
          <w:tcPr>
            <w:tcW w:w="1760" w:type="dxa"/>
            <w:shd w:val="clear" w:color="auto" w:fill="C4EFCE"/>
            <w:vAlign w:val="center"/>
            <w:hideMark/>
          </w:tcPr>
          <w:p w14:paraId="5A701BFC" w14:textId="77777777" w:rsidR="00F24946" w:rsidRDefault="00613B06">
            <w:pPr>
              <w:pStyle w:val="P68B1DB1-Normal23"/>
              <w:spacing w:after="0"/>
              <w:jc w:val="center"/>
              <w:rPr>
                <w:rFonts w:eastAsia="Calibri" w:cs="Calibri"/>
                <w:noProof/>
              </w:rPr>
            </w:pPr>
            <w:r>
              <w:rPr>
                <w:noProof/>
              </w:rPr>
              <w:t>TC-C15-i04</w:t>
            </w:r>
          </w:p>
        </w:tc>
        <w:tc>
          <w:tcPr>
            <w:tcW w:w="1520" w:type="dxa"/>
            <w:shd w:val="clear" w:color="auto" w:fill="C4EFCE"/>
            <w:vAlign w:val="center"/>
            <w:hideMark/>
          </w:tcPr>
          <w:p w14:paraId="19EE7515"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0E54A2" w14:textId="77777777" w:rsidR="00F24946" w:rsidRDefault="00613B06">
            <w:pPr>
              <w:pStyle w:val="P68B1DB1-Normal23"/>
              <w:spacing w:after="0"/>
              <w:jc w:val="both"/>
              <w:rPr>
                <w:rFonts w:eastAsia="Calibri" w:cs="Calibri"/>
                <w:noProof/>
              </w:rPr>
            </w:pPr>
            <w:r>
              <w:rPr>
                <w:noProof/>
              </w:rPr>
              <w:t>Dokončana gradnja avtobusne proge za hitri tranzit med Praça do Império in Praça Albuquerque Mouzinho v Portu</w:t>
            </w:r>
          </w:p>
        </w:tc>
      </w:tr>
      <w:tr w:rsidR="00F24946" w14:paraId="2779212F" w14:textId="77777777">
        <w:trPr>
          <w:trHeight w:val="440"/>
        </w:trPr>
        <w:tc>
          <w:tcPr>
            <w:tcW w:w="1200" w:type="dxa"/>
            <w:shd w:val="clear" w:color="auto" w:fill="C4EFCE"/>
            <w:vAlign w:val="center"/>
            <w:hideMark/>
          </w:tcPr>
          <w:p w14:paraId="14B00922" w14:textId="77777777" w:rsidR="00F24946" w:rsidRDefault="00613B06">
            <w:pPr>
              <w:pStyle w:val="P68B1DB1-Normal23"/>
              <w:spacing w:after="0"/>
              <w:jc w:val="center"/>
              <w:rPr>
                <w:rFonts w:eastAsia="Calibri" w:cs="Calibri"/>
                <w:noProof/>
              </w:rPr>
            </w:pPr>
            <w:r>
              <w:rPr>
                <w:noProof/>
              </w:rPr>
              <w:t>15.15</w:t>
            </w:r>
          </w:p>
        </w:tc>
        <w:tc>
          <w:tcPr>
            <w:tcW w:w="1760" w:type="dxa"/>
            <w:shd w:val="clear" w:color="auto" w:fill="C4EFCE"/>
            <w:vAlign w:val="center"/>
            <w:hideMark/>
          </w:tcPr>
          <w:p w14:paraId="405B1745" w14:textId="77777777" w:rsidR="00F24946" w:rsidRDefault="00613B06">
            <w:pPr>
              <w:pStyle w:val="P68B1DB1-Normal23"/>
              <w:spacing w:after="0"/>
              <w:jc w:val="center"/>
              <w:rPr>
                <w:rFonts w:eastAsia="Calibri" w:cs="Calibri"/>
                <w:noProof/>
              </w:rPr>
            </w:pPr>
            <w:r>
              <w:rPr>
                <w:noProof/>
              </w:rPr>
              <w:t>TC-C15-i06</w:t>
            </w:r>
          </w:p>
        </w:tc>
        <w:tc>
          <w:tcPr>
            <w:tcW w:w="1520" w:type="dxa"/>
            <w:shd w:val="clear" w:color="auto" w:fill="C4EFCE"/>
            <w:vAlign w:val="center"/>
            <w:hideMark/>
          </w:tcPr>
          <w:p w14:paraId="01989B92"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94D9EC" w14:textId="77777777" w:rsidR="00F24946" w:rsidRDefault="00613B06">
            <w:pPr>
              <w:pStyle w:val="P68B1DB1-Normal23"/>
              <w:spacing w:after="0"/>
              <w:jc w:val="both"/>
              <w:rPr>
                <w:rFonts w:eastAsia="Calibri" w:cs="Calibri"/>
                <w:noProof/>
              </w:rPr>
            </w:pPr>
            <w:r>
              <w:rPr>
                <w:noProof/>
              </w:rPr>
              <w:t>Podpis pogodbe za sisteme elektronske signalizacije</w:t>
            </w:r>
          </w:p>
        </w:tc>
      </w:tr>
      <w:tr w:rsidR="00F24946" w14:paraId="56D38DB6" w14:textId="77777777">
        <w:trPr>
          <w:trHeight w:val="440"/>
        </w:trPr>
        <w:tc>
          <w:tcPr>
            <w:tcW w:w="1200" w:type="dxa"/>
            <w:shd w:val="clear" w:color="auto" w:fill="C4EFCE"/>
            <w:vAlign w:val="center"/>
            <w:hideMark/>
          </w:tcPr>
          <w:p w14:paraId="6CFABCF9" w14:textId="77777777" w:rsidR="00F24946" w:rsidRDefault="00613B06">
            <w:pPr>
              <w:pStyle w:val="P68B1DB1-Normal23"/>
              <w:spacing w:after="0"/>
              <w:jc w:val="center"/>
              <w:rPr>
                <w:rFonts w:eastAsia="Calibri" w:cs="Calibri"/>
                <w:noProof/>
              </w:rPr>
            </w:pPr>
            <w:r>
              <w:rPr>
                <w:noProof/>
              </w:rPr>
              <w:t>16.5</w:t>
            </w:r>
          </w:p>
        </w:tc>
        <w:tc>
          <w:tcPr>
            <w:tcW w:w="1760" w:type="dxa"/>
            <w:shd w:val="clear" w:color="auto" w:fill="C4EFCE"/>
            <w:vAlign w:val="center"/>
            <w:hideMark/>
          </w:tcPr>
          <w:p w14:paraId="6A307F6F" w14:textId="77777777" w:rsidR="00F24946" w:rsidRDefault="00613B06">
            <w:pPr>
              <w:pStyle w:val="P68B1DB1-Normal23"/>
              <w:spacing w:after="0"/>
              <w:jc w:val="center"/>
              <w:rPr>
                <w:rFonts w:eastAsia="Calibri" w:cs="Calibri"/>
                <w:noProof/>
              </w:rPr>
            </w:pPr>
            <w:r>
              <w:rPr>
                <w:noProof/>
              </w:rPr>
              <w:t>TD-C16-i02</w:t>
            </w:r>
          </w:p>
        </w:tc>
        <w:tc>
          <w:tcPr>
            <w:tcW w:w="1520" w:type="dxa"/>
            <w:shd w:val="clear" w:color="auto" w:fill="C4EFCE"/>
            <w:vAlign w:val="center"/>
            <w:hideMark/>
          </w:tcPr>
          <w:p w14:paraId="6195C394"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97CE114" w14:textId="77777777" w:rsidR="00F24946" w:rsidRDefault="00613B06">
            <w:pPr>
              <w:pStyle w:val="P68B1DB1-Normal23"/>
              <w:spacing w:after="0"/>
              <w:jc w:val="both"/>
              <w:rPr>
                <w:rFonts w:eastAsia="Calibri" w:cs="Calibri"/>
                <w:noProof/>
              </w:rPr>
            </w:pPr>
            <w:r>
              <w:rPr>
                <w:noProof/>
              </w:rPr>
              <w:t>MSP, ki jih podpirajo pospeševalci digitalne trgovine</w:t>
            </w:r>
          </w:p>
        </w:tc>
      </w:tr>
      <w:tr w:rsidR="00F24946" w14:paraId="56167A7A" w14:textId="77777777">
        <w:trPr>
          <w:trHeight w:val="440"/>
        </w:trPr>
        <w:tc>
          <w:tcPr>
            <w:tcW w:w="1200" w:type="dxa"/>
            <w:shd w:val="clear" w:color="auto" w:fill="C4EFCE"/>
            <w:vAlign w:val="center"/>
            <w:hideMark/>
          </w:tcPr>
          <w:p w14:paraId="0CF069F8" w14:textId="77777777" w:rsidR="00F24946" w:rsidRDefault="00613B06">
            <w:pPr>
              <w:pStyle w:val="P68B1DB1-Normal23"/>
              <w:spacing w:after="0"/>
              <w:jc w:val="center"/>
              <w:rPr>
                <w:rFonts w:eastAsia="Calibri" w:cs="Calibri"/>
                <w:noProof/>
              </w:rPr>
            </w:pPr>
            <w:r>
              <w:rPr>
                <w:noProof/>
              </w:rPr>
              <w:t>17.5</w:t>
            </w:r>
          </w:p>
        </w:tc>
        <w:tc>
          <w:tcPr>
            <w:tcW w:w="1760" w:type="dxa"/>
            <w:shd w:val="clear" w:color="auto" w:fill="C4EFCE"/>
            <w:vAlign w:val="center"/>
            <w:hideMark/>
          </w:tcPr>
          <w:p w14:paraId="7E1E0351" w14:textId="77777777" w:rsidR="00F24946" w:rsidRDefault="00613B06">
            <w:pPr>
              <w:pStyle w:val="P68B1DB1-Normal23"/>
              <w:spacing w:after="0"/>
              <w:jc w:val="center"/>
              <w:rPr>
                <w:rFonts w:eastAsia="Calibri" w:cs="Calibri"/>
                <w:noProof/>
              </w:rPr>
            </w:pPr>
            <w:r>
              <w:rPr>
                <w:noProof/>
              </w:rPr>
              <w:t>TD-C17-r32</w:t>
            </w:r>
          </w:p>
        </w:tc>
        <w:tc>
          <w:tcPr>
            <w:tcW w:w="1520" w:type="dxa"/>
            <w:shd w:val="clear" w:color="auto" w:fill="C4EFCE"/>
            <w:vAlign w:val="center"/>
            <w:hideMark/>
          </w:tcPr>
          <w:p w14:paraId="60722B6A"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6F87E6B" w14:textId="77777777" w:rsidR="00F24946" w:rsidRDefault="00613B06">
            <w:pPr>
              <w:pStyle w:val="P68B1DB1-Normal23"/>
              <w:spacing w:after="0"/>
              <w:jc w:val="both"/>
              <w:rPr>
                <w:rFonts w:eastAsia="Calibri" w:cs="Calibri"/>
                <w:noProof/>
              </w:rPr>
            </w:pPr>
            <w:r>
              <w:rPr>
                <w:noProof/>
              </w:rPr>
              <w:t>Izvajanje mehanizmov za vključitev pregledov porabe v redni proračunski postopek, vključno z naknadnim vrednotenjem prihrankov zaradi učinkovitosti</w:t>
            </w:r>
          </w:p>
        </w:tc>
      </w:tr>
      <w:tr w:rsidR="00F24946" w14:paraId="17788C3A" w14:textId="77777777">
        <w:trPr>
          <w:trHeight w:val="440"/>
        </w:trPr>
        <w:tc>
          <w:tcPr>
            <w:tcW w:w="1200" w:type="dxa"/>
            <w:shd w:val="clear" w:color="auto" w:fill="C4EFCE"/>
            <w:vAlign w:val="center"/>
            <w:hideMark/>
          </w:tcPr>
          <w:p w14:paraId="37658F95" w14:textId="77777777" w:rsidR="00F24946" w:rsidRDefault="00613B06">
            <w:pPr>
              <w:pStyle w:val="P68B1DB1-Normal23"/>
              <w:spacing w:after="0"/>
              <w:jc w:val="center"/>
              <w:rPr>
                <w:rFonts w:eastAsia="Calibri" w:cs="Calibri"/>
                <w:noProof/>
              </w:rPr>
            </w:pPr>
            <w:r>
              <w:rPr>
                <w:noProof/>
              </w:rPr>
              <w:t>17.10</w:t>
            </w:r>
          </w:p>
        </w:tc>
        <w:tc>
          <w:tcPr>
            <w:tcW w:w="1760" w:type="dxa"/>
            <w:shd w:val="clear" w:color="auto" w:fill="C4EFCE"/>
            <w:vAlign w:val="center"/>
            <w:hideMark/>
          </w:tcPr>
          <w:p w14:paraId="4E422B3C" w14:textId="77777777" w:rsidR="00F24946" w:rsidRDefault="00613B06">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5B816A0C"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ECE329E" w14:textId="77777777" w:rsidR="00F24946" w:rsidRDefault="00613B06">
            <w:pPr>
              <w:pStyle w:val="P68B1DB1-Normal23"/>
              <w:spacing w:after="0"/>
              <w:jc w:val="both"/>
              <w:rPr>
                <w:rFonts w:eastAsia="Calibri" w:cs="Calibri"/>
                <w:noProof/>
              </w:rPr>
            </w:pPr>
            <w:r>
              <w:rPr>
                <w:noProof/>
              </w:rPr>
              <w:t>Začetek delovanja informacijskega sistema za preoblikovanje in izvajanje proračunskega postopka, ki vključuje pripravo proračuna programa</w:t>
            </w:r>
          </w:p>
        </w:tc>
      </w:tr>
      <w:tr w:rsidR="00F24946" w14:paraId="7961C854" w14:textId="77777777">
        <w:trPr>
          <w:trHeight w:val="440"/>
        </w:trPr>
        <w:tc>
          <w:tcPr>
            <w:tcW w:w="1200" w:type="dxa"/>
            <w:shd w:val="clear" w:color="auto" w:fill="C4EFCE"/>
            <w:vAlign w:val="center"/>
            <w:hideMark/>
          </w:tcPr>
          <w:p w14:paraId="06A842B9" w14:textId="77777777" w:rsidR="00F24946" w:rsidRDefault="00613B06">
            <w:pPr>
              <w:pStyle w:val="P68B1DB1-Normal23"/>
              <w:spacing w:after="0"/>
              <w:jc w:val="center"/>
              <w:rPr>
                <w:rFonts w:eastAsia="Calibri" w:cs="Calibri"/>
                <w:noProof/>
              </w:rPr>
            </w:pPr>
            <w:r>
              <w:rPr>
                <w:noProof/>
              </w:rPr>
              <w:t>17.12</w:t>
            </w:r>
          </w:p>
        </w:tc>
        <w:tc>
          <w:tcPr>
            <w:tcW w:w="1760" w:type="dxa"/>
            <w:shd w:val="clear" w:color="auto" w:fill="C4EFCE"/>
            <w:vAlign w:val="center"/>
            <w:hideMark/>
          </w:tcPr>
          <w:p w14:paraId="001468C9" w14:textId="77777777" w:rsidR="00F24946" w:rsidRDefault="00613B06">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2A0495A0"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CECF438" w14:textId="77777777" w:rsidR="00F24946" w:rsidRDefault="00613B06">
            <w:pPr>
              <w:pStyle w:val="P68B1DB1-Normal23"/>
              <w:spacing w:after="0"/>
              <w:jc w:val="both"/>
              <w:rPr>
                <w:rFonts w:eastAsia="Calibri" w:cs="Calibri"/>
                <w:noProof/>
              </w:rPr>
            </w:pPr>
            <w:r>
              <w:rPr>
                <w:noProof/>
              </w:rPr>
              <w:t>Dokončati posodobitev in poenostavitev informacijskih sistemov osrednjega nacionalnega sistema javnih naročil</w:t>
            </w:r>
          </w:p>
        </w:tc>
      </w:tr>
      <w:tr w:rsidR="00F24946" w14:paraId="3B8303FF" w14:textId="77777777">
        <w:trPr>
          <w:trHeight w:val="440"/>
        </w:trPr>
        <w:tc>
          <w:tcPr>
            <w:tcW w:w="1200" w:type="dxa"/>
            <w:shd w:val="clear" w:color="auto" w:fill="C4EFCE"/>
            <w:vAlign w:val="center"/>
            <w:hideMark/>
          </w:tcPr>
          <w:p w14:paraId="374F435D" w14:textId="77777777" w:rsidR="00F24946" w:rsidRDefault="00613B06">
            <w:pPr>
              <w:pStyle w:val="P68B1DB1-Normal23"/>
              <w:spacing w:after="0"/>
              <w:jc w:val="center"/>
              <w:rPr>
                <w:rFonts w:eastAsia="Calibri" w:cs="Calibri"/>
                <w:noProof/>
              </w:rPr>
            </w:pPr>
            <w:r>
              <w:rPr>
                <w:noProof/>
              </w:rPr>
              <w:t>19.14</w:t>
            </w:r>
          </w:p>
        </w:tc>
        <w:tc>
          <w:tcPr>
            <w:tcW w:w="1760" w:type="dxa"/>
            <w:shd w:val="clear" w:color="auto" w:fill="C4EFCE"/>
            <w:vAlign w:val="center"/>
            <w:hideMark/>
          </w:tcPr>
          <w:p w14:paraId="76D82292" w14:textId="77777777" w:rsidR="00F24946" w:rsidRDefault="00613B06">
            <w:pPr>
              <w:pStyle w:val="P68B1DB1-Normal23"/>
              <w:spacing w:after="0"/>
              <w:jc w:val="center"/>
              <w:rPr>
                <w:rFonts w:eastAsia="Calibri" w:cs="Calibri"/>
                <w:noProof/>
              </w:rPr>
            </w:pPr>
            <w:r>
              <w:rPr>
                <w:noProof/>
              </w:rPr>
              <w:t>TD-C19-i04</w:t>
            </w:r>
          </w:p>
        </w:tc>
        <w:tc>
          <w:tcPr>
            <w:tcW w:w="1520" w:type="dxa"/>
            <w:shd w:val="clear" w:color="auto" w:fill="C4EFCE"/>
            <w:vAlign w:val="center"/>
            <w:hideMark/>
          </w:tcPr>
          <w:p w14:paraId="5CB3286F"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0230BA8" w14:textId="77777777" w:rsidR="00F24946" w:rsidRDefault="00613B06">
            <w:pPr>
              <w:pStyle w:val="P68B1DB1-Normal23"/>
              <w:spacing w:after="0"/>
              <w:jc w:val="both"/>
              <w:rPr>
                <w:rFonts w:eastAsia="Calibri" w:cs="Calibri"/>
                <w:noProof/>
              </w:rPr>
            </w:pPr>
            <w:r>
              <w:rPr>
                <w:noProof/>
              </w:rPr>
              <w:t>Nadgradnja informacijskega sistema varnostnih sil in služb</w:t>
            </w:r>
          </w:p>
        </w:tc>
      </w:tr>
      <w:tr w:rsidR="00F24946" w14:paraId="388D9F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C3D30EB" w14:textId="77777777" w:rsidR="00F24946" w:rsidRDefault="00613B06">
            <w:pPr>
              <w:pStyle w:val="P68B1DB1-Normal23"/>
              <w:spacing w:after="0"/>
              <w:jc w:val="center"/>
              <w:rPr>
                <w:rFonts w:eastAsia="Calibri" w:cs="Calibri"/>
                <w:noProof/>
              </w:rPr>
            </w:pPr>
            <w:r>
              <w:rPr>
                <w:noProof/>
              </w:rPr>
              <w:t>19.25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28A74B2" w14:textId="77777777" w:rsidR="00F24946" w:rsidRDefault="00613B06">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4ABBBE3" w14:textId="77777777" w:rsidR="00F24946" w:rsidRDefault="00613B06">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B53CA88" w14:textId="79A90FE7" w:rsidR="00F24946" w:rsidRDefault="00613B06">
            <w:pPr>
              <w:pStyle w:val="P68B1DB1-Normal23"/>
              <w:spacing w:after="0"/>
              <w:jc w:val="both"/>
              <w:rPr>
                <w:rFonts w:eastAsia="Calibri" w:cs="Calibri"/>
                <w:noProof/>
              </w:rPr>
            </w:pPr>
            <w:r>
              <w:rPr>
                <w:noProof/>
              </w:rPr>
              <w:t>Podpis protocomsov za vzpostavitev novih državljanskih trgovin in prostorov za državljane</w:t>
            </w:r>
          </w:p>
        </w:tc>
      </w:tr>
      <w:tr w:rsidR="00F24946" w14:paraId="355D6EE4" w14:textId="77777777">
        <w:trPr>
          <w:trHeight w:val="440"/>
        </w:trPr>
        <w:tc>
          <w:tcPr>
            <w:tcW w:w="1200" w:type="dxa"/>
            <w:shd w:val="clear" w:color="auto" w:fill="C4EFCE"/>
            <w:vAlign w:val="center"/>
            <w:hideMark/>
          </w:tcPr>
          <w:p w14:paraId="2C38072A" w14:textId="77777777" w:rsidR="00F24946" w:rsidRDefault="00613B06">
            <w:pPr>
              <w:pStyle w:val="P68B1DB1-Normal23"/>
              <w:spacing w:after="0"/>
              <w:jc w:val="center"/>
              <w:rPr>
                <w:rFonts w:eastAsia="Calibri" w:cs="Calibri"/>
                <w:noProof/>
              </w:rPr>
            </w:pPr>
            <w:r>
              <w:rPr>
                <w:noProof/>
              </w:rPr>
              <w:t>19.28</w:t>
            </w:r>
          </w:p>
        </w:tc>
        <w:tc>
          <w:tcPr>
            <w:tcW w:w="1760" w:type="dxa"/>
            <w:shd w:val="clear" w:color="auto" w:fill="C4EFCE"/>
            <w:vAlign w:val="center"/>
            <w:hideMark/>
          </w:tcPr>
          <w:p w14:paraId="7C77969E" w14:textId="77777777" w:rsidR="00F24946" w:rsidRDefault="00613B06">
            <w:pPr>
              <w:pStyle w:val="P68B1DB1-Normal23"/>
              <w:spacing w:after="0"/>
              <w:jc w:val="center"/>
              <w:rPr>
                <w:rFonts w:eastAsia="Calibri" w:cs="Calibri"/>
                <w:noProof/>
              </w:rPr>
            </w:pPr>
            <w:r>
              <w:rPr>
                <w:noProof/>
              </w:rPr>
              <w:t>TD-C19-i05-RAM</w:t>
            </w:r>
          </w:p>
        </w:tc>
        <w:tc>
          <w:tcPr>
            <w:tcW w:w="1520" w:type="dxa"/>
            <w:shd w:val="clear" w:color="auto" w:fill="C4EFCE"/>
            <w:vAlign w:val="center"/>
            <w:hideMark/>
          </w:tcPr>
          <w:p w14:paraId="12DA2CBA"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F2A2D3" w14:textId="77777777" w:rsidR="00F24946" w:rsidRDefault="00613B06">
            <w:pPr>
              <w:pStyle w:val="P68B1DB1-Normal23"/>
              <w:spacing w:after="0"/>
              <w:jc w:val="both"/>
              <w:rPr>
                <w:rFonts w:eastAsia="Calibri" w:cs="Calibri"/>
                <w:noProof/>
              </w:rPr>
            </w:pPr>
            <w:r>
              <w:rPr>
                <w:noProof/>
              </w:rPr>
              <w:t>Funkcionalni prototip za centralizirano rešitev za upravljanje podatkov</w:t>
            </w:r>
          </w:p>
        </w:tc>
      </w:tr>
      <w:tr w:rsidR="00F24946" w14:paraId="0C5EE933" w14:textId="77777777">
        <w:trPr>
          <w:trHeight w:val="440"/>
        </w:trPr>
        <w:tc>
          <w:tcPr>
            <w:tcW w:w="1200" w:type="dxa"/>
            <w:shd w:val="clear" w:color="auto" w:fill="C4EFCE"/>
            <w:vAlign w:val="center"/>
            <w:hideMark/>
          </w:tcPr>
          <w:p w14:paraId="5C73EC6E" w14:textId="77777777" w:rsidR="00F24946" w:rsidRDefault="00613B06">
            <w:pPr>
              <w:pStyle w:val="P68B1DB1-Normal23"/>
              <w:spacing w:after="0"/>
              <w:jc w:val="center"/>
              <w:rPr>
                <w:rFonts w:eastAsia="Calibri" w:cs="Calibri"/>
                <w:noProof/>
              </w:rPr>
            </w:pPr>
            <w:r>
              <w:rPr>
                <w:noProof/>
              </w:rPr>
              <w:t>20.4</w:t>
            </w:r>
          </w:p>
        </w:tc>
        <w:tc>
          <w:tcPr>
            <w:tcW w:w="1760" w:type="dxa"/>
            <w:shd w:val="clear" w:color="auto" w:fill="C4EFCE"/>
            <w:vAlign w:val="center"/>
            <w:hideMark/>
          </w:tcPr>
          <w:p w14:paraId="66421C5D" w14:textId="77777777" w:rsidR="00F24946" w:rsidRDefault="00613B06">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114704E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943269" w14:textId="77777777" w:rsidR="00F24946" w:rsidRDefault="00613B06">
            <w:pPr>
              <w:pStyle w:val="P68B1DB1-Normal23"/>
              <w:spacing w:after="0"/>
              <w:jc w:val="both"/>
              <w:rPr>
                <w:rFonts w:eastAsia="Calibri" w:cs="Calibri"/>
                <w:noProof/>
              </w:rPr>
            </w:pPr>
            <w:r>
              <w:rPr>
                <w:noProof/>
              </w:rPr>
              <w:t>Nadgradnja povezljivosti osnovnih in srednjih šol</w:t>
            </w:r>
          </w:p>
        </w:tc>
      </w:tr>
      <w:tr w:rsidR="00F24946" w14:paraId="71AD5736" w14:textId="77777777">
        <w:trPr>
          <w:trHeight w:val="440"/>
        </w:trPr>
        <w:tc>
          <w:tcPr>
            <w:tcW w:w="1200" w:type="dxa"/>
            <w:shd w:val="clear" w:color="auto" w:fill="C4EFCE"/>
            <w:vAlign w:val="center"/>
            <w:hideMark/>
          </w:tcPr>
          <w:p w14:paraId="3024F12A" w14:textId="77777777" w:rsidR="00F24946" w:rsidRDefault="00613B06">
            <w:pPr>
              <w:pStyle w:val="P68B1DB1-Normal23"/>
              <w:spacing w:after="0"/>
              <w:jc w:val="center"/>
              <w:rPr>
                <w:rFonts w:eastAsia="Calibri" w:cs="Calibri"/>
                <w:noProof/>
              </w:rPr>
            </w:pPr>
            <w:r>
              <w:rPr>
                <w:noProof/>
              </w:rPr>
              <w:t>20.5</w:t>
            </w:r>
          </w:p>
        </w:tc>
        <w:tc>
          <w:tcPr>
            <w:tcW w:w="1760" w:type="dxa"/>
            <w:shd w:val="clear" w:color="auto" w:fill="C4EFCE"/>
            <w:vAlign w:val="center"/>
            <w:hideMark/>
          </w:tcPr>
          <w:p w14:paraId="1444B579" w14:textId="77777777" w:rsidR="00F24946" w:rsidRDefault="00613B06">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2AF294F0"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7487495" w14:textId="77777777" w:rsidR="00F24946" w:rsidRDefault="00613B06">
            <w:pPr>
              <w:pStyle w:val="P68B1DB1-Normal23"/>
              <w:spacing w:after="0"/>
              <w:jc w:val="both"/>
              <w:rPr>
                <w:rFonts w:eastAsia="Calibri" w:cs="Calibri"/>
                <w:noProof/>
              </w:rPr>
            </w:pPr>
            <w:r>
              <w:rPr>
                <w:noProof/>
              </w:rPr>
              <w:t>Nameščeni laboratoriji za digitalno izobraževanje</w:t>
            </w:r>
          </w:p>
        </w:tc>
      </w:tr>
      <w:tr w:rsidR="00F24946" w14:paraId="5D89430C" w14:textId="77777777">
        <w:trPr>
          <w:trHeight w:val="440"/>
        </w:trPr>
        <w:tc>
          <w:tcPr>
            <w:tcW w:w="1200" w:type="dxa"/>
            <w:shd w:val="clear" w:color="auto" w:fill="C4EFCE"/>
            <w:vAlign w:val="center"/>
            <w:hideMark/>
          </w:tcPr>
          <w:p w14:paraId="21F79FB7" w14:textId="77777777" w:rsidR="00F24946" w:rsidRDefault="00613B06">
            <w:pPr>
              <w:pStyle w:val="P68B1DB1-Normal23"/>
              <w:spacing w:after="0"/>
              <w:jc w:val="center"/>
              <w:rPr>
                <w:rFonts w:eastAsia="Calibri" w:cs="Calibri"/>
                <w:noProof/>
              </w:rPr>
            </w:pPr>
            <w:r>
              <w:rPr>
                <w:noProof/>
              </w:rPr>
              <w:t>20.7</w:t>
            </w:r>
          </w:p>
        </w:tc>
        <w:tc>
          <w:tcPr>
            <w:tcW w:w="1760" w:type="dxa"/>
            <w:shd w:val="clear" w:color="auto" w:fill="C4EFCE"/>
            <w:vAlign w:val="center"/>
            <w:hideMark/>
          </w:tcPr>
          <w:p w14:paraId="33B6F4F1" w14:textId="77777777" w:rsidR="00F24946" w:rsidRDefault="00613B06">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0CDF83A4"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C9E5FE" w14:textId="77777777" w:rsidR="00F24946" w:rsidRDefault="00613B06">
            <w:pPr>
              <w:pStyle w:val="P68B1DB1-Normal23"/>
              <w:spacing w:after="0"/>
              <w:jc w:val="both"/>
              <w:rPr>
                <w:rFonts w:eastAsia="Calibri" w:cs="Calibri"/>
                <w:noProof/>
              </w:rPr>
            </w:pPr>
            <w:r>
              <w:rPr>
                <w:noProof/>
              </w:rPr>
              <w:t>Krepitev vloge vodstva šol</w:t>
            </w:r>
          </w:p>
        </w:tc>
      </w:tr>
      <w:tr w:rsidR="00F24946" w14:paraId="095F7BC5" w14:textId="77777777">
        <w:trPr>
          <w:trHeight w:val="440"/>
        </w:trPr>
        <w:tc>
          <w:tcPr>
            <w:tcW w:w="1200" w:type="dxa"/>
            <w:shd w:val="clear" w:color="auto" w:fill="C4EFCE"/>
            <w:vAlign w:val="center"/>
            <w:hideMark/>
          </w:tcPr>
          <w:p w14:paraId="75DE1446" w14:textId="77777777" w:rsidR="00F24946" w:rsidRDefault="00613B06">
            <w:pPr>
              <w:pStyle w:val="P68B1DB1-Normal23"/>
              <w:spacing w:after="0"/>
              <w:jc w:val="center"/>
              <w:rPr>
                <w:rFonts w:eastAsia="Calibri" w:cs="Calibri"/>
                <w:noProof/>
              </w:rPr>
            </w:pPr>
            <w:r>
              <w:rPr>
                <w:noProof/>
              </w:rPr>
              <w:t>20.15</w:t>
            </w:r>
          </w:p>
        </w:tc>
        <w:tc>
          <w:tcPr>
            <w:tcW w:w="1760" w:type="dxa"/>
            <w:shd w:val="clear" w:color="auto" w:fill="C4EFCE"/>
            <w:vAlign w:val="center"/>
            <w:hideMark/>
          </w:tcPr>
          <w:p w14:paraId="63BCB75D" w14:textId="77777777" w:rsidR="00F24946" w:rsidRDefault="00613B06">
            <w:pPr>
              <w:pStyle w:val="P68B1DB1-Normal23"/>
              <w:spacing w:after="0"/>
              <w:jc w:val="center"/>
              <w:rPr>
                <w:rFonts w:eastAsia="Calibri" w:cs="Calibri"/>
                <w:noProof/>
              </w:rPr>
            </w:pPr>
            <w:r>
              <w:rPr>
                <w:noProof/>
              </w:rPr>
              <w:t>TD-C20-i03-RAM</w:t>
            </w:r>
          </w:p>
        </w:tc>
        <w:tc>
          <w:tcPr>
            <w:tcW w:w="1520" w:type="dxa"/>
            <w:shd w:val="clear" w:color="auto" w:fill="C4EFCE"/>
            <w:vAlign w:val="center"/>
            <w:hideMark/>
          </w:tcPr>
          <w:p w14:paraId="59D36764"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E3243CB" w14:textId="77777777" w:rsidR="00F24946" w:rsidRDefault="00613B06">
            <w:pPr>
              <w:pStyle w:val="P68B1DB1-Normal23"/>
              <w:spacing w:after="0"/>
              <w:jc w:val="both"/>
              <w:rPr>
                <w:rFonts w:eastAsia="Calibri" w:cs="Calibri"/>
                <w:noProof/>
              </w:rPr>
            </w:pPr>
            <w:r>
              <w:rPr>
                <w:noProof/>
              </w:rPr>
              <w:t>Povezava šol v ARM</w:t>
            </w:r>
          </w:p>
        </w:tc>
      </w:tr>
      <w:tr w:rsidR="00F24946" w14:paraId="66DB9AD9" w14:textId="77777777">
        <w:trPr>
          <w:trHeight w:val="440"/>
        </w:trPr>
        <w:tc>
          <w:tcPr>
            <w:tcW w:w="1200" w:type="dxa"/>
            <w:shd w:val="clear" w:color="auto" w:fill="C4EFCE"/>
            <w:vAlign w:val="center"/>
            <w:hideMark/>
          </w:tcPr>
          <w:p w14:paraId="2F1BF0CF" w14:textId="77777777" w:rsidR="00F24946" w:rsidRDefault="00613B06">
            <w:pPr>
              <w:pStyle w:val="P68B1DB1-Normal23"/>
              <w:spacing w:after="0"/>
              <w:jc w:val="center"/>
              <w:rPr>
                <w:rFonts w:eastAsia="Calibri" w:cs="Calibri"/>
                <w:noProof/>
              </w:rPr>
            </w:pPr>
            <w:r>
              <w:rPr>
                <w:noProof/>
              </w:rPr>
              <w:t>21.10</w:t>
            </w:r>
          </w:p>
        </w:tc>
        <w:tc>
          <w:tcPr>
            <w:tcW w:w="1760" w:type="dxa"/>
            <w:shd w:val="clear" w:color="auto" w:fill="C4EFCE"/>
            <w:vAlign w:val="center"/>
            <w:hideMark/>
          </w:tcPr>
          <w:p w14:paraId="5DF21089" w14:textId="77777777" w:rsidR="00F24946" w:rsidRDefault="00613B06">
            <w:pPr>
              <w:pStyle w:val="P68B1DB1-Normal23"/>
              <w:spacing w:after="0"/>
              <w:jc w:val="center"/>
              <w:rPr>
                <w:rFonts w:eastAsia="Calibri" w:cs="Calibri"/>
                <w:noProof/>
              </w:rPr>
            </w:pPr>
            <w:r>
              <w:rPr>
                <w:noProof/>
              </w:rPr>
              <w:t>RP-C21-r44</w:t>
            </w:r>
          </w:p>
        </w:tc>
        <w:tc>
          <w:tcPr>
            <w:tcW w:w="1520" w:type="dxa"/>
            <w:shd w:val="clear" w:color="auto" w:fill="C4EFCE"/>
            <w:vAlign w:val="center"/>
            <w:hideMark/>
          </w:tcPr>
          <w:p w14:paraId="2A7141B8"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F3038A" w14:textId="77777777" w:rsidR="00F24946" w:rsidRDefault="00613B06">
            <w:pPr>
              <w:pStyle w:val="P68B1DB1-Normal23"/>
              <w:spacing w:after="0"/>
              <w:jc w:val="both"/>
              <w:rPr>
                <w:rFonts w:eastAsia="Calibri" w:cs="Calibri"/>
                <w:noProof/>
              </w:rPr>
            </w:pPr>
            <w:r>
              <w:rPr>
                <w:noProof/>
              </w:rPr>
              <w:t>Ukrepi za krepitev zmogljivosti</w:t>
            </w:r>
          </w:p>
        </w:tc>
      </w:tr>
      <w:tr w:rsidR="00F24946" w14:paraId="17B29DAC" w14:textId="77777777">
        <w:trPr>
          <w:trHeight w:val="440"/>
        </w:trPr>
        <w:tc>
          <w:tcPr>
            <w:tcW w:w="1200" w:type="dxa"/>
            <w:shd w:val="clear" w:color="auto" w:fill="C4EFCE"/>
            <w:vAlign w:val="center"/>
            <w:hideMark/>
          </w:tcPr>
          <w:p w14:paraId="11D06F3F" w14:textId="77777777" w:rsidR="00F24946" w:rsidRDefault="00613B06">
            <w:pPr>
              <w:pStyle w:val="P68B1DB1-Normal23"/>
              <w:spacing w:after="0"/>
              <w:jc w:val="center"/>
              <w:rPr>
                <w:rFonts w:eastAsia="Calibri" w:cs="Calibri"/>
                <w:noProof/>
              </w:rPr>
            </w:pPr>
            <w:r>
              <w:rPr>
                <w:noProof/>
              </w:rPr>
              <w:t>21.14</w:t>
            </w:r>
          </w:p>
        </w:tc>
        <w:tc>
          <w:tcPr>
            <w:tcW w:w="1760" w:type="dxa"/>
            <w:shd w:val="clear" w:color="auto" w:fill="C4EFCE"/>
            <w:vAlign w:val="center"/>
            <w:hideMark/>
          </w:tcPr>
          <w:p w14:paraId="04487365" w14:textId="1CEA46B2" w:rsidR="00F24946" w:rsidRDefault="00613B06">
            <w:pPr>
              <w:pStyle w:val="P68B1DB1-Normal23"/>
              <w:spacing w:after="0"/>
              <w:jc w:val="center"/>
              <w:rPr>
                <w:rFonts w:eastAsia="Calibri" w:cs="Calibri"/>
                <w:noProof/>
              </w:rPr>
            </w:pPr>
            <w:r>
              <w:rPr>
                <w:noProof/>
              </w:rPr>
              <w:t>RP-C21-r45</w:t>
            </w:r>
          </w:p>
        </w:tc>
        <w:tc>
          <w:tcPr>
            <w:tcW w:w="1520" w:type="dxa"/>
            <w:shd w:val="clear" w:color="auto" w:fill="C4EFCE"/>
            <w:vAlign w:val="center"/>
            <w:hideMark/>
          </w:tcPr>
          <w:p w14:paraId="6A7FA34F"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DA901B0" w14:textId="77777777" w:rsidR="00F24946" w:rsidRDefault="00613B06">
            <w:pPr>
              <w:pStyle w:val="P68B1DB1-Normal23"/>
              <w:spacing w:after="0"/>
              <w:jc w:val="both"/>
              <w:rPr>
                <w:rFonts w:eastAsia="Calibri" w:cs="Calibri"/>
                <w:noProof/>
              </w:rPr>
            </w:pPr>
            <w:r>
              <w:rPr>
                <w:noProof/>
              </w:rPr>
              <w:t>Ukrepi za usposabljanje na področju zelenih znanj in spretnosti</w:t>
            </w:r>
          </w:p>
        </w:tc>
      </w:tr>
      <w:tr w:rsidR="00F24946" w14:paraId="7B6DBAA0" w14:textId="77777777">
        <w:trPr>
          <w:trHeight w:val="440"/>
        </w:trPr>
        <w:tc>
          <w:tcPr>
            <w:tcW w:w="1200" w:type="dxa"/>
            <w:shd w:val="clear" w:color="auto" w:fill="C4EFCE"/>
            <w:vAlign w:val="center"/>
            <w:hideMark/>
          </w:tcPr>
          <w:p w14:paraId="3A579611" w14:textId="77777777" w:rsidR="00F24946" w:rsidRDefault="00613B06">
            <w:pPr>
              <w:pStyle w:val="P68B1DB1-Normal23"/>
              <w:spacing w:after="0"/>
              <w:jc w:val="center"/>
              <w:rPr>
                <w:rFonts w:eastAsia="Calibri" w:cs="Calibri"/>
                <w:noProof/>
              </w:rPr>
            </w:pPr>
            <w:r>
              <w:rPr>
                <w:noProof/>
              </w:rPr>
              <w:t>21.30</w:t>
            </w:r>
          </w:p>
        </w:tc>
        <w:tc>
          <w:tcPr>
            <w:tcW w:w="1760" w:type="dxa"/>
            <w:shd w:val="clear" w:color="auto" w:fill="C4EFCE"/>
            <w:vAlign w:val="center"/>
            <w:hideMark/>
          </w:tcPr>
          <w:p w14:paraId="4D24E80F" w14:textId="66AD4A61" w:rsidR="00F24946" w:rsidRDefault="00613B06">
            <w:pPr>
              <w:pStyle w:val="P68B1DB1-Normal23"/>
              <w:spacing w:after="0"/>
              <w:jc w:val="center"/>
              <w:rPr>
                <w:rFonts w:eastAsia="Calibri" w:cs="Calibri"/>
                <w:noProof/>
              </w:rPr>
            </w:pPr>
            <w:r>
              <w:rPr>
                <w:noProof/>
              </w:rPr>
              <w:t>RP-C21-i9</w:t>
            </w:r>
          </w:p>
        </w:tc>
        <w:tc>
          <w:tcPr>
            <w:tcW w:w="1520" w:type="dxa"/>
            <w:shd w:val="clear" w:color="auto" w:fill="C4EFCE"/>
            <w:vAlign w:val="center"/>
            <w:hideMark/>
          </w:tcPr>
          <w:p w14:paraId="1BE77825"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9F8DE1D" w14:textId="77777777" w:rsidR="00F24946" w:rsidRDefault="00613B06">
            <w:pPr>
              <w:pStyle w:val="P68B1DB1-Normal23"/>
              <w:spacing w:after="0"/>
              <w:jc w:val="both"/>
              <w:rPr>
                <w:rFonts w:eastAsia="Calibri" w:cs="Calibri"/>
                <w:noProof/>
              </w:rPr>
            </w:pPr>
            <w:r>
              <w:rPr>
                <w:noProof/>
              </w:rPr>
              <w:t>Začetek delovanja modulov prve faze digitalne platforme „vse na enem mestu“ za izdajanje dovoljenj in spremljanje projektov na področju energije iz obnovljivih virov</w:t>
            </w:r>
          </w:p>
        </w:tc>
      </w:tr>
      <w:tr w:rsidR="00F24946" w14:paraId="7AEA5439" w14:textId="77777777">
        <w:trPr>
          <w:trHeight w:val="440"/>
        </w:trPr>
        <w:tc>
          <w:tcPr>
            <w:tcW w:w="1200" w:type="dxa"/>
            <w:shd w:val="clear" w:color="auto" w:fill="C4EFCE"/>
            <w:vAlign w:val="center"/>
            <w:hideMark/>
          </w:tcPr>
          <w:p w14:paraId="3B9D7FE4" w14:textId="77777777" w:rsidR="00F24946" w:rsidRDefault="00613B06">
            <w:pPr>
              <w:pStyle w:val="P68B1DB1-Normal23"/>
              <w:spacing w:after="0"/>
              <w:jc w:val="center"/>
              <w:rPr>
                <w:rFonts w:eastAsia="Calibri" w:cs="Calibri"/>
                <w:noProof/>
              </w:rPr>
            </w:pPr>
            <w:r>
              <w:rPr>
                <w:noProof/>
              </w:rPr>
              <w:t>21.38</w:t>
            </w:r>
          </w:p>
        </w:tc>
        <w:tc>
          <w:tcPr>
            <w:tcW w:w="1760" w:type="dxa"/>
            <w:shd w:val="clear" w:color="auto" w:fill="C4EFCE"/>
            <w:vAlign w:val="center"/>
            <w:hideMark/>
          </w:tcPr>
          <w:p w14:paraId="244019BC" w14:textId="436D4207" w:rsidR="00F24946" w:rsidRDefault="00613B06">
            <w:pPr>
              <w:pStyle w:val="P68B1DB1-Normal23"/>
              <w:spacing w:after="0"/>
              <w:jc w:val="center"/>
              <w:rPr>
                <w:rFonts w:eastAsia="Calibri" w:cs="Calibri"/>
                <w:noProof/>
              </w:rPr>
            </w:pPr>
            <w:r>
              <w:rPr>
                <w:noProof/>
              </w:rPr>
              <w:t>RP-C21-i14</w:t>
            </w:r>
          </w:p>
        </w:tc>
        <w:tc>
          <w:tcPr>
            <w:tcW w:w="1520" w:type="dxa"/>
            <w:shd w:val="clear" w:color="auto" w:fill="C4EFCE"/>
            <w:vAlign w:val="center"/>
            <w:hideMark/>
          </w:tcPr>
          <w:p w14:paraId="4A27F4D9"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9E90178" w14:textId="77777777" w:rsidR="00F24946" w:rsidRDefault="00613B06">
            <w:pPr>
              <w:pStyle w:val="P68B1DB1-Normal23"/>
              <w:spacing w:after="0"/>
              <w:jc w:val="both"/>
              <w:rPr>
                <w:rFonts w:eastAsia="Calibri" w:cs="Calibri"/>
                <w:noProof/>
              </w:rPr>
            </w:pPr>
            <w:r>
              <w:rPr>
                <w:noProof/>
              </w:rPr>
              <w:t>Podpis pogodbe za izgradnjo dveh linij hitrega prehoda Bus Rapid Transit v Bragi</w:t>
            </w:r>
          </w:p>
        </w:tc>
      </w:tr>
      <w:tr w:rsidR="00F24946" w14:paraId="385E0783" w14:textId="77777777">
        <w:trPr>
          <w:trHeight w:val="440"/>
        </w:trPr>
        <w:tc>
          <w:tcPr>
            <w:tcW w:w="1200" w:type="dxa"/>
            <w:shd w:val="clear" w:color="auto" w:fill="C4EFCE"/>
            <w:vAlign w:val="center"/>
            <w:hideMark/>
          </w:tcPr>
          <w:p w14:paraId="0AAE03D3" w14:textId="77777777" w:rsidR="00F24946" w:rsidRDefault="00613B06">
            <w:pPr>
              <w:pStyle w:val="P68B1DB1-Normal23"/>
              <w:spacing w:after="0"/>
              <w:jc w:val="center"/>
              <w:rPr>
                <w:rFonts w:eastAsia="Calibri" w:cs="Calibri"/>
                <w:noProof/>
              </w:rPr>
            </w:pPr>
            <w:r>
              <w:rPr>
                <w:noProof/>
              </w:rPr>
              <w:t>21.42</w:t>
            </w:r>
          </w:p>
        </w:tc>
        <w:tc>
          <w:tcPr>
            <w:tcW w:w="1760" w:type="dxa"/>
            <w:shd w:val="clear" w:color="auto" w:fill="C4EFCE"/>
            <w:vAlign w:val="center"/>
            <w:hideMark/>
          </w:tcPr>
          <w:p w14:paraId="50D56588" w14:textId="707B6BFA" w:rsidR="00F24946" w:rsidRDefault="00613B06">
            <w:pPr>
              <w:pStyle w:val="P68B1DB1-Normal23"/>
              <w:spacing w:after="0"/>
              <w:jc w:val="center"/>
              <w:rPr>
                <w:rFonts w:eastAsia="Calibri" w:cs="Calibri"/>
                <w:noProof/>
              </w:rPr>
            </w:pPr>
            <w:r>
              <w:rPr>
                <w:noProof/>
              </w:rPr>
              <w:t>RP-C21-i16</w:t>
            </w:r>
          </w:p>
        </w:tc>
        <w:tc>
          <w:tcPr>
            <w:tcW w:w="1520" w:type="dxa"/>
            <w:shd w:val="clear" w:color="auto" w:fill="C4EFCE"/>
            <w:vAlign w:val="center"/>
          </w:tcPr>
          <w:p w14:paraId="25A4EEDF"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tcPr>
          <w:p w14:paraId="436C9A08" w14:textId="77777777" w:rsidR="00F24946" w:rsidRDefault="00613B06">
            <w:pPr>
              <w:pStyle w:val="P68B1DB1-Normal23"/>
              <w:spacing w:after="0" w:line="240" w:lineRule="auto"/>
              <w:rPr>
                <w:rFonts w:cs="Calibri"/>
                <w:i/>
                <w:noProof/>
              </w:rPr>
            </w:pPr>
            <w:r>
              <w:rPr>
                <w:noProof/>
              </w:rPr>
              <w:t>Podpis pogodbe za izvajanje projekta</w:t>
            </w:r>
          </w:p>
        </w:tc>
      </w:tr>
      <w:tr w:rsidR="00F24946" w14:paraId="4F03A3E2" w14:textId="77777777">
        <w:trPr>
          <w:trHeight w:val="440"/>
        </w:trPr>
        <w:tc>
          <w:tcPr>
            <w:tcW w:w="1200" w:type="dxa"/>
            <w:shd w:val="clear" w:color="auto" w:fill="C4EFCE"/>
            <w:vAlign w:val="center"/>
          </w:tcPr>
          <w:p w14:paraId="0A5307EE" w14:textId="77777777" w:rsidR="00F24946" w:rsidRDefault="00F24946">
            <w:pPr>
              <w:spacing w:after="0"/>
              <w:jc w:val="center"/>
              <w:rPr>
                <w:rFonts w:ascii="Calibri" w:eastAsia="Calibri" w:hAnsi="Calibri" w:cs="Calibri"/>
                <w:noProof/>
                <w:sz w:val="18"/>
              </w:rPr>
            </w:pPr>
          </w:p>
        </w:tc>
        <w:tc>
          <w:tcPr>
            <w:tcW w:w="1760" w:type="dxa"/>
            <w:shd w:val="clear" w:color="auto" w:fill="C4EFCE"/>
            <w:vAlign w:val="center"/>
          </w:tcPr>
          <w:p w14:paraId="2E63F90C" w14:textId="77777777" w:rsidR="00F24946" w:rsidRDefault="00F24946">
            <w:pPr>
              <w:spacing w:after="0"/>
              <w:jc w:val="center"/>
              <w:rPr>
                <w:rFonts w:ascii="Calibri" w:eastAsia="Calibri" w:hAnsi="Calibri" w:cs="Calibri"/>
                <w:noProof/>
                <w:sz w:val="18"/>
              </w:rPr>
            </w:pPr>
          </w:p>
        </w:tc>
        <w:tc>
          <w:tcPr>
            <w:tcW w:w="1520" w:type="dxa"/>
            <w:shd w:val="clear" w:color="auto" w:fill="C4EFCE"/>
            <w:vAlign w:val="center"/>
          </w:tcPr>
          <w:p w14:paraId="4C56150E" w14:textId="77777777" w:rsidR="00F24946" w:rsidRDefault="00613B06">
            <w:pPr>
              <w:pStyle w:val="P68B1DB1-Normal24"/>
              <w:spacing w:after="0"/>
              <w:jc w:val="center"/>
              <w:rPr>
                <w:rFonts w:eastAsia="Calibri" w:cs="Calibri"/>
                <w:noProof/>
                <w:sz w:val="18"/>
              </w:rPr>
            </w:pPr>
            <w:r>
              <w:rPr>
                <w:noProof/>
              </w:rPr>
              <w:t>Znesek obroka</w:t>
            </w:r>
          </w:p>
        </w:tc>
        <w:tc>
          <w:tcPr>
            <w:tcW w:w="5060" w:type="dxa"/>
            <w:shd w:val="clear" w:color="auto" w:fill="C4EFCE"/>
            <w:vAlign w:val="center"/>
          </w:tcPr>
          <w:p w14:paraId="1D728FCE" w14:textId="4021B04F" w:rsidR="00F24946" w:rsidRDefault="00613B06">
            <w:pPr>
              <w:pStyle w:val="P68B1DB1-Normal25"/>
              <w:spacing w:after="0"/>
              <w:jc w:val="center"/>
              <w:rPr>
                <w:rFonts w:eastAsia="Calibri" w:cs="Calibri"/>
                <w:noProof/>
                <w:sz w:val="18"/>
              </w:rPr>
            </w:pPr>
            <w:r>
              <w:rPr>
                <w:noProof/>
              </w:rPr>
              <w:t xml:space="preserve">2 023 192 454 EUR </w:t>
            </w:r>
          </w:p>
        </w:tc>
      </w:tr>
    </w:tbl>
    <w:p w14:paraId="59B2EAF8" w14:textId="77777777" w:rsidR="00F24946" w:rsidRDefault="00F24946">
      <w:pPr>
        <w:keepNext/>
        <w:spacing w:before="40" w:after="160" w:line="259" w:lineRule="auto"/>
        <w:ind w:left="360"/>
        <w:contextualSpacing/>
        <w:jc w:val="both"/>
        <w:rPr>
          <w:rFonts w:ascii="Times New Roman" w:eastAsiaTheme="minorEastAsia" w:hAnsi="Times New Roman" w:cs="Times New Roman"/>
          <w:noProof/>
          <w:sz w:val="24"/>
        </w:rPr>
      </w:pPr>
    </w:p>
    <w:p w14:paraId="3FED0C14"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Osmi zahtevek za plačilo (nepovratna podpora): </w:t>
      </w:r>
    </w:p>
    <w:p w14:paraId="03F528E5"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F24946" w14:paraId="51282D2E" w14:textId="77777777">
        <w:trPr>
          <w:trHeight w:val="509"/>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2E938F"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DFC1E5"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1E4C39"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5F2557"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43E0E792"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D5A2EDB" w14:textId="77777777" w:rsidR="00F24946" w:rsidRDefault="00F24946">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7C445AC" w14:textId="77777777" w:rsidR="00F24946" w:rsidRDefault="00F24946">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FB1C794" w14:textId="77777777" w:rsidR="00F24946" w:rsidRDefault="00F24946">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0242486B" w14:textId="77777777" w:rsidR="00F24946" w:rsidRDefault="00F24946">
            <w:pPr>
              <w:spacing w:after="0" w:line="240" w:lineRule="auto"/>
              <w:rPr>
                <w:rFonts w:ascii="Times New Roman" w:eastAsia="Times New Roman" w:hAnsi="Times New Roman" w:cs="Times New Roman"/>
                <w:b/>
                <w:noProof/>
                <w:sz w:val="20"/>
              </w:rPr>
            </w:pPr>
          </w:p>
        </w:tc>
      </w:tr>
      <w:tr w:rsidR="00F24946" w14:paraId="47702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6209672" w14:textId="77777777" w:rsidR="00F24946" w:rsidRDefault="00613B06">
            <w:pPr>
              <w:pStyle w:val="P68B1DB1-Normal23"/>
              <w:spacing w:after="0"/>
              <w:jc w:val="center"/>
              <w:rPr>
                <w:rFonts w:eastAsia="Calibri" w:cs="Calibri"/>
                <w:noProof/>
                <w:sz w:val="20"/>
              </w:rPr>
            </w:pPr>
            <w:r>
              <w:rPr>
                <w:noProof/>
              </w:rPr>
              <w:t>1.34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B386C0E" w14:textId="77777777" w:rsidR="00F24946" w:rsidRDefault="00613B06">
            <w:pPr>
              <w:pStyle w:val="P68B1DB1-Normal23"/>
              <w:spacing w:after="0"/>
              <w:jc w:val="center"/>
              <w:rPr>
                <w:rFonts w:eastAsia="Calibri" w:cs="Calibri"/>
                <w:noProof/>
                <w:sz w:val="20"/>
              </w:rPr>
            </w:pPr>
            <w:r>
              <w:rPr>
                <w:noProof/>
              </w:rPr>
              <w:t>Re-C01-i06</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E962A5B"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E3B3A8" w14:textId="77777777" w:rsidR="00F24946" w:rsidRDefault="00613B06">
            <w:pPr>
              <w:pStyle w:val="P68B1DB1-Normal23"/>
              <w:spacing w:after="0"/>
              <w:jc w:val="both"/>
              <w:rPr>
                <w:rFonts w:eastAsia="Calibri" w:cs="Calibri"/>
                <w:noProof/>
                <w:sz w:val="20"/>
              </w:rPr>
            </w:pPr>
            <w:r>
              <w:rPr>
                <w:noProof/>
              </w:rPr>
              <w:t>Izvajanje upravnih modulov informacijske tehnologije, osnovnih kliničnih modulov in kliničnih modulov za nujne primere</w:t>
            </w:r>
          </w:p>
        </w:tc>
      </w:tr>
      <w:tr w:rsidR="00F24946" w14:paraId="2D80F58A"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3ED31DD" w14:textId="77777777" w:rsidR="00F24946" w:rsidRDefault="00613B06">
            <w:pPr>
              <w:pStyle w:val="P68B1DB1-Normal23"/>
              <w:spacing w:after="0"/>
              <w:jc w:val="center"/>
              <w:rPr>
                <w:rFonts w:eastAsia="Calibri" w:cs="Calibri"/>
                <w:noProof/>
                <w:sz w:val="20"/>
              </w:rPr>
            </w:pPr>
            <w:r>
              <w:rPr>
                <w:noProof/>
              </w:rPr>
              <w:t>2.29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9EA7AE" w14:textId="77777777" w:rsidR="00F24946" w:rsidRDefault="00613B06">
            <w:pPr>
              <w:pStyle w:val="P68B1DB1-Normal23"/>
              <w:spacing w:after="0"/>
              <w:jc w:val="center"/>
              <w:rPr>
                <w:rFonts w:eastAsia="Calibri" w:cs="Calibri"/>
                <w:noProof/>
                <w:sz w:val="20"/>
              </w:rPr>
            </w:pPr>
            <w:r>
              <w:rPr>
                <w:noProof/>
              </w:rPr>
              <w:t>Re-C02-i01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A93811F"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47CD63F8" w14:textId="77777777" w:rsidR="00F24946" w:rsidRDefault="00613B06">
            <w:pPr>
              <w:pStyle w:val="P68B1DB1-Normal23"/>
              <w:spacing w:after="0"/>
              <w:jc w:val="both"/>
              <w:rPr>
                <w:rFonts w:eastAsia="Calibri" w:cs="Calibri"/>
                <w:noProof/>
                <w:sz w:val="20"/>
              </w:rPr>
            </w:pPr>
            <w:r>
              <w:rPr>
                <w:noProof/>
              </w:rPr>
              <w:t>Program podpore za dostop do stanovanj – kupljena, zgrajena (visoka energijska učinkovitost) ali sanirana (z izboljšano energetsko učinkovitostjo) stanovanja za gospodinjstva</w:t>
            </w:r>
          </w:p>
        </w:tc>
      </w:tr>
      <w:tr w:rsidR="00F24946" w14:paraId="16BAF70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7587DCF" w14:textId="77777777" w:rsidR="00F24946" w:rsidRDefault="00613B06">
            <w:pPr>
              <w:pStyle w:val="P68B1DB1-Normal23"/>
              <w:spacing w:after="0"/>
              <w:jc w:val="center"/>
              <w:rPr>
                <w:rFonts w:eastAsia="Calibri" w:cs="Calibri"/>
                <w:noProof/>
                <w:sz w:val="20"/>
              </w:rPr>
            </w:pPr>
            <w:r>
              <w:rPr>
                <w:noProof/>
              </w:rPr>
              <w:t>3.29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8DF3D66" w14:textId="77777777" w:rsidR="00F24946" w:rsidRDefault="00613B06">
            <w:pPr>
              <w:pStyle w:val="P68B1DB1-Normal23"/>
              <w:spacing w:after="0"/>
              <w:jc w:val="center"/>
              <w:rPr>
                <w:rFonts w:eastAsia="Calibri" w:cs="Calibri"/>
                <w:noProof/>
                <w:sz w:val="20"/>
              </w:rPr>
            </w:pPr>
            <w:r>
              <w:rPr>
                <w:noProof/>
              </w:rPr>
              <w:t>Re-C03-r38</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7434BAC"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BBAC241" w14:textId="77777777" w:rsidR="00F24946" w:rsidRDefault="00613B06">
            <w:pPr>
              <w:pStyle w:val="P68B1DB1-Normal23"/>
              <w:spacing w:after="0"/>
              <w:jc w:val="both"/>
              <w:rPr>
                <w:rFonts w:eastAsia="Calibri" w:cs="Calibri"/>
                <w:noProof/>
                <w:sz w:val="20"/>
              </w:rPr>
            </w:pPr>
            <w:r>
              <w:rPr>
                <w:noProof/>
              </w:rPr>
              <w:t>Poročilo delovne skupine za enotno socialno dajatev</w:t>
            </w:r>
          </w:p>
        </w:tc>
      </w:tr>
      <w:tr w:rsidR="00F24946" w14:paraId="45320B6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DA2AE78" w14:textId="77777777" w:rsidR="00F24946" w:rsidRDefault="00613B06">
            <w:pPr>
              <w:pStyle w:val="P68B1DB1-Normal23"/>
              <w:spacing w:after="0"/>
              <w:jc w:val="center"/>
              <w:rPr>
                <w:rFonts w:eastAsia="Calibri" w:cs="Calibri"/>
                <w:noProof/>
                <w:sz w:val="20"/>
              </w:rPr>
            </w:pPr>
            <w:r>
              <w:rPr>
                <w:noProof/>
              </w:rPr>
              <w:t>6.1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50BE18D" w14:textId="77777777" w:rsidR="00F24946" w:rsidRDefault="00613B06">
            <w:pPr>
              <w:pStyle w:val="P68B1DB1-Normal23"/>
              <w:spacing w:after="0"/>
              <w:jc w:val="center"/>
              <w:rPr>
                <w:rFonts w:eastAsia="Calibri" w:cs="Calibri"/>
                <w:noProof/>
                <w:sz w:val="20"/>
              </w:rPr>
            </w:pPr>
            <w:r>
              <w:rPr>
                <w:noProof/>
              </w:rPr>
              <w:t>Re-C06-i01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3D89B4A"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7CA4126" w14:textId="77777777" w:rsidR="00F24946" w:rsidRDefault="00613B06">
            <w:pPr>
              <w:pStyle w:val="P68B1DB1-Normal23"/>
              <w:spacing w:after="0"/>
              <w:jc w:val="both"/>
              <w:rPr>
                <w:rFonts w:eastAsia="Calibri" w:cs="Calibri"/>
                <w:noProof/>
                <w:sz w:val="20"/>
              </w:rPr>
            </w:pPr>
            <w:r>
              <w:rPr>
                <w:noProof/>
              </w:rPr>
              <w:t>Prenovljeni ali zgrajeni specializirani tehnološki centri</w:t>
            </w:r>
          </w:p>
        </w:tc>
      </w:tr>
      <w:tr w:rsidR="00F24946" w14:paraId="7C00D43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BED060D" w14:textId="77777777" w:rsidR="00F24946" w:rsidRDefault="00613B06">
            <w:pPr>
              <w:pStyle w:val="P68B1DB1-Normal23"/>
              <w:spacing w:after="0"/>
              <w:jc w:val="center"/>
              <w:rPr>
                <w:rFonts w:eastAsia="Calibri" w:cs="Calibri"/>
                <w:noProof/>
                <w:sz w:val="20"/>
              </w:rPr>
            </w:pPr>
            <w:r>
              <w:rPr>
                <w:noProof/>
              </w:rPr>
              <w:t>6.8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F0DF611" w14:textId="77777777" w:rsidR="00F24946" w:rsidRDefault="00613B06">
            <w:pPr>
              <w:pStyle w:val="P68B1DB1-Normal23"/>
              <w:spacing w:after="0"/>
              <w:jc w:val="center"/>
              <w:rPr>
                <w:rFonts w:eastAsia="Calibri" w:cs="Calibri"/>
                <w:noProof/>
                <w:sz w:val="20"/>
              </w:rPr>
            </w:pPr>
            <w:r>
              <w:rPr>
                <w:noProof/>
              </w:rPr>
              <w:t>Re-C06-i04</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A5BFBF"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B9C680" w14:textId="77777777" w:rsidR="00F24946" w:rsidRDefault="00613B06">
            <w:pPr>
              <w:pStyle w:val="P68B1DB1-Normal23"/>
              <w:spacing w:after="0"/>
              <w:jc w:val="both"/>
              <w:rPr>
                <w:rFonts w:eastAsia="Calibri" w:cs="Calibri"/>
                <w:noProof/>
                <w:sz w:val="20"/>
              </w:rPr>
            </w:pPr>
            <w:r>
              <w:rPr>
                <w:noProof/>
              </w:rPr>
              <w:t>Dodatno število študentov, ki so zaključili terciarno izobraževanje na področjih naravoslovja, tehnologije, inženirstva, tehnologije, inženirstva in matematike</w:t>
            </w:r>
          </w:p>
        </w:tc>
      </w:tr>
      <w:tr w:rsidR="00F24946" w14:paraId="3AD54D52"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6DB541F" w14:textId="77777777" w:rsidR="00F24946" w:rsidRDefault="00613B06">
            <w:pPr>
              <w:pStyle w:val="P68B1DB1-Normal23"/>
              <w:spacing w:after="0"/>
              <w:jc w:val="center"/>
              <w:rPr>
                <w:rFonts w:eastAsia="Calibri" w:cs="Calibri"/>
                <w:noProof/>
                <w:sz w:val="20"/>
              </w:rPr>
            </w:pPr>
            <w:r>
              <w:rPr>
                <w:noProof/>
              </w:rPr>
              <w:t>8.6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736FE01" w14:textId="77777777" w:rsidR="00F24946" w:rsidRDefault="00613B06">
            <w:pPr>
              <w:pStyle w:val="P68B1DB1-Normal23"/>
              <w:spacing w:after="0"/>
              <w:jc w:val="center"/>
              <w:rPr>
                <w:rFonts w:eastAsia="Calibri" w:cs="Calibri"/>
                <w:noProof/>
                <w:sz w:val="20"/>
              </w:rPr>
            </w:pPr>
            <w:r>
              <w:rPr>
                <w:noProof/>
              </w:rPr>
              <w:t>Re-C08-i02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3BB56E9"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5020DBA" w14:textId="77777777" w:rsidR="00F24946" w:rsidRDefault="00613B06">
            <w:pPr>
              <w:pStyle w:val="P68B1DB1-Normal23"/>
              <w:spacing w:after="0"/>
              <w:jc w:val="both"/>
              <w:rPr>
                <w:rFonts w:eastAsia="Calibri" w:cs="Calibri"/>
                <w:noProof/>
                <w:sz w:val="20"/>
              </w:rPr>
            </w:pPr>
            <w:r>
              <w:rPr>
                <w:noProof/>
              </w:rPr>
              <w:t>Priprava referenčnega kartiranja za sistem za spremljanje pokrovnosti tal (SMOS)</w:t>
            </w:r>
          </w:p>
        </w:tc>
      </w:tr>
      <w:tr w:rsidR="00F24946" w14:paraId="039E9D87"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0417D6" w14:textId="77777777" w:rsidR="00F24946" w:rsidRDefault="00613B06">
            <w:pPr>
              <w:pStyle w:val="P68B1DB1-Normal23"/>
              <w:spacing w:after="0"/>
              <w:jc w:val="center"/>
              <w:rPr>
                <w:rFonts w:eastAsia="Calibri" w:cs="Calibri"/>
                <w:noProof/>
                <w:sz w:val="20"/>
              </w:rPr>
            </w:pPr>
            <w:r>
              <w:rPr>
                <w:noProof/>
              </w:rPr>
              <w:t>9.12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C132670" w14:textId="77777777" w:rsidR="00F24946" w:rsidRDefault="00613B06">
            <w:pPr>
              <w:pStyle w:val="P68B1DB1-Normal23"/>
              <w:spacing w:after="0"/>
              <w:jc w:val="center"/>
              <w:rPr>
                <w:rFonts w:eastAsia="Calibri" w:cs="Calibri"/>
                <w:noProof/>
                <w:sz w:val="20"/>
              </w:rPr>
            </w:pPr>
            <w:r>
              <w:rPr>
                <w:noProof/>
              </w:rPr>
              <w:t>Re-C09-i03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B66B49"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3E85C5" w14:textId="77777777" w:rsidR="00F24946" w:rsidRDefault="00613B06">
            <w:pPr>
              <w:pStyle w:val="P68B1DB1-Normal23"/>
              <w:spacing w:after="0"/>
              <w:jc w:val="both"/>
              <w:rPr>
                <w:rFonts w:eastAsia="Calibri" w:cs="Calibri"/>
                <w:noProof/>
                <w:sz w:val="20"/>
              </w:rPr>
            </w:pPr>
            <w:r>
              <w:rPr>
                <w:noProof/>
              </w:rPr>
              <w:t>Dodatni kilometer obnovljenih ali obnovljenih vodov</w:t>
            </w:r>
          </w:p>
        </w:tc>
      </w:tr>
      <w:tr w:rsidR="00F24946" w14:paraId="39211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70DF80A" w14:textId="77777777" w:rsidR="00F24946" w:rsidRDefault="00613B06">
            <w:pPr>
              <w:pStyle w:val="P68B1DB1-Normal23"/>
              <w:spacing w:after="0"/>
              <w:jc w:val="center"/>
              <w:rPr>
                <w:rFonts w:eastAsia="Calibri" w:cs="Calibri"/>
                <w:noProof/>
                <w:sz w:val="20"/>
              </w:rPr>
            </w:pPr>
            <w:r>
              <w:rPr>
                <w:noProof/>
              </w:rPr>
              <w:t>13.2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DF19A15" w14:textId="77777777" w:rsidR="00F24946" w:rsidRDefault="00613B06">
            <w:pPr>
              <w:pStyle w:val="P68B1DB1-Normal23"/>
              <w:spacing w:after="0"/>
              <w:jc w:val="center"/>
              <w:rPr>
                <w:rFonts w:eastAsia="Calibri" w:cs="Calibri"/>
                <w:noProof/>
                <w:sz w:val="20"/>
              </w:rPr>
            </w:pPr>
            <w:r>
              <w:rPr>
                <w:noProof/>
              </w:rPr>
              <w:t>TC-C13-i01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68B0FA9B"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688B0A90" w14:textId="77777777" w:rsidR="00F24946" w:rsidRDefault="00613B06">
            <w:pPr>
              <w:pStyle w:val="P68B1DB1-Normal23"/>
              <w:spacing w:after="0"/>
              <w:jc w:val="both"/>
              <w:rPr>
                <w:rFonts w:eastAsia="Calibri" w:cs="Calibri"/>
                <w:noProof/>
                <w:sz w:val="20"/>
              </w:rPr>
            </w:pPr>
            <w:r>
              <w:rPr>
                <w:noProof/>
              </w:rPr>
              <w:t>Energijska prenova zasebnih stanovanjskih stavb</w:t>
            </w:r>
          </w:p>
        </w:tc>
      </w:tr>
      <w:tr w:rsidR="00F24946" w14:paraId="3F852D0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4D45592" w14:textId="77777777" w:rsidR="00F24946" w:rsidRDefault="00613B06">
            <w:pPr>
              <w:pStyle w:val="P68B1DB1-Normal23"/>
              <w:spacing w:after="0"/>
              <w:jc w:val="center"/>
              <w:rPr>
                <w:rFonts w:eastAsia="Calibri" w:cs="Calibri"/>
                <w:noProof/>
                <w:sz w:val="20"/>
              </w:rPr>
            </w:pPr>
            <w:r>
              <w:rPr>
                <w:noProof/>
              </w:rPr>
              <w:t>13.5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0E3ACE4" w14:textId="77777777" w:rsidR="00F24946" w:rsidRDefault="00613B06">
            <w:pPr>
              <w:pStyle w:val="P68B1DB1-Normal23"/>
              <w:spacing w:after="0"/>
              <w:jc w:val="center"/>
              <w:rPr>
                <w:rFonts w:eastAsia="Calibri" w:cs="Calibri"/>
                <w:noProof/>
                <w:sz w:val="20"/>
              </w:rPr>
            </w:pPr>
            <w:r>
              <w:rPr>
                <w:noProof/>
              </w:rPr>
              <w:t>TC-C13-i02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96C5B0D"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CEDF2B7" w14:textId="77777777" w:rsidR="00F24946" w:rsidRDefault="00613B06">
            <w:pPr>
              <w:pStyle w:val="P68B1DB1-Normal23"/>
              <w:spacing w:after="0"/>
              <w:jc w:val="both"/>
              <w:rPr>
                <w:rFonts w:eastAsia="Calibri" w:cs="Calibri"/>
                <w:noProof/>
                <w:sz w:val="20"/>
              </w:rPr>
            </w:pPr>
            <w:r>
              <w:rPr>
                <w:noProof/>
              </w:rPr>
              <w:t>Energetska prenova stavb osrednje vlade</w:t>
            </w:r>
          </w:p>
        </w:tc>
      </w:tr>
      <w:tr w:rsidR="00F24946" w14:paraId="2194D2E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1D1126" w14:textId="77777777" w:rsidR="00F24946" w:rsidRDefault="00613B06">
            <w:pPr>
              <w:pStyle w:val="P68B1DB1-Normal23"/>
              <w:spacing w:after="0"/>
              <w:jc w:val="center"/>
              <w:rPr>
                <w:rFonts w:eastAsia="Calibri" w:cs="Calibri"/>
                <w:noProof/>
                <w:sz w:val="20"/>
              </w:rPr>
            </w:pPr>
            <w:r>
              <w:rPr>
                <w:noProof/>
              </w:rPr>
              <w:t>13.8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D27D411" w14:textId="77777777" w:rsidR="00F24946" w:rsidRDefault="00613B06">
            <w:pPr>
              <w:pStyle w:val="P68B1DB1-Normal23"/>
              <w:spacing w:after="0"/>
              <w:jc w:val="center"/>
              <w:rPr>
                <w:rFonts w:eastAsia="Calibri" w:cs="Calibri"/>
                <w:noProof/>
                <w:sz w:val="20"/>
              </w:rPr>
            </w:pPr>
            <w:r>
              <w:rPr>
                <w:noProof/>
              </w:rPr>
              <w:t>TC-C13-i03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BFF745B"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21F9B47" w14:textId="77777777" w:rsidR="00F24946" w:rsidRDefault="00613B06">
            <w:pPr>
              <w:pStyle w:val="P68B1DB1-Normal23"/>
              <w:spacing w:after="0"/>
              <w:jc w:val="both"/>
              <w:rPr>
                <w:rFonts w:eastAsia="Calibri" w:cs="Calibri"/>
                <w:noProof/>
                <w:sz w:val="20"/>
              </w:rPr>
            </w:pPr>
            <w:r>
              <w:rPr>
                <w:noProof/>
              </w:rPr>
              <w:t>Energijska prenova stavb za zasebne storitve</w:t>
            </w:r>
          </w:p>
        </w:tc>
      </w:tr>
      <w:tr w:rsidR="00F24946" w14:paraId="340E532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6CA9A8" w14:textId="77777777" w:rsidR="00F24946" w:rsidRDefault="00613B06">
            <w:pPr>
              <w:pStyle w:val="P68B1DB1-Normal23"/>
              <w:spacing w:after="0"/>
              <w:jc w:val="center"/>
              <w:rPr>
                <w:rFonts w:eastAsia="Calibri" w:cs="Calibri"/>
                <w:noProof/>
                <w:sz w:val="20"/>
              </w:rPr>
            </w:pPr>
            <w:r>
              <w:rPr>
                <w:noProof/>
              </w:rPr>
              <w:t>14.8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4B590E3" w14:textId="77777777" w:rsidR="00F24946" w:rsidRDefault="00613B06">
            <w:pPr>
              <w:pStyle w:val="P68B1DB1-Normal23"/>
              <w:spacing w:after="0"/>
              <w:jc w:val="center"/>
              <w:rPr>
                <w:rFonts w:eastAsia="Calibri" w:cs="Calibri"/>
                <w:noProof/>
                <w:sz w:val="20"/>
              </w:rPr>
            </w:pPr>
            <w:r>
              <w:rPr>
                <w:noProof/>
              </w:rPr>
              <w:t>TC-C14-i02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4841BCD"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B2B37F4" w14:textId="77777777" w:rsidR="00F24946" w:rsidRDefault="00613B06">
            <w:pPr>
              <w:pStyle w:val="P68B1DB1-Normal23"/>
              <w:spacing w:after="0"/>
              <w:jc w:val="both"/>
              <w:rPr>
                <w:rFonts w:eastAsia="Calibri" w:cs="Calibri"/>
                <w:noProof/>
                <w:sz w:val="20"/>
              </w:rPr>
            </w:pPr>
            <w:r>
              <w:rPr>
                <w:noProof/>
              </w:rPr>
              <w:t>Dodatna zmogljivost za vključitev nove inštalirane električne energije v elektroenergetski sistem</w:t>
            </w:r>
          </w:p>
        </w:tc>
      </w:tr>
      <w:tr w:rsidR="00F24946" w14:paraId="0BF233C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97B10B" w14:textId="77777777" w:rsidR="00F24946" w:rsidRDefault="00613B06">
            <w:pPr>
              <w:pStyle w:val="P68B1DB1-Normal23"/>
              <w:spacing w:after="0"/>
              <w:jc w:val="center"/>
              <w:rPr>
                <w:rFonts w:eastAsia="Calibri" w:cs="Calibri"/>
                <w:noProof/>
                <w:sz w:val="20"/>
              </w:rPr>
            </w:pPr>
            <w:r>
              <w:rPr>
                <w:noProof/>
              </w:rPr>
              <w:t>17.24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A6FB23C" w14:textId="52A4CD72" w:rsidR="00F24946" w:rsidRDefault="00613B06">
            <w:pPr>
              <w:pStyle w:val="P68B1DB1-Normal23"/>
              <w:spacing w:after="0"/>
              <w:jc w:val="center"/>
              <w:rPr>
                <w:rFonts w:eastAsia="Calibri" w:cs="Calibri"/>
                <w:noProof/>
                <w:sz w:val="20"/>
              </w:rPr>
            </w:pPr>
            <w:r>
              <w:rPr>
                <w:noProof/>
              </w:rPr>
              <w:t>TD-C17-r40</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A158D53"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7DB87B7" w14:textId="77777777" w:rsidR="00F24946" w:rsidRDefault="00613B06">
            <w:pPr>
              <w:pStyle w:val="P68B1DB1-Normal23"/>
              <w:spacing w:after="0"/>
              <w:jc w:val="both"/>
              <w:rPr>
                <w:rFonts w:eastAsia="Calibri" w:cs="Calibri"/>
                <w:noProof/>
                <w:sz w:val="20"/>
              </w:rPr>
            </w:pPr>
            <w:r>
              <w:rPr>
                <w:noProof/>
              </w:rPr>
              <w:t>Objava poročila U-TAX o oceni obstoječih davčnih ugodnosti</w:t>
            </w:r>
          </w:p>
        </w:tc>
      </w:tr>
      <w:tr w:rsidR="00F24946" w14:paraId="0AC27CC9"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B9FB6A" w14:textId="77777777" w:rsidR="00F24946" w:rsidRDefault="00613B06">
            <w:pPr>
              <w:pStyle w:val="P68B1DB1-Normal23"/>
              <w:spacing w:after="0"/>
              <w:jc w:val="center"/>
              <w:rPr>
                <w:rFonts w:eastAsia="Calibri" w:cs="Calibri"/>
                <w:noProof/>
                <w:sz w:val="20"/>
              </w:rPr>
            </w:pPr>
            <w:r>
              <w:rPr>
                <w:noProof/>
              </w:rPr>
              <w:t>19.16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AEEF756" w14:textId="77777777" w:rsidR="00F24946" w:rsidRDefault="00613B06">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C937250"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F953943" w14:textId="77777777" w:rsidR="00F24946" w:rsidRDefault="00613B06">
            <w:pPr>
              <w:pStyle w:val="P68B1DB1-Normal23"/>
              <w:spacing w:after="0"/>
              <w:jc w:val="both"/>
              <w:rPr>
                <w:rFonts w:eastAsia="Calibri" w:cs="Calibri"/>
                <w:noProof/>
                <w:sz w:val="20"/>
              </w:rPr>
            </w:pPr>
            <w:r>
              <w:rPr>
                <w:noProof/>
              </w:rPr>
              <w:t>Javne storitve za državljane, obiskovalce in podjetja v ARM</w:t>
            </w:r>
          </w:p>
        </w:tc>
      </w:tr>
      <w:tr w:rsidR="00F24946" w14:paraId="57E07F0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9DC65" w14:textId="77777777" w:rsidR="00F24946" w:rsidRDefault="00613B06">
            <w:pPr>
              <w:pStyle w:val="P68B1DB1-Normal23"/>
              <w:spacing w:after="0"/>
              <w:jc w:val="center"/>
              <w:rPr>
                <w:rFonts w:eastAsia="Calibri" w:cs="Calibri"/>
                <w:noProof/>
                <w:sz w:val="20"/>
              </w:rPr>
            </w:pPr>
            <w:r>
              <w:rPr>
                <w:noProof/>
              </w:rPr>
              <w:t>19.17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0C9036E" w14:textId="77777777" w:rsidR="00F24946" w:rsidRDefault="00613B06">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A956CA7"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760667" w14:textId="77777777" w:rsidR="00F24946" w:rsidRDefault="00613B06">
            <w:pPr>
              <w:pStyle w:val="P68B1DB1-Normal23"/>
              <w:spacing w:after="0"/>
              <w:jc w:val="both"/>
              <w:rPr>
                <w:rFonts w:eastAsia="Calibri" w:cs="Calibri"/>
                <w:noProof/>
                <w:sz w:val="20"/>
              </w:rPr>
            </w:pPr>
            <w:r>
              <w:rPr>
                <w:noProof/>
              </w:rPr>
              <w:t>Posodobitev kritične infrastrukture in računalniške arhitekture javnih storitev v ARM</w:t>
            </w:r>
          </w:p>
        </w:tc>
      </w:tr>
      <w:tr w:rsidR="00F24946" w14:paraId="50C6DABF"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A76E346" w14:textId="77777777" w:rsidR="00F24946" w:rsidRDefault="00613B06">
            <w:pPr>
              <w:pStyle w:val="P68B1DB1-Normal23"/>
              <w:spacing w:after="0"/>
              <w:jc w:val="center"/>
              <w:rPr>
                <w:rFonts w:eastAsia="Calibri" w:cs="Calibri"/>
                <w:noProof/>
              </w:rPr>
            </w:pPr>
            <w:r>
              <w:rPr>
                <w:noProof/>
              </w:rPr>
              <w:t>19.27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DF9CE32" w14:textId="77777777" w:rsidR="00F24946" w:rsidRDefault="00613B06">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3681EDF"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C750829" w14:textId="5FBBDF08" w:rsidR="00F24946" w:rsidRDefault="00613B06">
            <w:pPr>
              <w:pStyle w:val="P68B1DB1-Normal23"/>
              <w:spacing w:after="0"/>
              <w:jc w:val="both"/>
              <w:rPr>
                <w:rFonts w:eastAsia="Calibri" w:cs="Calibri"/>
                <w:noProof/>
              </w:rPr>
            </w:pPr>
            <w:r>
              <w:rPr>
                <w:noProof/>
              </w:rPr>
              <w:t>Vloga za državljane</w:t>
            </w:r>
          </w:p>
        </w:tc>
      </w:tr>
      <w:tr w:rsidR="00F24946" w14:paraId="308524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70544E" w14:textId="77777777" w:rsidR="00F24946" w:rsidRDefault="00613B06">
            <w:pPr>
              <w:pStyle w:val="P68B1DB1-Normal23"/>
              <w:spacing w:after="0"/>
              <w:jc w:val="center"/>
              <w:rPr>
                <w:rFonts w:eastAsia="Calibri" w:cs="Calibri"/>
                <w:noProof/>
                <w:sz w:val="20"/>
              </w:rPr>
            </w:pPr>
            <w:r>
              <w:rPr>
                <w:noProof/>
              </w:rPr>
              <w:t>19.34</w:t>
            </w:r>
          </w:p>
        </w:tc>
        <w:tc>
          <w:tcPr>
            <w:tcW w:w="1760" w:type="dxa"/>
            <w:tcBorders>
              <w:top w:val="nil"/>
              <w:left w:val="nil"/>
              <w:bottom w:val="single" w:sz="4" w:space="0" w:color="auto"/>
              <w:right w:val="single" w:sz="4" w:space="0" w:color="auto"/>
            </w:tcBorders>
            <w:shd w:val="clear" w:color="auto" w:fill="C4EFCE"/>
            <w:vAlign w:val="center"/>
            <w:hideMark/>
          </w:tcPr>
          <w:p w14:paraId="5A5F2BD8" w14:textId="77777777" w:rsidR="00F24946" w:rsidRDefault="00613B06">
            <w:pPr>
              <w:pStyle w:val="P68B1DB1-Normal23"/>
              <w:spacing w:after="0"/>
              <w:jc w:val="center"/>
              <w:rPr>
                <w:rFonts w:eastAsia="Calibri" w:cs="Calibri"/>
                <w:noProof/>
                <w:sz w:val="20"/>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1021F2E2"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16F93C9" w14:textId="77777777" w:rsidR="00F24946" w:rsidRDefault="00613B06">
            <w:pPr>
              <w:pStyle w:val="P68B1DB1-Normal23"/>
              <w:spacing w:after="0"/>
              <w:jc w:val="both"/>
              <w:rPr>
                <w:rFonts w:eastAsia="Calibri" w:cs="Calibri"/>
                <w:noProof/>
                <w:sz w:val="20"/>
              </w:rPr>
            </w:pPr>
            <w:r>
              <w:rPr>
                <w:noProof/>
              </w:rPr>
              <w:t>Vzpostavitev portala za pametna ozemlja</w:t>
            </w:r>
          </w:p>
        </w:tc>
      </w:tr>
      <w:tr w:rsidR="00F24946" w14:paraId="32DC818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DC72C2" w14:textId="77777777" w:rsidR="00F24946" w:rsidRDefault="00613B06">
            <w:pPr>
              <w:pStyle w:val="P68B1DB1-Normal23"/>
              <w:spacing w:after="0"/>
              <w:jc w:val="center"/>
              <w:rPr>
                <w:rFonts w:eastAsia="Calibri" w:cs="Calibri"/>
                <w:noProof/>
                <w:sz w:val="20"/>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6A2B827C" w14:textId="77777777" w:rsidR="00F24946" w:rsidRDefault="00613B06">
            <w:pPr>
              <w:pStyle w:val="P68B1DB1-Normal23"/>
              <w:spacing w:after="0"/>
              <w:jc w:val="center"/>
              <w:rPr>
                <w:rFonts w:eastAsia="Calibri" w:cs="Calibri"/>
                <w:noProof/>
                <w:sz w:val="20"/>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2239B6F9" w14:textId="77777777" w:rsidR="00F24946" w:rsidRDefault="00613B06">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B2D45D3" w14:textId="77777777" w:rsidR="00F24946" w:rsidRDefault="00613B06">
            <w:pPr>
              <w:pStyle w:val="P68B1DB1-Normal23"/>
              <w:spacing w:after="0"/>
              <w:jc w:val="both"/>
              <w:rPr>
                <w:rFonts w:eastAsia="Calibri" w:cs="Calibri"/>
                <w:noProof/>
                <w:sz w:val="20"/>
              </w:rPr>
            </w:pPr>
            <w:r>
              <w:rPr>
                <w:noProof/>
              </w:rPr>
              <w:t>Uvedba instrumenta financiranja za boj proti energijski revščini</w:t>
            </w:r>
          </w:p>
        </w:tc>
      </w:tr>
      <w:tr w:rsidR="00F24946" w14:paraId="5FD1D2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62C627" w14:textId="77777777" w:rsidR="00F24946" w:rsidRDefault="00613B06">
            <w:pPr>
              <w:pStyle w:val="P68B1DB1-Normal23"/>
              <w:spacing w:after="0"/>
              <w:jc w:val="center"/>
              <w:rPr>
                <w:rFonts w:eastAsia="Calibri" w:cs="Calibri"/>
                <w:noProof/>
                <w:sz w:val="20"/>
              </w:rPr>
            </w:pPr>
            <w:r>
              <w:rPr>
                <w:noProof/>
              </w:rPr>
              <w:t>21.11</w:t>
            </w:r>
          </w:p>
        </w:tc>
        <w:tc>
          <w:tcPr>
            <w:tcW w:w="1760" w:type="dxa"/>
            <w:tcBorders>
              <w:top w:val="nil"/>
              <w:left w:val="nil"/>
              <w:bottom w:val="single" w:sz="4" w:space="0" w:color="auto"/>
              <w:right w:val="single" w:sz="4" w:space="0" w:color="auto"/>
            </w:tcBorders>
            <w:shd w:val="clear" w:color="auto" w:fill="C4EFCE"/>
            <w:vAlign w:val="center"/>
            <w:hideMark/>
          </w:tcPr>
          <w:p w14:paraId="7858AE64" w14:textId="77777777" w:rsidR="00F24946" w:rsidRDefault="00613B06">
            <w:pPr>
              <w:pStyle w:val="P68B1DB1-Normal23"/>
              <w:spacing w:after="0"/>
              <w:jc w:val="center"/>
              <w:rPr>
                <w:rFonts w:eastAsia="Calibri" w:cs="Calibri"/>
                <w:noProof/>
                <w:sz w:val="20"/>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7D272590" w14:textId="77777777" w:rsidR="00F24946" w:rsidRDefault="00613B06">
            <w:pPr>
              <w:pStyle w:val="P68B1DB1-Normal23"/>
              <w:spacing w:after="0"/>
              <w:jc w:val="center"/>
              <w:rPr>
                <w:rFonts w:eastAsia="Calibri" w:cs="Calibri"/>
                <w:noProof/>
                <w:sz w:val="20"/>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1D91399" w14:textId="77777777" w:rsidR="00F24946" w:rsidRDefault="00613B06">
            <w:pPr>
              <w:pStyle w:val="P68B1DB1-Normal23"/>
              <w:spacing w:after="0"/>
              <w:jc w:val="both"/>
              <w:rPr>
                <w:rFonts w:eastAsia="Calibri" w:cs="Calibri"/>
                <w:noProof/>
                <w:sz w:val="20"/>
              </w:rPr>
            </w:pPr>
            <w:r>
              <w:rPr>
                <w:noProof/>
              </w:rPr>
              <w:t>Začetek delovanja podjetja Espaços Cidadão Energia</w:t>
            </w:r>
          </w:p>
        </w:tc>
      </w:tr>
      <w:tr w:rsidR="00F24946" w14:paraId="47B732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80F8D5" w14:textId="77777777" w:rsidR="00F24946" w:rsidRDefault="00613B06">
            <w:pPr>
              <w:pStyle w:val="P68B1DB1-Normal23"/>
              <w:spacing w:after="0"/>
              <w:jc w:val="center"/>
              <w:rPr>
                <w:rFonts w:eastAsia="Calibri" w:cs="Calibri"/>
                <w:noProof/>
              </w:rPr>
            </w:pPr>
            <w:r>
              <w:rPr>
                <w:noProof/>
              </w:rPr>
              <w:t>21.31</w:t>
            </w:r>
          </w:p>
        </w:tc>
        <w:tc>
          <w:tcPr>
            <w:tcW w:w="1760" w:type="dxa"/>
            <w:tcBorders>
              <w:top w:val="nil"/>
              <w:left w:val="nil"/>
              <w:bottom w:val="single" w:sz="4" w:space="0" w:color="auto"/>
              <w:right w:val="single" w:sz="4" w:space="0" w:color="auto"/>
            </w:tcBorders>
            <w:shd w:val="clear" w:color="auto" w:fill="C4EFCE"/>
            <w:vAlign w:val="center"/>
            <w:hideMark/>
          </w:tcPr>
          <w:p w14:paraId="61D6C730" w14:textId="5CCAB5AE" w:rsidR="00F24946" w:rsidRDefault="00613B06">
            <w:pPr>
              <w:pStyle w:val="P68B1DB1-Normal23"/>
              <w:spacing w:after="0"/>
              <w:jc w:val="center"/>
              <w:rPr>
                <w:rFonts w:eastAsia="Calibri" w:cs="Calibri"/>
                <w:noProof/>
              </w:rPr>
            </w:pPr>
            <w:r>
              <w:rPr>
                <w:noProof/>
              </w:rPr>
              <w:t>RP-C21-i9</w:t>
            </w:r>
          </w:p>
        </w:tc>
        <w:tc>
          <w:tcPr>
            <w:tcW w:w="1520" w:type="dxa"/>
            <w:tcBorders>
              <w:top w:val="nil"/>
              <w:left w:val="nil"/>
              <w:bottom w:val="single" w:sz="4" w:space="0" w:color="auto"/>
              <w:right w:val="single" w:sz="4" w:space="0" w:color="auto"/>
            </w:tcBorders>
            <w:shd w:val="clear" w:color="auto" w:fill="C4EFCE"/>
            <w:vAlign w:val="center"/>
            <w:hideMark/>
          </w:tcPr>
          <w:p w14:paraId="07A4650B"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8C4F9FD" w14:textId="77777777" w:rsidR="00F24946" w:rsidRDefault="00613B06">
            <w:pPr>
              <w:pStyle w:val="P68B1DB1-Normal23"/>
              <w:spacing w:after="0"/>
              <w:jc w:val="both"/>
              <w:rPr>
                <w:rFonts w:eastAsia="Calibri" w:cs="Calibri"/>
                <w:noProof/>
              </w:rPr>
            </w:pPr>
            <w:r>
              <w:rPr>
                <w:noProof/>
              </w:rPr>
              <w:t>Začetek delovanja modulov druge faze digitalne platforme „vse na enem mestu“ za izdajanje dovoljenj in spremljanje projektov na področju energije iz obnovljivih virov ter dokončanje postopka dematerializacije obstoječih dokumentov za izdajo dovoljenj.</w:t>
            </w:r>
          </w:p>
        </w:tc>
      </w:tr>
      <w:tr w:rsidR="00F24946" w14:paraId="769B3C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091AEE"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2A5B0B5B" w14:textId="77777777" w:rsidR="00F24946" w:rsidRDefault="00613B06">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01CF754F"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nil"/>
              <w:left w:val="nil"/>
              <w:bottom w:val="single" w:sz="4" w:space="0" w:color="auto"/>
              <w:right w:val="single" w:sz="4" w:space="0" w:color="auto"/>
            </w:tcBorders>
            <w:shd w:val="clear" w:color="auto" w:fill="C4EFCE"/>
            <w:vAlign w:val="center"/>
            <w:hideMark/>
          </w:tcPr>
          <w:p w14:paraId="0ED4039C" w14:textId="7BBDA010" w:rsidR="00F24946" w:rsidRDefault="00613B06">
            <w:pPr>
              <w:pStyle w:val="P68B1DB1-Normal25"/>
              <w:spacing w:after="0" w:line="240" w:lineRule="auto"/>
              <w:jc w:val="center"/>
              <w:rPr>
                <w:rFonts w:cs="Calibri"/>
                <w:noProof/>
              </w:rPr>
            </w:pPr>
            <w:r>
              <w:rPr>
                <w:noProof/>
              </w:rPr>
              <w:t xml:space="preserve">1 056 518 233 EUR </w:t>
            </w:r>
          </w:p>
        </w:tc>
      </w:tr>
    </w:tbl>
    <w:p w14:paraId="3C5CDC41"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517A6F5F"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Deveti zahtevek za plačilo (nepovratna podpora): </w:t>
      </w:r>
    </w:p>
    <w:p w14:paraId="610F6D78"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F24946" w14:paraId="0D25D50E" w14:textId="77777777">
        <w:trPr>
          <w:trHeight w:val="509"/>
          <w:tblHeader/>
        </w:trPr>
        <w:tc>
          <w:tcPr>
            <w:tcW w:w="1200" w:type="dxa"/>
            <w:vMerge w:val="restart"/>
            <w:tcBorders>
              <w:top w:val="single" w:sz="4" w:space="0" w:color="auto"/>
              <w:left w:val="single" w:sz="4" w:space="0" w:color="auto"/>
              <w:right w:val="single" w:sz="4" w:space="0" w:color="auto"/>
            </w:tcBorders>
            <w:shd w:val="clear" w:color="auto" w:fill="BDD7EE"/>
            <w:vAlign w:val="center"/>
            <w:hideMark/>
          </w:tcPr>
          <w:p w14:paraId="27E78C42"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tcBorders>
              <w:top w:val="single" w:sz="4" w:space="0" w:color="auto"/>
              <w:left w:val="single" w:sz="4" w:space="0" w:color="auto"/>
              <w:right w:val="single" w:sz="4" w:space="0" w:color="auto"/>
            </w:tcBorders>
            <w:shd w:val="clear" w:color="auto" w:fill="BDD7EE"/>
            <w:vAlign w:val="center"/>
            <w:hideMark/>
          </w:tcPr>
          <w:p w14:paraId="78FC7685"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tcBorders>
              <w:top w:val="single" w:sz="4" w:space="0" w:color="auto"/>
              <w:left w:val="single" w:sz="4" w:space="0" w:color="auto"/>
              <w:right w:val="single" w:sz="4" w:space="0" w:color="auto"/>
            </w:tcBorders>
            <w:shd w:val="clear" w:color="auto" w:fill="BDD7EE"/>
            <w:vAlign w:val="center"/>
            <w:hideMark/>
          </w:tcPr>
          <w:p w14:paraId="085BD584"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1ACC8B"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1782CE3F"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F6B246B" w14:textId="77777777" w:rsidR="00F24946" w:rsidRDefault="00F24946">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C610EC3" w14:textId="77777777" w:rsidR="00F24946" w:rsidRDefault="00F24946">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2802C47" w14:textId="77777777" w:rsidR="00F24946" w:rsidRDefault="00F24946">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4A2F66AD" w14:textId="77777777" w:rsidR="00F24946" w:rsidRDefault="00F24946">
            <w:pPr>
              <w:spacing w:after="0" w:line="240" w:lineRule="auto"/>
              <w:rPr>
                <w:rFonts w:ascii="Times New Roman" w:eastAsia="Times New Roman" w:hAnsi="Times New Roman" w:cs="Times New Roman"/>
                <w:b/>
                <w:noProof/>
                <w:sz w:val="20"/>
              </w:rPr>
            </w:pPr>
          </w:p>
        </w:tc>
      </w:tr>
      <w:tr w:rsidR="00F24946" w14:paraId="22F761C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02F00BC" w14:textId="77777777" w:rsidR="00F24946" w:rsidRDefault="00613B06">
            <w:pPr>
              <w:pStyle w:val="P68B1DB1-Normal23"/>
              <w:spacing w:after="0"/>
              <w:jc w:val="center"/>
              <w:rPr>
                <w:rFonts w:eastAsia="Calibri" w:cs="Calibri"/>
                <w:noProof/>
              </w:rPr>
            </w:pPr>
            <w:r>
              <w:rPr>
                <w:noProof/>
              </w:rPr>
              <w:t>1.9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763BE876" w14:textId="77777777" w:rsidR="00F24946" w:rsidRDefault="00613B06">
            <w:pPr>
              <w:pStyle w:val="P68B1DB1-Normal23"/>
              <w:spacing w:after="0"/>
              <w:jc w:val="center"/>
              <w:rPr>
                <w:rFonts w:eastAsia="Calibri" w:cs="Calibri"/>
                <w:noProof/>
              </w:rPr>
            </w:pPr>
            <w:r>
              <w:rPr>
                <w:noProof/>
              </w:rPr>
              <w:t>Re-C01-r03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351F199"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9AE68CE" w14:textId="77777777" w:rsidR="00F24946" w:rsidRDefault="00613B06">
            <w:pPr>
              <w:pStyle w:val="P68B1DB1-Normal23"/>
              <w:spacing w:after="0"/>
              <w:jc w:val="both"/>
              <w:rPr>
                <w:rFonts w:eastAsia="Calibri" w:cs="Calibri"/>
                <w:noProof/>
              </w:rPr>
            </w:pPr>
            <w:r>
              <w:rPr>
                <w:noProof/>
              </w:rPr>
              <w:t>Ustanovitev novih centrov integrirane odgovornosti v bolnišnicah nacionalne zdravstvene službe</w:t>
            </w:r>
          </w:p>
        </w:tc>
      </w:tr>
      <w:tr w:rsidR="00F24946" w14:paraId="5CFF73B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076FF3CE" w14:textId="77777777" w:rsidR="00F24946" w:rsidRDefault="00613B06">
            <w:pPr>
              <w:pStyle w:val="P68B1DB1-Normal23"/>
              <w:spacing w:after="0"/>
              <w:jc w:val="center"/>
              <w:rPr>
                <w:rFonts w:eastAsia="Calibri" w:cs="Calibri"/>
                <w:noProof/>
              </w:rPr>
            </w:pPr>
            <w:r>
              <w:rPr>
                <w:noProof/>
              </w:rPr>
              <w:t>1.21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CE8E2C0" w14:textId="77777777" w:rsidR="00F24946" w:rsidRDefault="00613B06">
            <w:pPr>
              <w:pStyle w:val="P68B1DB1-Normal23"/>
              <w:spacing w:after="0"/>
              <w:jc w:val="center"/>
              <w:rPr>
                <w:rFonts w:eastAsia="Calibri" w:cs="Calibri"/>
                <w:noProof/>
              </w:rPr>
            </w:pPr>
            <w:r>
              <w:rPr>
                <w:noProof/>
              </w:rPr>
              <w:t>Re-C01-i02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4FD371"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3A6F5AE9" w14:textId="77777777" w:rsidR="00F24946" w:rsidRDefault="00613B06">
            <w:pPr>
              <w:pStyle w:val="P68B1DB1-Normal23"/>
              <w:spacing w:after="0"/>
              <w:jc w:val="both"/>
              <w:rPr>
                <w:rFonts w:eastAsia="Calibri" w:cs="Calibri"/>
                <w:noProof/>
              </w:rPr>
            </w:pPr>
            <w:r>
              <w:rPr>
                <w:noProof/>
              </w:rPr>
              <w:t>Krepitev zmogljivosti odzivanja nacionalnih mrež integriranih storitev stalne oskrbe in paliativne oskrbe v bolnišnični in ambulantni oskrbi</w:t>
            </w:r>
          </w:p>
        </w:tc>
      </w:tr>
      <w:tr w:rsidR="00F24946" w14:paraId="1E600A4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06E981" w14:textId="77777777" w:rsidR="00F24946" w:rsidRDefault="00613B06">
            <w:pPr>
              <w:pStyle w:val="P68B1DB1-Normal23"/>
              <w:spacing w:after="0"/>
              <w:jc w:val="center"/>
              <w:rPr>
                <w:rFonts w:eastAsia="Calibri" w:cs="Calibri"/>
                <w:noProof/>
              </w:rPr>
            </w:pPr>
            <w:r>
              <w:rPr>
                <w:noProof/>
              </w:rPr>
              <w:t>1.23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738D247" w14:textId="77777777" w:rsidR="00F24946" w:rsidRDefault="00613B06">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9E7D485"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DD0CD48" w14:textId="77777777" w:rsidR="00F24946" w:rsidRDefault="00613B06">
            <w:pPr>
              <w:pStyle w:val="P68B1DB1-Normal23"/>
              <w:spacing w:after="0"/>
              <w:jc w:val="both"/>
              <w:rPr>
                <w:rFonts w:eastAsia="Calibri" w:cs="Calibri"/>
                <w:noProof/>
              </w:rPr>
            </w:pPr>
            <w:r>
              <w:rPr>
                <w:noProof/>
              </w:rPr>
              <w:t>Obnova forenzičnih enot in opreme za psihiatrijo</w:t>
            </w:r>
          </w:p>
        </w:tc>
      </w:tr>
      <w:tr w:rsidR="00F24946" w14:paraId="5216BA78"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7694A3" w14:textId="77777777" w:rsidR="00F24946" w:rsidRDefault="00613B06">
            <w:pPr>
              <w:pStyle w:val="P68B1DB1-Normal23"/>
              <w:spacing w:after="0"/>
              <w:jc w:val="center"/>
              <w:rPr>
                <w:rFonts w:eastAsia="Calibri" w:cs="Calibri"/>
                <w:noProof/>
              </w:rPr>
            </w:pPr>
            <w:r>
              <w:rPr>
                <w:noProof/>
              </w:rPr>
              <w:t>1.25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1312B6D" w14:textId="77777777" w:rsidR="00F24946" w:rsidRDefault="00613B06">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65BB1E4" w14:textId="77777777" w:rsidR="00F24946" w:rsidRDefault="00613B06">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6C441A2" w14:textId="77777777" w:rsidR="00F24946" w:rsidRDefault="00613B06">
            <w:pPr>
              <w:pStyle w:val="P68B1DB1-Normal23"/>
              <w:spacing w:after="0"/>
              <w:jc w:val="both"/>
              <w:rPr>
                <w:rFonts w:eastAsia="Calibri" w:cs="Calibri"/>
                <w:noProof/>
              </w:rPr>
            </w:pPr>
            <w:r>
              <w:rPr>
                <w:noProof/>
              </w:rPr>
              <w:t>Dokončanje krepitve mreže za varstvo duševnega zdravja</w:t>
            </w:r>
          </w:p>
        </w:tc>
      </w:tr>
      <w:tr w:rsidR="00F24946" w14:paraId="45D850E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FC6688" w14:textId="77777777" w:rsidR="00F24946" w:rsidRDefault="00613B06">
            <w:pPr>
              <w:pStyle w:val="P68B1DB1-Normal23"/>
              <w:spacing w:after="0"/>
              <w:jc w:val="center"/>
              <w:rPr>
                <w:rFonts w:eastAsia="Calibri" w:cs="Calibri"/>
                <w:noProof/>
              </w:rPr>
            </w:pPr>
            <w:r>
              <w:rPr>
                <w:noProof/>
              </w:rPr>
              <w:t>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9F6608D" w14:textId="77777777" w:rsidR="00F24946" w:rsidRDefault="00613B06">
            <w:pPr>
              <w:pStyle w:val="P68B1DB1-Normal23"/>
              <w:spacing w:after="0"/>
              <w:jc w:val="center"/>
              <w:rPr>
                <w:rFonts w:eastAsia="Calibri" w:cs="Calibri"/>
                <w:noProof/>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BE2BF56"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4D33655" w14:textId="77777777" w:rsidR="00F24946" w:rsidRDefault="00613B06">
            <w:pPr>
              <w:pStyle w:val="P68B1DB1-Normal23"/>
              <w:spacing w:after="0"/>
              <w:jc w:val="both"/>
              <w:rPr>
                <w:rFonts w:eastAsia="Calibri" w:cs="Calibri"/>
                <w:noProof/>
              </w:rPr>
            </w:pPr>
            <w:r>
              <w:rPr>
                <w:noProof/>
              </w:rPr>
              <w:t>Povečanje števila mest za integrirane storitve stalne oskrbe v regionalni zdravstveni službi Madeire</w:t>
            </w:r>
          </w:p>
        </w:tc>
      </w:tr>
      <w:tr w:rsidR="00F24946" w14:paraId="307E282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tcPr>
          <w:p w14:paraId="16A417E4" w14:textId="77777777" w:rsidR="00F24946" w:rsidRDefault="00613B06">
            <w:pPr>
              <w:pStyle w:val="P68B1DB1-Normal23"/>
              <w:spacing w:after="0"/>
              <w:jc w:val="center"/>
              <w:rPr>
                <w:rFonts w:eastAsia="Calibri" w:cs="Calibri"/>
                <w:noProof/>
              </w:rPr>
            </w:pPr>
            <w:r>
              <w:rPr>
                <w:noProof/>
              </w:rPr>
              <w:t>1.30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3035503C" w14:textId="77777777" w:rsidR="00F24946" w:rsidRDefault="00613B06">
            <w:pPr>
              <w:pStyle w:val="P68B1DB1-Normal8"/>
              <w:spacing w:after="0"/>
              <w:jc w:val="center"/>
              <w:rPr>
                <w:rFonts w:eastAsia="Calibri" w:cs="Calibri"/>
                <w:noProof/>
                <w:sz w:val="18"/>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0853CF70"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1249B3A9" w14:textId="77777777" w:rsidR="00F24946" w:rsidRDefault="00613B06">
            <w:pPr>
              <w:pStyle w:val="P68B1DB1-Normal8"/>
              <w:spacing w:after="0"/>
              <w:jc w:val="both"/>
              <w:rPr>
                <w:rFonts w:eastAsia="Calibri" w:cs="Calibri"/>
                <w:noProof/>
                <w:sz w:val="18"/>
              </w:rPr>
            </w:pPr>
            <w:r>
              <w:rPr>
                <w:noProof/>
              </w:rPr>
              <w:t>Povečanje števila mest za integrirane storitve stalne oskrbe v regionalni zdravstveni službi Madeire</w:t>
            </w:r>
          </w:p>
        </w:tc>
      </w:tr>
      <w:tr w:rsidR="00F24946" w14:paraId="25064C9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2D7E84A" w14:textId="77777777" w:rsidR="00F24946" w:rsidRDefault="00613B06">
            <w:pPr>
              <w:pStyle w:val="P68B1DB1-Normal23"/>
              <w:spacing w:after="0"/>
              <w:jc w:val="center"/>
              <w:rPr>
                <w:rFonts w:eastAsia="Calibri" w:cs="Calibri"/>
                <w:noProof/>
              </w:rPr>
            </w:pPr>
            <w:r>
              <w:rPr>
                <w:noProof/>
              </w:rPr>
              <w:t>1.36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FF74396" w14:textId="77777777" w:rsidR="00F24946" w:rsidRDefault="00613B06">
            <w:pPr>
              <w:pStyle w:val="P68B1DB1-Normal23"/>
              <w:spacing w:after="0"/>
              <w:jc w:val="center"/>
              <w:rPr>
                <w:rFonts w:eastAsia="Calibri" w:cs="Calibri"/>
                <w:noProof/>
              </w:rPr>
            </w:pPr>
            <w:r>
              <w:rPr>
                <w:noProof/>
              </w:rPr>
              <w:t>Re-C01-i08-RAA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BE8B021"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8B9A547" w14:textId="77777777" w:rsidR="00F24946" w:rsidRDefault="00613B06">
            <w:pPr>
              <w:pStyle w:val="P68B1DB1-Normal23"/>
              <w:spacing w:after="0"/>
              <w:jc w:val="both"/>
              <w:rPr>
                <w:rFonts w:eastAsia="Calibri" w:cs="Calibri"/>
                <w:noProof/>
              </w:rPr>
            </w:pPr>
            <w:r>
              <w:rPr>
                <w:noProof/>
              </w:rPr>
              <w:t>Večji dostop do uporabniškega portala regionalne zdravstvene službe Azorov</w:t>
            </w:r>
          </w:p>
        </w:tc>
      </w:tr>
      <w:tr w:rsidR="00F24946" w14:paraId="3A971B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B6093C" w14:textId="77777777" w:rsidR="00F24946" w:rsidRDefault="00613B06">
            <w:pPr>
              <w:pStyle w:val="P68B1DB1-Normal23"/>
              <w:spacing w:after="0"/>
              <w:jc w:val="center"/>
              <w:rPr>
                <w:rFonts w:eastAsia="Calibri" w:cs="Calibri"/>
                <w:noProof/>
              </w:rPr>
            </w:pPr>
            <w:r>
              <w:rPr>
                <w:noProof/>
              </w:rPr>
              <w:t>1.38</w:t>
            </w:r>
          </w:p>
        </w:tc>
        <w:tc>
          <w:tcPr>
            <w:tcW w:w="1760" w:type="dxa"/>
            <w:tcBorders>
              <w:top w:val="nil"/>
              <w:left w:val="nil"/>
              <w:bottom w:val="single" w:sz="4" w:space="0" w:color="auto"/>
              <w:right w:val="single" w:sz="4" w:space="0" w:color="auto"/>
            </w:tcBorders>
            <w:shd w:val="clear" w:color="auto" w:fill="C4EFCE"/>
            <w:vAlign w:val="center"/>
            <w:hideMark/>
          </w:tcPr>
          <w:p w14:paraId="4B8D39B5" w14:textId="77777777" w:rsidR="00F24946" w:rsidRDefault="00613B06">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03EBB8C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1CBD4E" w14:textId="77777777" w:rsidR="00F24946" w:rsidRDefault="00613B06">
            <w:pPr>
              <w:pStyle w:val="P68B1DB1-Normal23"/>
              <w:spacing w:after="0"/>
              <w:jc w:val="both"/>
              <w:rPr>
                <w:rFonts w:eastAsia="Calibri" w:cs="Calibri"/>
                <w:noProof/>
              </w:rPr>
            </w:pPr>
            <w:r>
              <w:rPr>
                <w:noProof/>
              </w:rPr>
              <w:t>Zaključek izvajanja programov „Športna skupnost šol“ in „Šool Sports on Wheels“ v šolah</w:t>
            </w:r>
          </w:p>
        </w:tc>
      </w:tr>
      <w:tr w:rsidR="00F24946" w14:paraId="6B7A456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010025" w14:textId="77777777" w:rsidR="00F24946" w:rsidRDefault="00613B06">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0B6F6AFA" w14:textId="77777777" w:rsidR="00F24946" w:rsidRDefault="00613B06">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4C67C300"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3B0AA18" w14:textId="77777777" w:rsidR="00F24946" w:rsidRDefault="00613B06">
            <w:pPr>
              <w:pStyle w:val="P68B1DB1-Normal23"/>
              <w:spacing w:after="0"/>
              <w:jc w:val="both"/>
              <w:rPr>
                <w:rFonts w:eastAsia="Calibri" w:cs="Calibri"/>
                <w:noProof/>
              </w:rPr>
            </w:pPr>
            <w:r>
              <w:rPr>
                <w:noProof/>
              </w:rPr>
              <w:t>Začetek nacionalne kampanje za univerzalni sistem za podporo aktivnemu življenju in s tem povezano tehnološko platformo</w:t>
            </w:r>
          </w:p>
        </w:tc>
      </w:tr>
      <w:tr w:rsidR="00F24946" w14:paraId="4976BF8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C5E686" w14:textId="77777777" w:rsidR="00F24946" w:rsidRDefault="00613B06">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5F2975A0" w14:textId="77777777" w:rsidR="00F24946" w:rsidRDefault="00613B06">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549257E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D42745D" w14:textId="77777777" w:rsidR="00F24946" w:rsidRDefault="00613B06">
            <w:pPr>
              <w:pStyle w:val="P68B1DB1-Normal23"/>
              <w:spacing w:after="0"/>
              <w:jc w:val="both"/>
              <w:rPr>
                <w:rFonts w:eastAsia="Calibri" w:cs="Calibri"/>
                <w:noProof/>
              </w:rPr>
            </w:pPr>
            <w:r>
              <w:rPr>
                <w:noProof/>
              </w:rPr>
              <w:t>Ukrepi v javnem stanovanjskem fondu avtonomne regije Azori – gradnja stavb</w:t>
            </w:r>
          </w:p>
        </w:tc>
      </w:tr>
      <w:tr w:rsidR="00F24946" w14:paraId="48998A7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9F1454" w14:textId="77777777" w:rsidR="00F24946" w:rsidRDefault="00613B06">
            <w:pPr>
              <w:pStyle w:val="P68B1DB1-Normal23"/>
              <w:spacing w:after="0"/>
              <w:jc w:val="center"/>
              <w:rPr>
                <w:rFonts w:eastAsia="Calibri" w:cs="Calibri"/>
                <w:noProof/>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50DBDCBE" w14:textId="77777777" w:rsidR="00F24946" w:rsidRDefault="00613B06">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1DB0332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A80A23" w14:textId="77777777" w:rsidR="00F24946" w:rsidRDefault="00613B06">
            <w:pPr>
              <w:pStyle w:val="P68B1DB1-Normal23"/>
              <w:spacing w:after="0"/>
              <w:jc w:val="both"/>
              <w:rPr>
                <w:rFonts w:eastAsia="Calibri" w:cs="Calibri"/>
                <w:noProof/>
              </w:rPr>
            </w:pPr>
            <w:r>
              <w:rPr>
                <w:noProof/>
              </w:rPr>
              <w:t>Ukrepi v javnem stanovanjskem fondu avtonomne regije Azori – obnova</w:t>
            </w:r>
          </w:p>
        </w:tc>
      </w:tr>
      <w:tr w:rsidR="00F24946" w14:paraId="42BE288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613E49" w14:textId="77777777" w:rsidR="00F24946" w:rsidRDefault="00613B06">
            <w:pPr>
              <w:pStyle w:val="P68B1DB1-Normal23"/>
              <w:spacing w:after="0"/>
              <w:jc w:val="center"/>
              <w:rPr>
                <w:rFonts w:eastAsia="Calibri" w:cs="Calibri"/>
                <w:noProof/>
              </w:rPr>
            </w:pPr>
            <w:r>
              <w:rPr>
                <w:noProof/>
              </w:rPr>
              <w:t>2.31</w:t>
            </w:r>
          </w:p>
        </w:tc>
        <w:tc>
          <w:tcPr>
            <w:tcW w:w="1760" w:type="dxa"/>
            <w:tcBorders>
              <w:top w:val="nil"/>
              <w:left w:val="nil"/>
              <w:bottom w:val="single" w:sz="4" w:space="0" w:color="auto"/>
              <w:right w:val="single" w:sz="4" w:space="0" w:color="auto"/>
            </w:tcBorders>
            <w:shd w:val="clear" w:color="auto" w:fill="C4EFCE"/>
            <w:vAlign w:val="center"/>
            <w:hideMark/>
          </w:tcPr>
          <w:p w14:paraId="3E9F4E90" w14:textId="77777777" w:rsidR="00F24946" w:rsidRDefault="00613B06">
            <w:pPr>
              <w:pStyle w:val="P68B1DB1-Normal23"/>
              <w:spacing w:after="0"/>
              <w:jc w:val="center"/>
              <w:rPr>
                <w:rFonts w:eastAsia="Calibri" w:cs="Calibri"/>
                <w:noProof/>
              </w:rPr>
            </w:pPr>
            <w:r>
              <w:rPr>
                <w:noProof/>
              </w:rPr>
              <w:t>Re-C02-i08-RAA</w:t>
            </w:r>
          </w:p>
        </w:tc>
        <w:tc>
          <w:tcPr>
            <w:tcW w:w="1520" w:type="dxa"/>
            <w:tcBorders>
              <w:top w:val="nil"/>
              <w:left w:val="nil"/>
              <w:bottom w:val="single" w:sz="4" w:space="0" w:color="auto"/>
              <w:right w:val="single" w:sz="4" w:space="0" w:color="auto"/>
            </w:tcBorders>
            <w:shd w:val="clear" w:color="auto" w:fill="C4EFCE"/>
            <w:vAlign w:val="center"/>
            <w:hideMark/>
          </w:tcPr>
          <w:p w14:paraId="0095AE3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48A3BC" w14:textId="77777777" w:rsidR="00F24946" w:rsidRDefault="00613B06">
            <w:pPr>
              <w:pStyle w:val="P68B1DB1-Normal23"/>
              <w:spacing w:after="0"/>
              <w:jc w:val="both"/>
              <w:rPr>
                <w:rFonts w:eastAsia="Calibri" w:cs="Calibri"/>
                <w:noProof/>
              </w:rPr>
            </w:pPr>
            <w:r>
              <w:rPr>
                <w:noProof/>
              </w:rPr>
              <w:t>Okrepitev fonda socialnih stanovanj avtonomne regije Azori – zgrajena stanovanja</w:t>
            </w:r>
          </w:p>
        </w:tc>
      </w:tr>
      <w:tr w:rsidR="00F24946" w14:paraId="4267AE6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425C875" w14:textId="77777777" w:rsidR="00F24946" w:rsidRDefault="00613B06">
            <w:pPr>
              <w:pStyle w:val="P68B1DB1-Normal23"/>
              <w:spacing w:after="0"/>
              <w:jc w:val="center"/>
              <w:rPr>
                <w:rFonts w:eastAsia="Calibri" w:cs="Calibri"/>
                <w:noProof/>
              </w:rPr>
            </w:pPr>
            <w:r>
              <w:rPr>
                <w:noProof/>
              </w:rPr>
              <w:t>3.7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887E09D" w14:textId="77777777" w:rsidR="00F24946" w:rsidRDefault="00613B06">
            <w:pPr>
              <w:pStyle w:val="P68B1DB1-Normal23"/>
              <w:spacing w:after="0"/>
              <w:jc w:val="center"/>
              <w:rPr>
                <w:rFonts w:eastAsia="Calibri" w:cs="Calibri"/>
                <w:noProof/>
              </w:rPr>
            </w:pPr>
            <w:r>
              <w:rPr>
                <w:noProof/>
              </w:rPr>
              <w:t>Re-C03-i02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FC08BAC"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BB3EDD" w14:textId="77777777" w:rsidR="00F24946" w:rsidRDefault="00613B06">
            <w:pPr>
              <w:pStyle w:val="P68B1DB1-Normal23"/>
              <w:spacing w:after="0"/>
              <w:jc w:val="both"/>
              <w:rPr>
                <w:rFonts w:eastAsia="Calibri" w:cs="Calibri"/>
                <w:noProof/>
              </w:rPr>
            </w:pPr>
            <w:r>
              <w:rPr>
                <w:noProof/>
              </w:rPr>
              <w:t>Stanovanja z izboljšano dostopnostjo za osebe z omejeno mobilnostjo</w:t>
            </w:r>
          </w:p>
        </w:tc>
      </w:tr>
      <w:tr w:rsidR="00F24946" w14:paraId="596C5F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E999017" w14:textId="77777777" w:rsidR="00F24946" w:rsidRDefault="00613B06">
            <w:pPr>
              <w:pStyle w:val="P68B1DB1-Normal23"/>
              <w:spacing w:after="0"/>
              <w:jc w:val="center"/>
              <w:rPr>
                <w:rFonts w:eastAsia="Calibri" w:cs="Calibri"/>
                <w:noProof/>
              </w:rPr>
            </w:pPr>
            <w:r>
              <w:rPr>
                <w:noProof/>
              </w:rPr>
              <w:t>3.8</w:t>
            </w:r>
          </w:p>
        </w:tc>
        <w:tc>
          <w:tcPr>
            <w:tcW w:w="1760" w:type="dxa"/>
            <w:tcBorders>
              <w:top w:val="nil"/>
              <w:left w:val="nil"/>
              <w:bottom w:val="single" w:sz="4" w:space="0" w:color="auto"/>
              <w:right w:val="single" w:sz="4" w:space="0" w:color="auto"/>
            </w:tcBorders>
            <w:shd w:val="clear" w:color="auto" w:fill="C4EFCE"/>
            <w:vAlign w:val="center"/>
            <w:hideMark/>
          </w:tcPr>
          <w:p w14:paraId="04397576" w14:textId="77777777" w:rsidR="00F24946" w:rsidRDefault="00613B06">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2B5BDEB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7B40A8" w14:textId="77777777" w:rsidR="00F24946" w:rsidRDefault="00613B06">
            <w:pPr>
              <w:pStyle w:val="P68B1DB1-Normal23"/>
              <w:spacing w:after="0"/>
              <w:jc w:val="both"/>
              <w:rPr>
                <w:rFonts w:eastAsia="Calibri" w:cs="Calibri"/>
                <w:noProof/>
              </w:rPr>
            </w:pPr>
            <w:r>
              <w:rPr>
                <w:noProof/>
              </w:rPr>
              <w:t>Javni prostor z izboljšano dostopnostjo za osebe z omejeno mobilnostjo</w:t>
            </w:r>
          </w:p>
        </w:tc>
      </w:tr>
      <w:tr w:rsidR="00F24946" w14:paraId="6076F1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A1FFD3" w14:textId="77777777" w:rsidR="00F24946" w:rsidRDefault="00613B06">
            <w:pPr>
              <w:pStyle w:val="P68B1DB1-Normal23"/>
              <w:spacing w:after="0"/>
              <w:jc w:val="center"/>
              <w:rPr>
                <w:rFonts w:eastAsia="Calibri" w:cs="Calibri"/>
                <w:noProof/>
              </w:rPr>
            </w:pPr>
            <w:r>
              <w:rPr>
                <w:noProof/>
              </w:rPr>
              <w:t>3.9</w:t>
            </w:r>
          </w:p>
        </w:tc>
        <w:tc>
          <w:tcPr>
            <w:tcW w:w="1760" w:type="dxa"/>
            <w:tcBorders>
              <w:top w:val="nil"/>
              <w:left w:val="nil"/>
              <w:bottom w:val="single" w:sz="4" w:space="0" w:color="auto"/>
              <w:right w:val="single" w:sz="4" w:space="0" w:color="auto"/>
            </w:tcBorders>
            <w:shd w:val="clear" w:color="auto" w:fill="C4EFCE"/>
            <w:vAlign w:val="center"/>
            <w:hideMark/>
          </w:tcPr>
          <w:p w14:paraId="3AE00889" w14:textId="77777777" w:rsidR="00F24946" w:rsidRDefault="00613B06">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3FB4432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818278" w14:textId="77777777" w:rsidR="00F24946" w:rsidRDefault="00613B06">
            <w:pPr>
              <w:pStyle w:val="P68B1DB1-Normal23"/>
              <w:spacing w:after="0"/>
              <w:jc w:val="both"/>
              <w:rPr>
                <w:rFonts w:eastAsia="Calibri" w:cs="Calibri"/>
                <w:noProof/>
              </w:rPr>
            </w:pPr>
            <w:r>
              <w:rPr>
                <w:noProof/>
              </w:rPr>
              <w:t>Javne storitve z izboljšano dostopnostjo za osebe z omejeno mobilnostjo</w:t>
            </w:r>
          </w:p>
        </w:tc>
      </w:tr>
      <w:tr w:rsidR="00F24946" w14:paraId="41C932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259A36" w14:textId="77777777" w:rsidR="00F24946" w:rsidRDefault="00613B06">
            <w:pPr>
              <w:pStyle w:val="P68B1DB1-Normal23"/>
              <w:spacing w:after="0"/>
              <w:jc w:val="center"/>
              <w:rPr>
                <w:rFonts w:eastAsia="Calibri" w:cs="Calibri"/>
                <w:noProof/>
              </w:rPr>
            </w:pPr>
            <w:r>
              <w:rPr>
                <w:noProof/>
              </w:rPr>
              <w:t>3.10</w:t>
            </w:r>
          </w:p>
        </w:tc>
        <w:tc>
          <w:tcPr>
            <w:tcW w:w="1760" w:type="dxa"/>
            <w:tcBorders>
              <w:top w:val="nil"/>
              <w:left w:val="nil"/>
              <w:bottom w:val="single" w:sz="4" w:space="0" w:color="auto"/>
              <w:right w:val="single" w:sz="4" w:space="0" w:color="auto"/>
            </w:tcBorders>
            <w:shd w:val="clear" w:color="auto" w:fill="C4EFCE"/>
            <w:vAlign w:val="center"/>
            <w:hideMark/>
          </w:tcPr>
          <w:p w14:paraId="1399DCCA" w14:textId="77777777" w:rsidR="00F24946" w:rsidRDefault="00613B06">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10B7FCB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65B477" w14:textId="77777777" w:rsidR="00F24946" w:rsidRDefault="00613B06">
            <w:pPr>
              <w:pStyle w:val="P68B1DB1-Normal23"/>
              <w:spacing w:after="0"/>
              <w:jc w:val="both"/>
              <w:rPr>
                <w:rFonts w:eastAsia="Calibri" w:cs="Calibri"/>
                <w:noProof/>
              </w:rPr>
            </w:pPr>
            <w:r>
              <w:rPr>
                <w:noProof/>
              </w:rPr>
              <w:t xml:space="preserve">Nova in rehabilitirana mesta v domovih za stalno in nestanovanjsko oskrbo </w:t>
            </w:r>
          </w:p>
        </w:tc>
      </w:tr>
      <w:tr w:rsidR="00F24946" w14:paraId="66BF7C5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EB03473" w14:textId="77777777" w:rsidR="00F24946" w:rsidRDefault="00613B06">
            <w:pPr>
              <w:pStyle w:val="P68B1DB1-Normal23"/>
              <w:spacing w:after="0"/>
              <w:jc w:val="center"/>
              <w:rPr>
                <w:rFonts w:eastAsia="Calibri" w:cs="Calibri"/>
                <w:noProof/>
              </w:rPr>
            </w:pPr>
            <w:r>
              <w:rPr>
                <w:noProof/>
              </w:rPr>
              <w:t>3.12</w:t>
            </w:r>
          </w:p>
        </w:tc>
        <w:tc>
          <w:tcPr>
            <w:tcW w:w="1760" w:type="dxa"/>
            <w:tcBorders>
              <w:top w:val="nil"/>
              <w:left w:val="nil"/>
              <w:bottom w:val="single" w:sz="4" w:space="0" w:color="auto"/>
              <w:right w:val="single" w:sz="4" w:space="0" w:color="auto"/>
            </w:tcBorders>
            <w:shd w:val="clear" w:color="auto" w:fill="C4EFCE"/>
            <w:vAlign w:val="center"/>
            <w:hideMark/>
          </w:tcPr>
          <w:p w14:paraId="28D91185" w14:textId="77777777" w:rsidR="00F24946" w:rsidRDefault="00613B06">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A81EAD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1A230D" w14:textId="77777777" w:rsidR="00F24946" w:rsidRDefault="00613B06">
            <w:pPr>
              <w:pStyle w:val="P68B1DB1-Normal23"/>
              <w:spacing w:after="0"/>
              <w:jc w:val="both"/>
              <w:rPr>
                <w:rFonts w:eastAsia="Calibri" w:cs="Calibri"/>
                <w:noProof/>
              </w:rPr>
            </w:pPr>
            <w:r>
              <w:rPr>
                <w:noProof/>
              </w:rPr>
              <w:t>Usposabljanje posameznikov iz družin, za katere velja dohodek za socialno vključenost</w:t>
            </w:r>
          </w:p>
        </w:tc>
      </w:tr>
      <w:tr w:rsidR="00F24946" w14:paraId="76CD6A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130966" w14:textId="77777777" w:rsidR="00F24946" w:rsidRDefault="00613B06">
            <w:pPr>
              <w:pStyle w:val="P68B1DB1-Normal23"/>
              <w:spacing w:after="0"/>
              <w:jc w:val="center"/>
              <w:rPr>
                <w:rFonts w:eastAsia="Calibri" w:cs="Calibri"/>
                <w:noProof/>
              </w:rPr>
            </w:pPr>
            <w:r>
              <w:rPr>
                <w:noProof/>
              </w:rPr>
              <w:t>3.14</w:t>
            </w:r>
          </w:p>
        </w:tc>
        <w:tc>
          <w:tcPr>
            <w:tcW w:w="1760" w:type="dxa"/>
            <w:tcBorders>
              <w:top w:val="nil"/>
              <w:left w:val="nil"/>
              <w:bottom w:val="single" w:sz="4" w:space="0" w:color="auto"/>
              <w:right w:val="single" w:sz="4" w:space="0" w:color="auto"/>
            </w:tcBorders>
            <w:shd w:val="clear" w:color="auto" w:fill="C4EFCE"/>
            <w:vAlign w:val="center"/>
            <w:hideMark/>
          </w:tcPr>
          <w:p w14:paraId="045C7370" w14:textId="77777777" w:rsidR="00F24946" w:rsidRDefault="00613B06">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9C539F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E4CE3D6" w14:textId="77777777" w:rsidR="00F24946" w:rsidRDefault="00613B06">
            <w:pPr>
              <w:pStyle w:val="P68B1DB1-Normal23"/>
              <w:spacing w:after="0"/>
              <w:jc w:val="both"/>
              <w:rPr>
                <w:rFonts w:eastAsia="Calibri" w:cs="Calibri"/>
                <w:noProof/>
              </w:rPr>
            </w:pPr>
            <w:r>
              <w:rPr>
                <w:noProof/>
              </w:rPr>
              <w:t>Vozila, kupljena za Instituições Particulares de Solidariedade Social</w:t>
            </w:r>
          </w:p>
        </w:tc>
      </w:tr>
      <w:tr w:rsidR="00F24946" w14:paraId="289CE0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73D27B" w14:textId="77777777" w:rsidR="00F24946" w:rsidRDefault="00613B06">
            <w:pPr>
              <w:pStyle w:val="P68B1DB1-Normal23"/>
              <w:spacing w:after="0"/>
              <w:jc w:val="center"/>
              <w:rPr>
                <w:rFonts w:eastAsia="Calibri" w:cs="Calibri"/>
                <w:noProof/>
              </w:rPr>
            </w:pPr>
            <w:r>
              <w:rPr>
                <w:noProof/>
              </w:rPr>
              <w:t>3.15</w:t>
            </w:r>
          </w:p>
        </w:tc>
        <w:tc>
          <w:tcPr>
            <w:tcW w:w="1760" w:type="dxa"/>
            <w:tcBorders>
              <w:top w:val="nil"/>
              <w:left w:val="nil"/>
              <w:bottom w:val="single" w:sz="4" w:space="0" w:color="auto"/>
              <w:right w:val="single" w:sz="4" w:space="0" w:color="auto"/>
            </w:tcBorders>
            <w:shd w:val="clear" w:color="auto" w:fill="C4EFCE"/>
            <w:vAlign w:val="center"/>
            <w:hideMark/>
          </w:tcPr>
          <w:p w14:paraId="135E8FAE" w14:textId="77777777" w:rsidR="00F24946" w:rsidRDefault="00613B06">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DBAB54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EC8CE3D" w14:textId="77777777" w:rsidR="00F24946" w:rsidRDefault="00613B06">
            <w:pPr>
              <w:pStyle w:val="P68B1DB1-Normal23"/>
              <w:spacing w:after="0"/>
              <w:jc w:val="both"/>
              <w:rPr>
                <w:rFonts w:eastAsia="Calibri" w:cs="Calibri"/>
                <w:noProof/>
              </w:rPr>
            </w:pPr>
            <w:r>
              <w:rPr>
                <w:noProof/>
              </w:rPr>
              <w:t>Vzpostavljen projekt staranja</w:t>
            </w:r>
          </w:p>
        </w:tc>
      </w:tr>
      <w:tr w:rsidR="00F24946" w14:paraId="02338D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5DE03A" w14:textId="77777777" w:rsidR="00F24946" w:rsidRDefault="00613B06">
            <w:pPr>
              <w:pStyle w:val="P68B1DB1-Normal23"/>
              <w:spacing w:after="0"/>
              <w:jc w:val="center"/>
              <w:rPr>
                <w:rFonts w:eastAsia="Calibri" w:cs="Calibri"/>
                <w:noProof/>
              </w:rPr>
            </w:pPr>
            <w:r>
              <w:rPr>
                <w:noProof/>
              </w:rPr>
              <w:t>3.16</w:t>
            </w:r>
          </w:p>
        </w:tc>
        <w:tc>
          <w:tcPr>
            <w:tcW w:w="1760" w:type="dxa"/>
            <w:tcBorders>
              <w:top w:val="nil"/>
              <w:left w:val="nil"/>
              <w:bottom w:val="single" w:sz="4" w:space="0" w:color="auto"/>
              <w:right w:val="single" w:sz="4" w:space="0" w:color="auto"/>
            </w:tcBorders>
            <w:shd w:val="clear" w:color="auto" w:fill="C4EFCE"/>
            <w:vAlign w:val="center"/>
            <w:hideMark/>
          </w:tcPr>
          <w:p w14:paraId="1D6FD45C" w14:textId="77777777" w:rsidR="00F24946" w:rsidRDefault="00613B06">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632853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B2E81BA" w14:textId="77777777" w:rsidR="00F24946" w:rsidRDefault="00613B06">
            <w:pPr>
              <w:pStyle w:val="P68B1DB1-Normal23"/>
              <w:spacing w:after="0"/>
              <w:jc w:val="both"/>
              <w:rPr>
                <w:rFonts w:eastAsia="Calibri" w:cs="Calibri"/>
                <w:noProof/>
              </w:rPr>
            </w:pPr>
            <w:r>
              <w:rPr>
                <w:noProof/>
              </w:rPr>
              <w:t>Ukrepi za boj proti zgodnjemu opuščanju šolanja otrok in mladih.</w:t>
            </w:r>
          </w:p>
        </w:tc>
      </w:tr>
      <w:tr w:rsidR="00F24946" w14:paraId="5AD9EF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B99BDB" w14:textId="77777777" w:rsidR="00F24946" w:rsidRDefault="00613B06">
            <w:pPr>
              <w:pStyle w:val="P68B1DB1-Normal23"/>
              <w:spacing w:after="0"/>
              <w:jc w:val="center"/>
              <w:rPr>
                <w:rFonts w:eastAsia="Calibri" w:cs="Calibri"/>
                <w:noProof/>
              </w:rPr>
            </w:pPr>
            <w:r>
              <w:rPr>
                <w:noProof/>
              </w:rPr>
              <w:t>3.19</w:t>
            </w:r>
          </w:p>
        </w:tc>
        <w:tc>
          <w:tcPr>
            <w:tcW w:w="1760" w:type="dxa"/>
            <w:tcBorders>
              <w:top w:val="nil"/>
              <w:left w:val="nil"/>
              <w:bottom w:val="single" w:sz="4" w:space="0" w:color="auto"/>
              <w:right w:val="single" w:sz="4" w:space="0" w:color="auto"/>
            </w:tcBorders>
            <w:shd w:val="clear" w:color="auto" w:fill="C4EFCE"/>
            <w:vAlign w:val="center"/>
            <w:hideMark/>
          </w:tcPr>
          <w:p w14:paraId="019CDFE1" w14:textId="77777777" w:rsidR="00F24946" w:rsidRDefault="00613B06">
            <w:pPr>
              <w:pStyle w:val="P68B1DB1-Normal23"/>
              <w:spacing w:after="0"/>
              <w:jc w:val="center"/>
              <w:rPr>
                <w:rFonts w:eastAsia="Calibri" w:cs="Calibri"/>
                <w:noProof/>
              </w:rPr>
            </w:pPr>
            <w:r>
              <w:rPr>
                <w:noProof/>
              </w:rPr>
              <w:t>Re-C03-i05</w:t>
            </w:r>
          </w:p>
        </w:tc>
        <w:tc>
          <w:tcPr>
            <w:tcW w:w="1520" w:type="dxa"/>
            <w:tcBorders>
              <w:top w:val="nil"/>
              <w:left w:val="nil"/>
              <w:bottom w:val="single" w:sz="4" w:space="0" w:color="auto"/>
              <w:right w:val="single" w:sz="4" w:space="0" w:color="auto"/>
            </w:tcBorders>
            <w:shd w:val="clear" w:color="auto" w:fill="C4EFCE"/>
            <w:vAlign w:val="center"/>
            <w:hideMark/>
          </w:tcPr>
          <w:p w14:paraId="7A45718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5207FF6" w14:textId="77777777" w:rsidR="00F24946" w:rsidRDefault="00613B06">
            <w:pPr>
              <w:pStyle w:val="P68B1DB1-Normal23"/>
              <w:spacing w:after="0"/>
              <w:jc w:val="both"/>
              <w:rPr>
                <w:rFonts w:eastAsia="Calibri" w:cs="Calibri"/>
                <w:noProof/>
              </w:rPr>
            </w:pPr>
            <w:r>
              <w:rPr>
                <w:noProof/>
              </w:rPr>
              <w:t>Klicni center za portugalski znakovni jezik</w:t>
            </w:r>
          </w:p>
        </w:tc>
      </w:tr>
      <w:tr w:rsidR="00F24946" w14:paraId="1BA193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5D0CFAD" w14:textId="77777777" w:rsidR="00F24946" w:rsidRDefault="00613B06">
            <w:pPr>
              <w:pStyle w:val="P68B1DB1-Normal23"/>
              <w:spacing w:after="0"/>
              <w:jc w:val="center"/>
              <w:rPr>
                <w:rFonts w:eastAsia="Calibri" w:cs="Calibri"/>
                <w:noProof/>
              </w:rPr>
            </w:pPr>
            <w:r>
              <w:rPr>
                <w:noProof/>
              </w:rPr>
              <w:t>3.26</w:t>
            </w:r>
          </w:p>
        </w:tc>
        <w:tc>
          <w:tcPr>
            <w:tcW w:w="1760" w:type="dxa"/>
            <w:tcBorders>
              <w:top w:val="nil"/>
              <w:left w:val="nil"/>
              <w:bottom w:val="single" w:sz="4" w:space="0" w:color="auto"/>
              <w:right w:val="single" w:sz="4" w:space="0" w:color="auto"/>
            </w:tcBorders>
            <w:shd w:val="clear" w:color="auto" w:fill="C4EFCE"/>
            <w:vAlign w:val="center"/>
            <w:hideMark/>
          </w:tcPr>
          <w:p w14:paraId="66BC21FF" w14:textId="77777777" w:rsidR="00F24946" w:rsidRDefault="00613B06">
            <w:pPr>
              <w:pStyle w:val="P68B1DB1-Normal23"/>
              <w:spacing w:after="0"/>
              <w:jc w:val="center"/>
              <w:rPr>
                <w:rFonts w:eastAsia="Calibri" w:cs="Calibri"/>
                <w:noProof/>
              </w:rPr>
            </w:pPr>
            <w:r>
              <w:rPr>
                <w:noProof/>
              </w:rPr>
              <w:t>Re-C03-i06</w:t>
            </w:r>
          </w:p>
        </w:tc>
        <w:tc>
          <w:tcPr>
            <w:tcW w:w="1520" w:type="dxa"/>
            <w:tcBorders>
              <w:top w:val="nil"/>
              <w:left w:val="nil"/>
              <w:bottom w:val="single" w:sz="4" w:space="0" w:color="auto"/>
              <w:right w:val="single" w:sz="4" w:space="0" w:color="auto"/>
            </w:tcBorders>
            <w:shd w:val="clear" w:color="auto" w:fill="C4EFCE"/>
            <w:vAlign w:val="center"/>
            <w:hideMark/>
          </w:tcPr>
          <w:p w14:paraId="5A71211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0FF11C" w14:textId="77777777" w:rsidR="00F24946" w:rsidRDefault="00613B06">
            <w:pPr>
              <w:pStyle w:val="P68B1DB1-Normal23"/>
              <w:spacing w:after="0"/>
              <w:jc w:val="both"/>
              <w:rPr>
                <w:rFonts w:eastAsia="Calibri" w:cs="Calibri"/>
                <w:noProof/>
              </w:rPr>
            </w:pPr>
            <w:r>
              <w:rPr>
                <w:noProof/>
              </w:rPr>
              <w:t>Popolno izvajanje vsaj 90 % ukrepov</w:t>
            </w:r>
          </w:p>
        </w:tc>
      </w:tr>
      <w:tr w:rsidR="00F24946" w14:paraId="4169E8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091E41C" w14:textId="77777777" w:rsidR="00F24946" w:rsidRDefault="00613B06">
            <w:pPr>
              <w:pStyle w:val="P68B1DB1-Normal23"/>
              <w:spacing w:after="0"/>
              <w:jc w:val="center"/>
              <w:rPr>
                <w:rFonts w:eastAsia="Calibri" w:cs="Calibri"/>
                <w:noProof/>
              </w:rPr>
            </w:pPr>
            <w:r>
              <w:rPr>
                <w:noProof/>
              </w:rPr>
              <w:t>3.27</w:t>
            </w:r>
          </w:p>
        </w:tc>
        <w:tc>
          <w:tcPr>
            <w:tcW w:w="1760" w:type="dxa"/>
            <w:tcBorders>
              <w:top w:val="nil"/>
              <w:left w:val="nil"/>
              <w:bottom w:val="single" w:sz="4" w:space="0" w:color="auto"/>
              <w:right w:val="single" w:sz="4" w:space="0" w:color="auto"/>
            </w:tcBorders>
            <w:shd w:val="clear" w:color="auto" w:fill="C4EFCE"/>
            <w:vAlign w:val="center"/>
            <w:hideMark/>
          </w:tcPr>
          <w:p w14:paraId="17E8CFFB" w14:textId="77777777" w:rsidR="00F24946" w:rsidRDefault="00613B06">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597F807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6F21A2" w14:textId="77777777" w:rsidR="00F24946" w:rsidRDefault="00613B06">
            <w:pPr>
              <w:pStyle w:val="P68B1DB1-Normal23"/>
              <w:spacing w:after="0"/>
              <w:jc w:val="both"/>
              <w:rPr>
                <w:rFonts w:eastAsia="Calibri" w:cs="Calibri"/>
                <w:noProof/>
              </w:rPr>
            </w:pPr>
            <w:r>
              <w:rPr>
                <w:noProof/>
              </w:rPr>
              <w:t>Število mest v domovih za oskrbo, ki podpirajo brezdomce</w:t>
            </w:r>
          </w:p>
        </w:tc>
      </w:tr>
      <w:tr w:rsidR="00F24946" w14:paraId="54E515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7005D2F" w14:textId="77777777" w:rsidR="00F24946" w:rsidRDefault="00613B06">
            <w:pPr>
              <w:pStyle w:val="P68B1DB1-Normal23"/>
              <w:spacing w:after="0"/>
              <w:jc w:val="center"/>
              <w:rPr>
                <w:rFonts w:eastAsia="Calibri" w:cs="Calibri"/>
                <w:noProof/>
              </w:rPr>
            </w:pPr>
            <w:r>
              <w:rPr>
                <w:noProof/>
              </w:rPr>
              <w:t>4.2</w:t>
            </w:r>
          </w:p>
        </w:tc>
        <w:tc>
          <w:tcPr>
            <w:tcW w:w="1760" w:type="dxa"/>
            <w:tcBorders>
              <w:top w:val="nil"/>
              <w:left w:val="nil"/>
              <w:bottom w:val="single" w:sz="4" w:space="0" w:color="auto"/>
              <w:right w:val="single" w:sz="4" w:space="0" w:color="auto"/>
            </w:tcBorders>
            <w:shd w:val="clear" w:color="auto" w:fill="C4EFCE"/>
            <w:vAlign w:val="center"/>
            <w:hideMark/>
          </w:tcPr>
          <w:p w14:paraId="04039DCF" w14:textId="77777777" w:rsidR="00F24946" w:rsidRDefault="00613B06">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19C9B77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90ED1B" w14:textId="77777777" w:rsidR="00F24946" w:rsidRDefault="00613B06">
            <w:pPr>
              <w:pStyle w:val="P68B1DB1-Normal23"/>
              <w:spacing w:after="0"/>
              <w:jc w:val="both"/>
              <w:rPr>
                <w:rFonts w:eastAsia="Calibri" w:cs="Calibri"/>
                <w:noProof/>
              </w:rPr>
            </w:pPr>
            <w:r>
              <w:rPr>
                <w:noProof/>
              </w:rPr>
              <w:t>Finančna podpora za digitalni prehod knjigarn</w:t>
            </w:r>
          </w:p>
        </w:tc>
      </w:tr>
      <w:tr w:rsidR="00F24946" w14:paraId="53B3FF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799066" w14:textId="77777777" w:rsidR="00F24946" w:rsidRDefault="00613B06">
            <w:pPr>
              <w:pStyle w:val="P68B1DB1-Normal23"/>
              <w:spacing w:after="0"/>
              <w:jc w:val="center"/>
              <w:rPr>
                <w:rFonts w:eastAsia="Calibri" w:cs="Calibri"/>
                <w:noProof/>
              </w:rPr>
            </w:pPr>
            <w:r>
              <w:rPr>
                <w:noProof/>
              </w:rPr>
              <w:t>4.3</w:t>
            </w:r>
          </w:p>
        </w:tc>
        <w:tc>
          <w:tcPr>
            <w:tcW w:w="1760" w:type="dxa"/>
            <w:tcBorders>
              <w:top w:val="nil"/>
              <w:left w:val="nil"/>
              <w:bottom w:val="single" w:sz="4" w:space="0" w:color="auto"/>
              <w:right w:val="single" w:sz="4" w:space="0" w:color="auto"/>
            </w:tcBorders>
            <w:shd w:val="clear" w:color="auto" w:fill="C4EFCE"/>
            <w:vAlign w:val="center"/>
            <w:hideMark/>
          </w:tcPr>
          <w:p w14:paraId="19A59DC1" w14:textId="77777777" w:rsidR="00F24946" w:rsidRDefault="00613B06">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01A1C2F8"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C14D01" w14:textId="77777777" w:rsidR="00F24946" w:rsidRDefault="00613B06">
            <w:pPr>
              <w:pStyle w:val="P68B1DB1-Normal23"/>
              <w:spacing w:after="0"/>
              <w:jc w:val="both"/>
              <w:rPr>
                <w:rFonts w:eastAsia="Calibri" w:cs="Calibri"/>
                <w:noProof/>
              </w:rPr>
            </w:pPr>
            <w:r>
              <w:rPr>
                <w:noProof/>
              </w:rPr>
              <w:t>Digitalizacija in virtualizacija javnih zbirk</w:t>
            </w:r>
          </w:p>
        </w:tc>
      </w:tr>
      <w:tr w:rsidR="00F24946" w14:paraId="056817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6ED163" w14:textId="77777777" w:rsidR="00F24946" w:rsidRDefault="00613B06">
            <w:pPr>
              <w:pStyle w:val="P68B1DB1-Normal23"/>
              <w:spacing w:after="0"/>
              <w:jc w:val="center"/>
              <w:rPr>
                <w:rFonts w:eastAsia="Calibri" w:cs="Calibri"/>
                <w:noProof/>
              </w:rPr>
            </w:pPr>
            <w:r>
              <w:rPr>
                <w:noProof/>
              </w:rPr>
              <w:t>4.5</w:t>
            </w:r>
          </w:p>
        </w:tc>
        <w:tc>
          <w:tcPr>
            <w:tcW w:w="1760" w:type="dxa"/>
            <w:tcBorders>
              <w:top w:val="nil"/>
              <w:left w:val="nil"/>
              <w:bottom w:val="single" w:sz="4" w:space="0" w:color="auto"/>
              <w:right w:val="single" w:sz="4" w:space="0" w:color="auto"/>
            </w:tcBorders>
            <w:shd w:val="clear" w:color="auto" w:fill="C4EFCE"/>
            <w:vAlign w:val="center"/>
            <w:hideMark/>
          </w:tcPr>
          <w:p w14:paraId="2563A114" w14:textId="77777777" w:rsidR="00F24946" w:rsidRDefault="00613B06">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7A27352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2E5462" w14:textId="77777777" w:rsidR="00F24946" w:rsidRDefault="00613B06">
            <w:pPr>
              <w:pStyle w:val="P68B1DB1-Normal23"/>
              <w:spacing w:after="0"/>
              <w:jc w:val="both"/>
              <w:rPr>
                <w:rFonts w:eastAsia="Calibri" w:cs="Calibri"/>
                <w:noProof/>
              </w:rPr>
            </w:pPr>
            <w:r>
              <w:rPr>
                <w:noProof/>
              </w:rPr>
              <w:t>Finančna podpora za prevajanje in izdajanje književnih del</w:t>
            </w:r>
          </w:p>
        </w:tc>
      </w:tr>
      <w:tr w:rsidR="00F24946" w14:paraId="7117E2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53E8A8" w14:textId="77777777" w:rsidR="00F24946" w:rsidRDefault="00613B06">
            <w:pPr>
              <w:pStyle w:val="P68B1DB1-Normal23"/>
              <w:spacing w:after="0"/>
              <w:jc w:val="center"/>
              <w:rPr>
                <w:rFonts w:eastAsia="Calibri" w:cs="Calibri"/>
                <w:noProof/>
              </w:rPr>
            </w:pPr>
            <w:r>
              <w:rPr>
                <w:noProof/>
              </w:rPr>
              <w:t>4.11</w:t>
            </w:r>
          </w:p>
        </w:tc>
        <w:tc>
          <w:tcPr>
            <w:tcW w:w="1760" w:type="dxa"/>
            <w:tcBorders>
              <w:top w:val="nil"/>
              <w:left w:val="nil"/>
              <w:bottom w:val="single" w:sz="4" w:space="0" w:color="auto"/>
              <w:right w:val="single" w:sz="4" w:space="0" w:color="auto"/>
            </w:tcBorders>
            <w:shd w:val="clear" w:color="auto" w:fill="C4EFCE"/>
            <w:vAlign w:val="center"/>
            <w:hideMark/>
          </w:tcPr>
          <w:p w14:paraId="7F112129" w14:textId="77777777" w:rsidR="00F24946" w:rsidRDefault="00613B06">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4F32219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13ECBA9" w14:textId="77777777" w:rsidR="00F24946" w:rsidRDefault="00613B06">
            <w:pPr>
              <w:pStyle w:val="P68B1DB1-Normal23"/>
              <w:spacing w:after="0"/>
              <w:jc w:val="both"/>
              <w:rPr>
                <w:rFonts w:eastAsia="Calibri" w:cs="Calibri"/>
                <w:noProof/>
              </w:rPr>
            </w:pPr>
            <w:r>
              <w:rPr>
                <w:noProof/>
              </w:rPr>
              <w:t>Namestitev laboratorijev in poti pobude za tehnološki center „Saber Fazer“ ter vzpostavitev pedagoških in informativnih dejavnosti o tradicionalnih tehnikah.</w:t>
            </w:r>
          </w:p>
        </w:tc>
      </w:tr>
      <w:tr w:rsidR="00F24946" w14:paraId="54F146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503CAB" w14:textId="77777777" w:rsidR="00F24946" w:rsidRDefault="00613B06">
            <w:pPr>
              <w:pStyle w:val="P68B1DB1-Normal23"/>
              <w:spacing w:after="0"/>
              <w:jc w:val="center"/>
              <w:rPr>
                <w:rFonts w:eastAsia="Calibri" w:cs="Calibri"/>
                <w:noProof/>
              </w:rPr>
            </w:pPr>
            <w:r>
              <w:rPr>
                <w:noProof/>
              </w:rPr>
              <w:t>5.6</w:t>
            </w:r>
          </w:p>
        </w:tc>
        <w:tc>
          <w:tcPr>
            <w:tcW w:w="1760" w:type="dxa"/>
            <w:tcBorders>
              <w:top w:val="nil"/>
              <w:left w:val="nil"/>
              <w:bottom w:val="single" w:sz="4" w:space="0" w:color="auto"/>
              <w:right w:val="single" w:sz="4" w:space="0" w:color="auto"/>
            </w:tcBorders>
            <w:shd w:val="clear" w:color="auto" w:fill="C4EFCE"/>
            <w:vAlign w:val="center"/>
            <w:hideMark/>
          </w:tcPr>
          <w:p w14:paraId="6D345099" w14:textId="77777777" w:rsidR="00F24946" w:rsidRDefault="00613B06">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0B04EDA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1ED57F" w14:textId="77777777" w:rsidR="00F24946" w:rsidRDefault="00613B06">
            <w:pPr>
              <w:pStyle w:val="P68B1DB1-Normal23"/>
              <w:spacing w:after="0"/>
              <w:jc w:val="both"/>
              <w:rPr>
                <w:rFonts w:eastAsia="Calibri" w:cs="Calibri"/>
                <w:noProof/>
              </w:rPr>
            </w:pPr>
            <w:r>
              <w:rPr>
                <w:noProof/>
              </w:rPr>
              <w:t>Zaključek izvajanja šestih pogodb (inovacijski pakti ali projekti mobilizacije)</w:t>
            </w:r>
          </w:p>
        </w:tc>
      </w:tr>
      <w:tr w:rsidR="00F24946" w14:paraId="56FFCB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1EDCEE" w14:textId="77777777" w:rsidR="00F24946" w:rsidRDefault="00613B06">
            <w:pPr>
              <w:pStyle w:val="P68B1DB1-Normal23"/>
              <w:spacing w:after="0"/>
              <w:jc w:val="center"/>
              <w:rPr>
                <w:rFonts w:eastAsia="Calibri" w:cs="Calibri"/>
                <w:noProof/>
              </w:rPr>
            </w:pPr>
            <w:r>
              <w:rPr>
                <w:noProof/>
              </w:rPr>
              <w:t>5.8</w:t>
            </w:r>
          </w:p>
        </w:tc>
        <w:tc>
          <w:tcPr>
            <w:tcW w:w="1760" w:type="dxa"/>
            <w:tcBorders>
              <w:top w:val="nil"/>
              <w:left w:val="nil"/>
              <w:bottom w:val="single" w:sz="4" w:space="0" w:color="auto"/>
              <w:right w:val="single" w:sz="4" w:space="0" w:color="auto"/>
            </w:tcBorders>
            <w:shd w:val="clear" w:color="auto" w:fill="C4EFCE"/>
            <w:vAlign w:val="center"/>
            <w:hideMark/>
          </w:tcPr>
          <w:p w14:paraId="060E7E77" w14:textId="77777777" w:rsidR="00F24946" w:rsidRDefault="00613B06">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7516533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82BFAA" w14:textId="77777777" w:rsidR="00F24946" w:rsidRDefault="00613B06">
            <w:pPr>
              <w:pStyle w:val="P68B1DB1-Normal23"/>
              <w:spacing w:after="0"/>
              <w:jc w:val="both"/>
              <w:rPr>
                <w:rFonts w:eastAsia="Calibri" w:cs="Calibri"/>
                <w:noProof/>
              </w:rPr>
            </w:pPr>
            <w:r>
              <w:rPr>
                <w:noProof/>
              </w:rPr>
              <w:t>Dokončani proizvodi, procesi ali storitve v zvezi z nizkoogljičnim gospodarstvom, odpornostjo in prilagajanjem podnebnim spremembam</w:t>
            </w:r>
          </w:p>
        </w:tc>
      </w:tr>
      <w:tr w:rsidR="00F24946" w14:paraId="5DA861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E31B91E" w14:textId="77777777" w:rsidR="00F24946" w:rsidRDefault="00613B06">
            <w:pPr>
              <w:pStyle w:val="P68B1DB1-Normal23"/>
              <w:spacing w:after="0"/>
              <w:jc w:val="center"/>
              <w:rPr>
                <w:rFonts w:eastAsia="Calibri" w:cs="Calibri"/>
                <w:noProof/>
              </w:rPr>
            </w:pPr>
            <w:r>
              <w:rPr>
                <w:noProof/>
              </w:rPr>
              <w:t>5.10</w:t>
            </w:r>
          </w:p>
        </w:tc>
        <w:tc>
          <w:tcPr>
            <w:tcW w:w="1760" w:type="dxa"/>
            <w:tcBorders>
              <w:top w:val="nil"/>
              <w:left w:val="nil"/>
              <w:bottom w:val="single" w:sz="4" w:space="0" w:color="auto"/>
              <w:right w:val="single" w:sz="4" w:space="0" w:color="auto"/>
            </w:tcBorders>
            <w:shd w:val="clear" w:color="auto" w:fill="C4EFCE"/>
            <w:vAlign w:val="center"/>
            <w:hideMark/>
          </w:tcPr>
          <w:p w14:paraId="44979142" w14:textId="77777777" w:rsidR="00F24946" w:rsidRDefault="00613B06">
            <w:pPr>
              <w:pStyle w:val="P68B1DB1-Normal23"/>
              <w:spacing w:after="0"/>
              <w:jc w:val="center"/>
              <w:rPr>
                <w:rFonts w:eastAsia="Calibri" w:cs="Calibri"/>
                <w:noProof/>
              </w:rPr>
            </w:pPr>
            <w:r>
              <w:rPr>
                <w:noProof/>
              </w:rPr>
              <w:t>Re-C05-i02</w:t>
            </w:r>
          </w:p>
        </w:tc>
        <w:tc>
          <w:tcPr>
            <w:tcW w:w="1520" w:type="dxa"/>
            <w:tcBorders>
              <w:top w:val="nil"/>
              <w:left w:val="nil"/>
              <w:bottom w:val="single" w:sz="4" w:space="0" w:color="auto"/>
              <w:right w:val="single" w:sz="4" w:space="0" w:color="auto"/>
            </w:tcBorders>
            <w:shd w:val="clear" w:color="auto" w:fill="C4EFCE"/>
            <w:vAlign w:val="center"/>
            <w:hideMark/>
          </w:tcPr>
          <w:p w14:paraId="05AC774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467D021" w14:textId="77777777" w:rsidR="00F24946" w:rsidRDefault="00613B06">
            <w:pPr>
              <w:pStyle w:val="P68B1DB1-Normal23"/>
              <w:spacing w:after="0"/>
              <w:jc w:val="both"/>
              <w:rPr>
                <w:rFonts w:eastAsia="Calibri" w:cs="Calibri"/>
                <w:noProof/>
              </w:rPr>
            </w:pPr>
            <w:r>
              <w:rPr>
                <w:noProof/>
              </w:rPr>
              <w:t>Podjetja, ki imajo koristi od storitev, ki jih zagotavljajo vmesni subjekti, vključno s sodelovalnimi laboratoriji – Colabs</w:t>
            </w:r>
          </w:p>
        </w:tc>
      </w:tr>
      <w:tr w:rsidR="00F24946" w14:paraId="13B590C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BD9B58" w14:textId="77777777" w:rsidR="00F24946" w:rsidRDefault="00613B06">
            <w:pPr>
              <w:pStyle w:val="P68B1DB1-Normal23"/>
              <w:spacing w:after="0"/>
              <w:jc w:val="center"/>
              <w:rPr>
                <w:rFonts w:eastAsia="Calibri" w:cs="Calibri"/>
                <w:noProof/>
              </w:rPr>
            </w:pPr>
            <w:r>
              <w:rPr>
                <w:noProof/>
              </w:rPr>
              <w:t>5.12</w:t>
            </w:r>
          </w:p>
        </w:tc>
        <w:tc>
          <w:tcPr>
            <w:tcW w:w="1760" w:type="dxa"/>
            <w:tcBorders>
              <w:top w:val="nil"/>
              <w:left w:val="nil"/>
              <w:bottom w:val="single" w:sz="4" w:space="0" w:color="auto"/>
              <w:right w:val="single" w:sz="4" w:space="0" w:color="auto"/>
            </w:tcBorders>
            <w:shd w:val="clear" w:color="auto" w:fill="C4EFCE"/>
            <w:vAlign w:val="center"/>
            <w:hideMark/>
          </w:tcPr>
          <w:p w14:paraId="47FD4194" w14:textId="77777777" w:rsidR="00F24946" w:rsidRDefault="00613B06">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59C9B6F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7CE04C" w14:textId="77777777" w:rsidR="00F24946" w:rsidRDefault="00613B06">
            <w:pPr>
              <w:pStyle w:val="P68B1DB1-Normal23"/>
              <w:spacing w:after="0"/>
              <w:jc w:val="both"/>
              <w:rPr>
                <w:rFonts w:eastAsia="Calibri" w:cs="Calibri"/>
                <w:noProof/>
              </w:rPr>
            </w:pPr>
            <w:r>
              <w:rPr>
                <w:noProof/>
              </w:rPr>
              <w:t>Zaključek inovacijskih in raziskovalnih projektov, osredotočenih na zelene vidike inovacijske agende za kmetijstvo do leta 2030</w:t>
            </w:r>
          </w:p>
        </w:tc>
      </w:tr>
      <w:tr w:rsidR="00F24946" w14:paraId="67C701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7804C4E" w14:textId="77777777" w:rsidR="00F24946" w:rsidRDefault="00613B06">
            <w:pPr>
              <w:pStyle w:val="P68B1DB1-Normal23"/>
              <w:spacing w:after="0"/>
              <w:jc w:val="center"/>
              <w:rPr>
                <w:rFonts w:eastAsia="Calibri" w:cs="Calibri"/>
                <w:noProof/>
              </w:rPr>
            </w:pPr>
            <w:r>
              <w:rPr>
                <w:noProof/>
              </w:rPr>
              <w:t>5.13</w:t>
            </w:r>
          </w:p>
        </w:tc>
        <w:tc>
          <w:tcPr>
            <w:tcW w:w="1760" w:type="dxa"/>
            <w:tcBorders>
              <w:top w:val="nil"/>
              <w:left w:val="nil"/>
              <w:bottom w:val="single" w:sz="4" w:space="0" w:color="auto"/>
              <w:right w:val="single" w:sz="4" w:space="0" w:color="auto"/>
            </w:tcBorders>
            <w:shd w:val="clear" w:color="auto" w:fill="C4EFCE"/>
            <w:vAlign w:val="center"/>
            <w:hideMark/>
          </w:tcPr>
          <w:p w14:paraId="4FFC2BA5" w14:textId="77777777" w:rsidR="00F24946" w:rsidRDefault="00613B06">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1823349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A4F13A" w14:textId="2A433732" w:rsidR="00F24946" w:rsidRDefault="00613B06">
            <w:pPr>
              <w:pStyle w:val="P68B1DB1-Normal23"/>
              <w:spacing w:after="0"/>
              <w:jc w:val="both"/>
              <w:rPr>
                <w:rFonts w:eastAsia="Calibri" w:cs="Calibri"/>
                <w:noProof/>
              </w:rPr>
            </w:pPr>
            <w:r>
              <w:rPr>
                <w:noProof/>
              </w:rPr>
              <w:t>Zaključek petih strukturnih projektov, ki se osredotočajo na digitalne vidike inovacijske agende za kmetijstvo do leta 2030</w:t>
            </w:r>
          </w:p>
        </w:tc>
      </w:tr>
      <w:tr w:rsidR="00F24946" w14:paraId="26F745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88FE5F" w14:textId="77777777" w:rsidR="00F24946" w:rsidRDefault="00613B06">
            <w:pPr>
              <w:pStyle w:val="P68B1DB1-Normal23"/>
              <w:spacing w:after="0"/>
              <w:jc w:val="center"/>
              <w:rPr>
                <w:rFonts w:eastAsia="Calibri" w:cs="Calibri"/>
                <w:noProof/>
              </w:rPr>
            </w:pPr>
            <w:r>
              <w:rPr>
                <w:noProof/>
              </w:rPr>
              <w:t>5.14</w:t>
            </w:r>
          </w:p>
        </w:tc>
        <w:tc>
          <w:tcPr>
            <w:tcW w:w="1760" w:type="dxa"/>
            <w:tcBorders>
              <w:top w:val="nil"/>
              <w:left w:val="nil"/>
              <w:bottom w:val="single" w:sz="4" w:space="0" w:color="auto"/>
              <w:right w:val="single" w:sz="4" w:space="0" w:color="auto"/>
            </w:tcBorders>
            <w:shd w:val="clear" w:color="auto" w:fill="C4EFCE"/>
            <w:vAlign w:val="center"/>
            <w:hideMark/>
          </w:tcPr>
          <w:p w14:paraId="1A936CD6" w14:textId="77777777" w:rsidR="00F24946" w:rsidRDefault="00613B06">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24C31DE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C5F817B" w14:textId="77777777" w:rsidR="00F24946" w:rsidRDefault="00613B06">
            <w:pPr>
              <w:pStyle w:val="P68B1DB1-Normal23"/>
              <w:spacing w:after="0"/>
              <w:jc w:val="both"/>
              <w:rPr>
                <w:rFonts w:eastAsia="Calibri" w:cs="Calibri"/>
                <w:noProof/>
              </w:rPr>
            </w:pPr>
            <w:r>
              <w:rPr>
                <w:noProof/>
              </w:rPr>
              <w:t>Obnova/nadgradnja vozlišč za inovacije v kmetijstvu</w:t>
            </w:r>
          </w:p>
        </w:tc>
      </w:tr>
      <w:tr w:rsidR="00F24946" w14:paraId="485018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43FF5A" w14:textId="77777777" w:rsidR="00F24946" w:rsidRDefault="00613B06">
            <w:pPr>
              <w:pStyle w:val="P68B1DB1-Normal23"/>
              <w:spacing w:after="0"/>
              <w:jc w:val="center"/>
              <w:rPr>
                <w:rFonts w:eastAsia="Calibri" w:cs="Calibri"/>
                <w:noProof/>
              </w:rPr>
            </w:pPr>
            <w:r>
              <w:rPr>
                <w:noProof/>
              </w:rPr>
              <w:t>5.17</w:t>
            </w:r>
          </w:p>
        </w:tc>
        <w:tc>
          <w:tcPr>
            <w:tcW w:w="1760" w:type="dxa"/>
            <w:tcBorders>
              <w:top w:val="nil"/>
              <w:left w:val="nil"/>
              <w:bottom w:val="single" w:sz="4" w:space="0" w:color="auto"/>
              <w:right w:val="single" w:sz="4" w:space="0" w:color="auto"/>
            </w:tcBorders>
            <w:shd w:val="clear" w:color="auto" w:fill="C4EFCE"/>
            <w:vAlign w:val="center"/>
            <w:hideMark/>
          </w:tcPr>
          <w:p w14:paraId="06A80BBF" w14:textId="77777777" w:rsidR="00F24946" w:rsidRDefault="00613B06">
            <w:pPr>
              <w:pStyle w:val="P68B1DB1-Normal23"/>
              <w:spacing w:after="0"/>
              <w:jc w:val="center"/>
              <w:rPr>
                <w:rFonts w:eastAsia="Calibri" w:cs="Calibri"/>
                <w:noProof/>
              </w:rPr>
            </w:pPr>
            <w:r>
              <w:rPr>
                <w:noProof/>
              </w:rPr>
              <w:t>Re-C05-i04-RAA</w:t>
            </w:r>
          </w:p>
        </w:tc>
        <w:tc>
          <w:tcPr>
            <w:tcW w:w="1520" w:type="dxa"/>
            <w:tcBorders>
              <w:top w:val="nil"/>
              <w:left w:val="nil"/>
              <w:bottom w:val="single" w:sz="4" w:space="0" w:color="auto"/>
              <w:right w:val="single" w:sz="4" w:space="0" w:color="auto"/>
            </w:tcBorders>
            <w:shd w:val="clear" w:color="auto" w:fill="C4EFCE"/>
            <w:vAlign w:val="center"/>
            <w:hideMark/>
          </w:tcPr>
          <w:p w14:paraId="77D74F2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04E19E" w14:textId="77777777" w:rsidR="00F24946" w:rsidRDefault="00613B06">
            <w:pPr>
              <w:pStyle w:val="P68B1DB1-Normal23"/>
              <w:spacing w:after="0"/>
              <w:jc w:val="both"/>
              <w:rPr>
                <w:rFonts w:eastAsia="Calibri" w:cs="Calibri"/>
                <w:noProof/>
              </w:rPr>
            </w:pPr>
            <w:r>
              <w:rPr>
                <w:noProof/>
              </w:rPr>
              <w:t>Zagotovitev podpore v skupnem znesku 125 000 000 EUR nefinančnim družbam regije v obliki lastniškega kapitala in navideznega lastniškega kapitala v skladu z naložbeno politiko instrumenta. Okvirno se ocenjuje, da bo z dokončanjem načrta podprtih vsaj 300 podjetij.</w:t>
            </w:r>
          </w:p>
        </w:tc>
      </w:tr>
      <w:tr w:rsidR="00F24946" w14:paraId="76F54C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C7F55C" w14:textId="77777777" w:rsidR="00F24946" w:rsidRDefault="00613B06">
            <w:pPr>
              <w:pStyle w:val="P68B1DB1-Normal23"/>
              <w:spacing w:after="0"/>
              <w:jc w:val="center"/>
              <w:rPr>
                <w:rFonts w:eastAsia="Calibri" w:cs="Calibri"/>
                <w:noProof/>
              </w:rPr>
            </w:pPr>
            <w:r>
              <w:rPr>
                <w:noProof/>
              </w:rPr>
              <w:t>5.19</w:t>
            </w:r>
          </w:p>
        </w:tc>
        <w:tc>
          <w:tcPr>
            <w:tcW w:w="1760" w:type="dxa"/>
            <w:tcBorders>
              <w:top w:val="nil"/>
              <w:left w:val="nil"/>
              <w:bottom w:val="single" w:sz="4" w:space="0" w:color="auto"/>
              <w:right w:val="single" w:sz="4" w:space="0" w:color="auto"/>
            </w:tcBorders>
            <w:shd w:val="clear" w:color="auto" w:fill="C4EFCE"/>
            <w:vAlign w:val="center"/>
            <w:hideMark/>
          </w:tcPr>
          <w:p w14:paraId="691C999E" w14:textId="77777777" w:rsidR="00F24946" w:rsidRDefault="00613B06">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093E426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4854002" w14:textId="77777777" w:rsidR="00F24946" w:rsidRDefault="00613B06">
            <w:pPr>
              <w:pStyle w:val="P68B1DB1-Normal23"/>
              <w:spacing w:after="0"/>
              <w:jc w:val="both"/>
              <w:rPr>
                <w:rFonts w:eastAsia="Calibri" w:cs="Calibri"/>
                <w:noProof/>
              </w:rPr>
            </w:pPr>
            <w:r>
              <w:rPr>
                <w:noProof/>
              </w:rPr>
              <w:t>Nove (za nadomestitev zastarelih struktur) ali prekvalificirane strukture, odgovorne za zakol živali ter potrjevanje kakovosti mleka in varnosti hrane</w:t>
            </w:r>
          </w:p>
        </w:tc>
      </w:tr>
      <w:tr w:rsidR="00F24946" w14:paraId="6BB673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75E800" w14:textId="77777777" w:rsidR="00F24946" w:rsidRDefault="00613B06">
            <w:pPr>
              <w:pStyle w:val="P68B1DB1-Normal23"/>
              <w:spacing w:after="0"/>
              <w:jc w:val="center"/>
              <w:rPr>
                <w:rFonts w:eastAsia="Calibri" w:cs="Calibri"/>
                <w:noProof/>
              </w:rPr>
            </w:pPr>
            <w:r>
              <w:rPr>
                <w:noProof/>
              </w:rPr>
              <w:t>5.20</w:t>
            </w:r>
          </w:p>
        </w:tc>
        <w:tc>
          <w:tcPr>
            <w:tcW w:w="1760" w:type="dxa"/>
            <w:tcBorders>
              <w:top w:val="nil"/>
              <w:left w:val="nil"/>
              <w:bottom w:val="single" w:sz="4" w:space="0" w:color="auto"/>
              <w:right w:val="single" w:sz="4" w:space="0" w:color="auto"/>
            </w:tcBorders>
            <w:shd w:val="clear" w:color="auto" w:fill="C4EFCE"/>
            <w:vAlign w:val="center"/>
            <w:hideMark/>
          </w:tcPr>
          <w:p w14:paraId="35521E65" w14:textId="77777777" w:rsidR="00F24946" w:rsidRDefault="00613B06">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2A64CCB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0ED2B5" w14:textId="77777777" w:rsidR="00F24946" w:rsidRDefault="00613B06">
            <w:pPr>
              <w:pStyle w:val="P68B1DB1-Normal23"/>
              <w:spacing w:after="0"/>
              <w:jc w:val="both"/>
              <w:rPr>
                <w:rFonts w:eastAsia="Calibri" w:cs="Calibri"/>
                <w:noProof/>
              </w:rPr>
            </w:pPr>
            <w:r>
              <w:rPr>
                <w:noProof/>
              </w:rPr>
              <w:t>Projekti, podprti v okviru shem podpore za prestrukturiranje podjetij v sektorju predelave in trženja</w:t>
            </w:r>
          </w:p>
        </w:tc>
      </w:tr>
      <w:tr w:rsidR="00F24946" w14:paraId="3FDB28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78BD67" w14:textId="77777777" w:rsidR="00F24946" w:rsidRDefault="00613B06">
            <w:pPr>
              <w:pStyle w:val="P68B1DB1-Normal23"/>
              <w:spacing w:after="0"/>
              <w:jc w:val="center"/>
              <w:rPr>
                <w:rFonts w:eastAsia="Calibri" w:cs="Calibri"/>
                <w:noProof/>
              </w:rPr>
            </w:pPr>
            <w:r>
              <w:rPr>
                <w:noProof/>
              </w:rPr>
              <w:t>5.21</w:t>
            </w:r>
          </w:p>
        </w:tc>
        <w:tc>
          <w:tcPr>
            <w:tcW w:w="1760" w:type="dxa"/>
            <w:tcBorders>
              <w:top w:val="nil"/>
              <w:left w:val="nil"/>
              <w:bottom w:val="single" w:sz="4" w:space="0" w:color="auto"/>
              <w:right w:val="single" w:sz="4" w:space="0" w:color="auto"/>
            </w:tcBorders>
            <w:shd w:val="clear" w:color="auto" w:fill="C4EFCE"/>
            <w:vAlign w:val="center"/>
            <w:hideMark/>
          </w:tcPr>
          <w:p w14:paraId="2006E72B" w14:textId="77777777" w:rsidR="00F24946" w:rsidRDefault="00613B06">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43DF32C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AC44E0" w14:textId="77777777" w:rsidR="00F24946" w:rsidRDefault="00613B06">
            <w:pPr>
              <w:pStyle w:val="P68B1DB1-Normal23"/>
              <w:spacing w:after="0"/>
              <w:jc w:val="both"/>
              <w:rPr>
                <w:rFonts w:eastAsia="Calibri" w:cs="Calibri"/>
                <w:noProof/>
              </w:rPr>
            </w:pPr>
            <w:r>
              <w:rPr>
                <w:noProof/>
              </w:rPr>
              <w:t>Projekti, podprti v okviru shem podpore za prestrukturiranje kmetij</w:t>
            </w:r>
          </w:p>
        </w:tc>
      </w:tr>
      <w:tr w:rsidR="00F24946" w14:paraId="100DF5DB"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5BC21F8" w14:textId="77777777" w:rsidR="00F24946" w:rsidRDefault="00613B06">
            <w:pPr>
              <w:pStyle w:val="P68B1DB1-Normal23"/>
              <w:spacing w:after="0"/>
              <w:jc w:val="center"/>
              <w:rPr>
                <w:rFonts w:eastAsia="Calibri" w:cs="Calibri"/>
                <w:noProof/>
              </w:rPr>
            </w:pPr>
            <w:r>
              <w:rPr>
                <w:noProof/>
              </w:rPr>
              <w:t>5.22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7005F4" w14:textId="77777777" w:rsidR="00F24946" w:rsidRDefault="00613B06">
            <w:pPr>
              <w:pStyle w:val="P68B1DB1-Normal23"/>
              <w:spacing w:after="0"/>
              <w:jc w:val="center"/>
              <w:rPr>
                <w:rFonts w:eastAsia="Calibri" w:cs="Calibri"/>
                <w:noProof/>
              </w:rPr>
            </w:pPr>
            <w:r>
              <w:rPr>
                <w:noProof/>
              </w:rPr>
              <w:t>Re-C05-i05-RAA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A139D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D347233" w14:textId="77777777" w:rsidR="00F24946" w:rsidRDefault="00613B06">
            <w:pPr>
              <w:pStyle w:val="P68B1DB1-Normal23"/>
              <w:spacing w:after="0"/>
              <w:jc w:val="both"/>
              <w:rPr>
                <w:rFonts w:eastAsia="Calibri" w:cs="Calibri"/>
                <w:noProof/>
              </w:rPr>
            </w:pPr>
            <w:r>
              <w:rPr>
                <w:noProof/>
              </w:rPr>
              <w:t>Kmetije, ki prejemajo specializirano tehnično podporo v okviru programa za krepitev vloge kmetov</w:t>
            </w:r>
          </w:p>
        </w:tc>
      </w:tr>
      <w:tr w:rsidR="00F24946" w14:paraId="30BF76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9D989F" w14:textId="77777777" w:rsidR="00F24946" w:rsidRDefault="00613B06">
            <w:pPr>
              <w:pStyle w:val="P68B1DB1-Normal23"/>
              <w:spacing w:after="0"/>
              <w:jc w:val="center"/>
              <w:rPr>
                <w:rFonts w:eastAsia="Calibri" w:cs="Calibri"/>
                <w:noProof/>
              </w:rPr>
            </w:pPr>
            <w:r>
              <w:rPr>
                <w:noProof/>
              </w:rPr>
              <w:t>5.34</w:t>
            </w:r>
          </w:p>
        </w:tc>
        <w:tc>
          <w:tcPr>
            <w:tcW w:w="1760" w:type="dxa"/>
            <w:tcBorders>
              <w:top w:val="nil"/>
              <w:left w:val="nil"/>
              <w:bottom w:val="single" w:sz="4" w:space="0" w:color="auto"/>
              <w:right w:val="single" w:sz="4" w:space="0" w:color="auto"/>
            </w:tcBorders>
            <w:shd w:val="clear" w:color="auto" w:fill="C4EFCE"/>
            <w:vAlign w:val="center"/>
            <w:hideMark/>
          </w:tcPr>
          <w:p w14:paraId="72F4B8DE" w14:textId="1915F13C" w:rsidR="00F24946" w:rsidRDefault="00613B06">
            <w:pPr>
              <w:pStyle w:val="P68B1DB1-Normal23"/>
              <w:spacing w:after="0"/>
              <w:jc w:val="center"/>
              <w:rPr>
                <w:rFonts w:eastAsia="Calibri" w:cs="Calibri"/>
                <w:noProof/>
              </w:rPr>
            </w:pPr>
            <w:r>
              <w:rPr>
                <w:noProof/>
              </w:rPr>
              <w:t>Re-C05-i07-RAM</w:t>
            </w:r>
          </w:p>
        </w:tc>
        <w:tc>
          <w:tcPr>
            <w:tcW w:w="1520" w:type="dxa"/>
            <w:tcBorders>
              <w:top w:val="nil"/>
              <w:left w:val="nil"/>
              <w:bottom w:val="single" w:sz="4" w:space="0" w:color="auto"/>
              <w:right w:val="single" w:sz="4" w:space="0" w:color="auto"/>
            </w:tcBorders>
            <w:shd w:val="clear" w:color="auto" w:fill="C4EFCE"/>
            <w:vAlign w:val="center"/>
            <w:hideMark/>
          </w:tcPr>
          <w:p w14:paraId="316503D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50AB12" w14:textId="77777777" w:rsidR="00F24946" w:rsidRDefault="00613B06">
            <w:pPr>
              <w:pStyle w:val="P68B1DB1-Normal23"/>
              <w:spacing w:after="0"/>
              <w:jc w:val="both"/>
              <w:rPr>
                <w:rFonts w:eastAsia="Calibri" w:cs="Calibri"/>
                <w:noProof/>
              </w:rPr>
            </w:pPr>
            <w:r>
              <w:rPr>
                <w:noProof/>
              </w:rPr>
              <w:t>Jamstva za posojila, ki podpirajo projekte regionalnih podjetij.</w:t>
            </w:r>
          </w:p>
        </w:tc>
      </w:tr>
      <w:tr w:rsidR="00F24946" w14:paraId="1D91A46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3F7491" w14:textId="77777777" w:rsidR="00F24946" w:rsidRDefault="00613B06">
            <w:pPr>
              <w:pStyle w:val="P68B1DB1-Normal23"/>
              <w:spacing w:after="0"/>
              <w:jc w:val="center"/>
              <w:rPr>
                <w:rFonts w:eastAsia="Calibri" w:cs="Calibri"/>
                <w:noProof/>
              </w:rPr>
            </w:pPr>
            <w:r>
              <w:rPr>
                <w:noProof/>
              </w:rPr>
              <w:t>5.35</w:t>
            </w:r>
          </w:p>
        </w:tc>
        <w:tc>
          <w:tcPr>
            <w:tcW w:w="1760" w:type="dxa"/>
            <w:tcBorders>
              <w:top w:val="nil"/>
              <w:left w:val="nil"/>
              <w:bottom w:val="single" w:sz="4" w:space="0" w:color="auto"/>
              <w:right w:val="single" w:sz="4" w:space="0" w:color="auto"/>
            </w:tcBorders>
            <w:shd w:val="clear" w:color="auto" w:fill="C4EFCE"/>
            <w:vAlign w:val="center"/>
            <w:hideMark/>
          </w:tcPr>
          <w:p w14:paraId="6967C3AD" w14:textId="77777777" w:rsidR="00F24946" w:rsidRDefault="00613B06">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4CCABE5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F5823A" w14:textId="1C28B1CC" w:rsidR="00F24946" w:rsidRDefault="00613B06">
            <w:pPr>
              <w:pStyle w:val="P68B1DB1-Normal23"/>
              <w:spacing w:after="0"/>
              <w:jc w:val="both"/>
              <w:rPr>
                <w:rFonts w:eastAsia="Calibri" w:cs="Calibri"/>
                <w:noProof/>
              </w:rPr>
            </w:pPr>
            <w:r>
              <w:rPr>
                <w:noProof/>
              </w:rPr>
              <w:t>Zaključek „Kampusa Science XXI“ in „Znanostnega centra“ ter zagotavljanje storitev v okviru nacionalnega programa za odprto znanost in odprte raziskovalne podatke (PNCADAI)</w:t>
            </w:r>
          </w:p>
        </w:tc>
      </w:tr>
      <w:tr w:rsidR="00F24946" w14:paraId="7A31595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C6871" w14:textId="77777777" w:rsidR="00F24946" w:rsidRDefault="00613B06">
            <w:pPr>
              <w:pStyle w:val="P68B1DB1-Normal23"/>
              <w:spacing w:after="0"/>
              <w:jc w:val="center"/>
              <w:rPr>
                <w:rFonts w:eastAsia="Calibri" w:cs="Calibri"/>
                <w:noProof/>
              </w:rPr>
            </w:pPr>
            <w:r>
              <w:rPr>
                <w:noProof/>
              </w:rPr>
              <w:t>5.40</w:t>
            </w:r>
          </w:p>
        </w:tc>
        <w:tc>
          <w:tcPr>
            <w:tcW w:w="1760" w:type="dxa"/>
            <w:tcBorders>
              <w:top w:val="nil"/>
              <w:left w:val="nil"/>
              <w:bottom w:val="single" w:sz="4" w:space="0" w:color="auto"/>
              <w:right w:val="single" w:sz="4" w:space="0" w:color="auto"/>
            </w:tcBorders>
            <w:shd w:val="clear" w:color="auto" w:fill="C4EFCE"/>
            <w:vAlign w:val="center"/>
            <w:hideMark/>
          </w:tcPr>
          <w:p w14:paraId="2F1FA845" w14:textId="77777777" w:rsidR="00F24946" w:rsidRDefault="00613B06">
            <w:pPr>
              <w:pStyle w:val="P68B1DB1-Normal23"/>
              <w:spacing w:after="0"/>
              <w:jc w:val="center"/>
              <w:rPr>
                <w:rFonts w:eastAsia="Calibri" w:cs="Calibri"/>
                <w:noProof/>
              </w:rPr>
            </w:pPr>
            <w:r>
              <w:rPr>
                <w:noProof/>
              </w:rPr>
              <w:t>Re-C05-i09</w:t>
            </w:r>
          </w:p>
        </w:tc>
        <w:tc>
          <w:tcPr>
            <w:tcW w:w="1520" w:type="dxa"/>
            <w:tcBorders>
              <w:top w:val="nil"/>
              <w:left w:val="nil"/>
              <w:bottom w:val="single" w:sz="4" w:space="0" w:color="auto"/>
              <w:right w:val="single" w:sz="4" w:space="0" w:color="auto"/>
            </w:tcBorders>
            <w:shd w:val="clear" w:color="auto" w:fill="C4EFCE"/>
            <w:vAlign w:val="center"/>
            <w:hideMark/>
          </w:tcPr>
          <w:p w14:paraId="6C87243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8591A6" w14:textId="77777777" w:rsidR="00F24946" w:rsidRDefault="00613B06">
            <w:pPr>
              <w:pStyle w:val="P68B1DB1-Normal23"/>
              <w:spacing w:after="0"/>
              <w:jc w:val="both"/>
              <w:rPr>
                <w:rFonts w:eastAsia="Calibri" w:cs="Calibri"/>
                <w:noProof/>
              </w:rPr>
            </w:pPr>
            <w:r>
              <w:rPr>
                <w:noProof/>
              </w:rPr>
              <w:t>Dokončanje 168 izdelkov, procesov ali storitev.</w:t>
            </w:r>
          </w:p>
        </w:tc>
      </w:tr>
      <w:tr w:rsidR="00F24946" w14:paraId="421627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3DDFE9" w14:textId="77777777" w:rsidR="00F24946" w:rsidRDefault="00613B06">
            <w:pPr>
              <w:pStyle w:val="P68B1DB1-Normal23"/>
              <w:spacing w:after="0"/>
              <w:jc w:val="center"/>
              <w:rPr>
                <w:rFonts w:eastAsia="Calibri" w:cs="Calibri"/>
                <w:noProof/>
              </w:rPr>
            </w:pPr>
            <w:r>
              <w:rPr>
                <w:noProof/>
              </w:rPr>
              <w:t>5.42</w:t>
            </w:r>
          </w:p>
        </w:tc>
        <w:tc>
          <w:tcPr>
            <w:tcW w:w="1760" w:type="dxa"/>
            <w:tcBorders>
              <w:top w:val="nil"/>
              <w:left w:val="nil"/>
              <w:bottom w:val="single" w:sz="4" w:space="0" w:color="auto"/>
              <w:right w:val="single" w:sz="4" w:space="0" w:color="auto"/>
            </w:tcBorders>
            <w:shd w:val="clear" w:color="auto" w:fill="C4EFCE"/>
            <w:vAlign w:val="center"/>
            <w:hideMark/>
          </w:tcPr>
          <w:p w14:paraId="2AC3BE32" w14:textId="77777777" w:rsidR="00F24946" w:rsidRDefault="00613B06">
            <w:pPr>
              <w:pStyle w:val="P68B1DB1-Normal23"/>
              <w:spacing w:after="0"/>
              <w:jc w:val="center"/>
              <w:rPr>
                <w:rFonts w:eastAsia="Calibri" w:cs="Calibri"/>
                <w:noProof/>
              </w:rPr>
            </w:pPr>
            <w:r>
              <w:rPr>
                <w:noProof/>
              </w:rPr>
              <w:t>Re-C05-i10</w:t>
            </w:r>
          </w:p>
        </w:tc>
        <w:tc>
          <w:tcPr>
            <w:tcW w:w="1520" w:type="dxa"/>
            <w:tcBorders>
              <w:top w:val="nil"/>
              <w:left w:val="nil"/>
              <w:bottom w:val="single" w:sz="4" w:space="0" w:color="auto"/>
              <w:right w:val="single" w:sz="4" w:space="0" w:color="auto"/>
            </w:tcBorders>
            <w:shd w:val="clear" w:color="auto" w:fill="C4EFCE"/>
            <w:vAlign w:val="center"/>
            <w:hideMark/>
          </w:tcPr>
          <w:p w14:paraId="326441C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B3B6ECA" w14:textId="77777777" w:rsidR="00F24946" w:rsidRDefault="00613B06">
            <w:pPr>
              <w:pStyle w:val="P68B1DB1-Normal23"/>
              <w:spacing w:after="0"/>
              <w:jc w:val="both"/>
              <w:rPr>
                <w:rFonts w:eastAsia="Calibri" w:cs="Calibri"/>
                <w:noProof/>
              </w:rPr>
            </w:pPr>
            <w:r>
              <w:rPr>
                <w:noProof/>
              </w:rPr>
              <w:t>Dokončanje proizvodov, procesov ali storitev, pomembnih za nizkoogljično gospodarstvo, odpornost in prilagajanje podnebnim spremembam.</w:t>
            </w:r>
          </w:p>
        </w:tc>
      </w:tr>
      <w:tr w:rsidR="00F24946" w14:paraId="14988A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04BD2D" w14:textId="77777777" w:rsidR="00F24946" w:rsidRDefault="00613B06">
            <w:pPr>
              <w:pStyle w:val="P68B1DB1-Normal23"/>
              <w:spacing w:after="0"/>
              <w:jc w:val="center"/>
              <w:rPr>
                <w:rFonts w:eastAsia="Calibri" w:cs="Calibri"/>
                <w:noProof/>
              </w:rPr>
            </w:pPr>
            <w:r>
              <w:rPr>
                <w:noProof/>
              </w:rPr>
              <w:t>6.2</w:t>
            </w:r>
          </w:p>
        </w:tc>
        <w:tc>
          <w:tcPr>
            <w:tcW w:w="1760" w:type="dxa"/>
            <w:tcBorders>
              <w:top w:val="nil"/>
              <w:left w:val="nil"/>
              <w:bottom w:val="single" w:sz="4" w:space="0" w:color="auto"/>
              <w:right w:val="single" w:sz="4" w:space="0" w:color="auto"/>
            </w:tcBorders>
            <w:shd w:val="clear" w:color="auto" w:fill="C4EFCE"/>
            <w:vAlign w:val="center"/>
            <w:hideMark/>
          </w:tcPr>
          <w:p w14:paraId="3BDA4A67" w14:textId="77777777" w:rsidR="00F24946" w:rsidRDefault="00613B06">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4065303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F70C1E" w14:textId="77777777" w:rsidR="00F24946" w:rsidRDefault="00613B06">
            <w:pPr>
              <w:pStyle w:val="P68B1DB1-Normal23"/>
              <w:spacing w:after="0"/>
              <w:jc w:val="both"/>
              <w:rPr>
                <w:rFonts w:eastAsia="Calibri" w:cs="Calibri"/>
                <w:noProof/>
              </w:rPr>
            </w:pPr>
            <w:r>
              <w:rPr>
                <w:noProof/>
              </w:rPr>
              <w:t>Prenovljeni ali zgrajeni specializirani tehnološki centri</w:t>
            </w:r>
          </w:p>
        </w:tc>
      </w:tr>
      <w:tr w:rsidR="00F24946" w14:paraId="67A0ACB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55146" w14:textId="77777777" w:rsidR="00F24946" w:rsidRDefault="00613B06">
            <w:pPr>
              <w:pStyle w:val="P68B1DB1-Normal23"/>
              <w:spacing w:after="0"/>
              <w:jc w:val="center"/>
              <w:rPr>
                <w:rFonts w:eastAsia="Calibri" w:cs="Calibri"/>
                <w:noProof/>
              </w:rPr>
            </w:pPr>
            <w:r>
              <w:rPr>
                <w:noProof/>
              </w:rPr>
              <w:t>6.4</w:t>
            </w:r>
          </w:p>
        </w:tc>
        <w:tc>
          <w:tcPr>
            <w:tcW w:w="1760" w:type="dxa"/>
            <w:tcBorders>
              <w:top w:val="nil"/>
              <w:left w:val="nil"/>
              <w:bottom w:val="single" w:sz="4" w:space="0" w:color="auto"/>
              <w:right w:val="single" w:sz="4" w:space="0" w:color="auto"/>
            </w:tcBorders>
            <w:shd w:val="clear" w:color="auto" w:fill="C4EFCE"/>
            <w:vAlign w:val="center"/>
            <w:hideMark/>
          </w:tcPr>
          <w:p w14:paraId="560BB3EF" w14:textId="77777777" w:rsidR="00F24946" w:rsidRDefault="00613B06">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1A02B8E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7D6BE2" w14:textId="77777777" w:rsidR="00F24946" w:rsidRDefault="00613B06">
            <w:pPr>
              <w:pStyle w:val="P68B1DB1-Normal23"/>
              <w:spacing w:after="0"/>
              <w:jc w:val="both"/>
              <w:rPr>
                <w:rFonts w:eastAsia="Calibri" w:cs="Calibri"/>
                <w:noProof/>
              </w:rPr>
            </w:pPr>
            <w:r>
              <w:rPr>
                <w:noProof/>
              </w:rPr>
              <w:t>Nadgrajene postaje za usposabljanje</w:t>
            </w:r>
          </w:p>
        </w:tc>
      </w:tr>
      <w:tr w:rsidR="00F24946" w14:paraId="5E314A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0FE7BE" w14:textId="77777777" w:rsidR="00F24946" w:rsidRDefault="00613B06">
            <w:pPr>
              <w:pStyle w:val="P68B1DB1-Normal23"/>
              <w:spacing w:after="0"/>
              <w:jc w:val="center"/>
              <w:rPr>
                <w:rFonts w:eastAsia="Calibri" w:cs="Calibri"/>
                <w:noProof/>
              </w:rPr>
            </w:pPr>
            <w:r>
              <w:rPr>
                <w:noProof/>
              </w:rPr>
              <w:t>6.6</w:t>
            </w:r>
          </w:p>
        </w:tc>
        <w:tc>
          <w:tcPr>
            <w:tcW w:w="1760" w:type="dxa"/>
            <w:tcBorders>
              <w:top w:val="nil"/>
              <w:left w:val="nil"/>
              <w:bottom w:val="single" w:sz="4" w:space="0" w:color="auto"/>
              <w:right w:val="single" w:sz="4" w:space="0" w:color="auto"/>
            </w:tcBorders>
            <w:shd w:val="clear" w:color="auto" w:fill="C4EFCE"/>
            <w:vAlign w:val="center"/>
            <w:hideMark/>
          </w:tcPr>
          <w:p w14:paraId="6F3A1B05" w14:textId="77777777" w:rsidR="00F24946" w:rsidRDefault="00613B06">
            <w:pPr>
              <w:pStyle w:val="P68B1DB1-Normal23"/>
              <w:spacing w:after="0"/>
              <w:jc w:val="center"/>
              <w:rPr>
                <w:rFonts w:eastAsia="Calibri" w:cs="Calibri"/>
                <w:noProof/>
              </w:rPr>
            </w:pPr>
            <w:r>
              <w:rPr>
                <w:noProof/>
              </w:rPr>
              <w:t>Re-C06-i03</w:t>
            </w:r>
          </w:p>
        </w:tc>
        <w:tc>
          <w:tcPr>
            <w:tcW w:w="1520" w:type="dxa"/>
            <w:tcBorders>
              <w:top w:val="nil"/>
              <w:left w:val="nil"/>
              <w:bottom w:val="single" w:sz="4" w:space="0" w:color="auto"/>
              <w:right w:val="single" w:sz="4" w:space="0" w:color="auto"/>
            </w:tcBorders>
            <w:shd w:val="clear" w:color="auto" w:fill="C4EFCE"/>
            <w:vAlign w:val="center"/>
            <w:hideMark/>
          </w:tcPr>
          <w:p w14:paraId="232B7518"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37F14F" w14:textId="77777777" w:rsidR="00F24946" w:rsidRDefault="00613B06">
            <w:pPr>
              <w:pStyle w:val="P68B1DB1-Normal23"/>
              <w:spacing w:after="0"/>
              <w:jc w:val="both"/>
              <w:rPr>
                <w:rFonts w:eastAsia="Calibri" w:cs="Calibri"/>
                <w:noProof/>
              </w:rPr>
            </w:pPr>
            <w:r>
              <w:rPr>
                <w:noProof/>
              </w:rPr>
              <w:t>Dodatni udeleženci ukrepov za podporo izpopolnjevanju odraslih</w:t>
            </w:r>
          </w:p>
        </w:tc>
      </w:tr>
      <w:tr w:rsidR="00F24946" w14:paraId="050A7C9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403F26F" w14:textId="77777777" w:rsidR="00F24946" w:rsidRDefault="00613B06">
            <w:pPr>
              <w:pStyle w:val="P68B1DB1-Normal23"/>
              <w:spacing w:after="0"/>
              <w:jc w:val="center"/>
              <w:rPr>
                <w:rFonts w:eastAsia="Calibri" w:cs="Calibri"/>
                <w:noProof/>
              </w:rPr>
            </w:pPr>
            <w:r>
              <w:rPr>
                <w:noProof/>
              </w:rPr>
              <w:t>6.7</w:t>
            </w:r>
          </w:p>
        </w:tc>
        <w:tc>
          <w:tcPr>
            <w:tcW w:w="1760" w:type="dxa"/>
            <w:tcBorders>
              <w:top w:val="nil"/>
              <w:left w:val="nil"/>
              <w:bottom w:val="single" w:sz="4" w:space="0" w:color="auto"/>
              <w:right w:val="single" w:sz="4" w:space="0" w:color="auto"/>
            </w:tcBorders>
            <w:shd w:val="clear" w:color="auto" w:fill="C4EFCE"/>
            <w:vAlign w:val="center"/>
            <w:hideMark/>
          </w:tcPr>
          <w:p w14:paraId="46784F4F" w14:textId="77777777" w:rsidR="00F24946" w:rsidRDefault="00613B06">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1087726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3B9D33" w14:textId="77777777" w:rsidR="00F24946" w:rsidRDefault="00613B06">
            <w:pPr>
              <w:pStyle w:val="P68B1DB1-Normal23"/>
              <w:spacing w:after="0"/>
              <w:jc w:val="both"/>
              <w:rPr>
                <w:rFonts w:eastAsia="Calibri" w:cs="Calibri"/>
                <w:noProof/>
              </w:rPr>
            </w:pPr>
            <w:r>
              <w:rPr>
                <w:noProof/>
              </w:rPr>
              <w:t>Dodatni klubi Ciência Viva</w:t>
            </w:r>
          </w:p>
        </w:tc>
      </w:tr>
      <w:tr w:rsidR="00F24946" w14:paraId="582916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5A0571" w14:textId="77777777" w:rsidR="00F24946" w:rsidRDefault="00613B06">
            <w:pPr>
              <w:pStyle w:val="P68B1DB1-Normal23"/>
              <w:spacing w:after="0"/>
              <w:jc w:val="center"/>
              <w:rPr>
                <w:rFonts w:eastAsia="Calibri" w:cs="Calibri"/>
                <w:noProof/>
              </w:rPr>
            </w:pPr>
            <w:r>
              <w:rPr>
                <w:noProof/>
              </w:rPr>
              <w:t>6.9</w:t>
            </w:r>
          </w:p>
        </w:tc>
        <w:tc>
          <w:tcPr>
            <w:tcW w:w="1760" w:type="dxa"/>
            <w:tcBorders>
              <w:top w:val="nil"/>
              <w:left w:val="nil"/>
              <w:bottom w:val="single" w:sz="4" w:space="0" w:color="auto"/>
              <w:right w:val="single" w:sz="4" w:space="0" w:color="auto"/>
            </w:tcBorders>
            <w:shd w:val="clear" w:color="auto" w:fill="C4EFCE"/>
            <w:vAlign w:val="center"/>
            <w:hideMark/>
          </w:tcPr>
          <w:p w14:paraId="5E8FAB6C" w14:textId="77777777" w:rsidR="00F24946" w:rsidRDefault="00613B06">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48B0335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AD5F2D" w14:textId="77777777" w:rsidR="00F24946" w:rsidRDefault="00613B06">
            <w:pPr>
              <w:pStyle w:val="P68B1DB1-Normal23"/>
              <w:spacing w:after="0"/>
              <w:jc w:val="both"/>
              <w:rPr>
                <w:rFonts w:eastAsia="Calibri" w:cs="Calibri"/>
                <w:noProof/>
              </w:rPr>
            </w:pPr>
            <w:r>
              <w:rPr>
                <w:noProof/>
              </w:rPr>
              <w:t>Dodatno število študentov, ki so zaključili terciarno izobraževanje na področju naravoslovja, tehnologije, inženirstva, inženirstva in matematike</w:t>
            </w:r>
          </w:p>
        </w:tc>
      </w:tr>
      <w:tr w:rsidR="00F24946" w14:paraId="3C70A66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4CDA63" w14:textId="77777777" w:rsidR="00F24946" w:rsidRDefault="00613B06">
            <w:pPr>
              <w:pStyle w:val="P68B1DB1-Normal23"/>
              <w:spacing w:after="0"/>
              <w:jc w:val="center"/>
              <w:rPr>
                <w:rFonts w:eastAsia="Calibri" w:cs="Calibri"/>
                <w:noProof/>
              </w:rPr>
            </w:pPr>
            <w:r>
              <w:rPr>
                <w:noProof/>
              </w:rPr>
              <w:t>6.10</w:t>
            </w:r>
          </w:p>
        </w:tc>
        <w:tc>
          <w:tcPr>
            <w:tcW w:w="1760" w:type="dxa"/>
            <w:tcBorders>
              <w:top w:val="nil"/>
              <w:left w:val="nil"/>
              <w:bottom w:val="single" w:sz="4" w:space="0" w:color="auto"/>
              <w:right w:val="single" w:sz="4" w:space="0" w:color="auto"/>
            </w:tcBorders>
            <w:shd w:val="clear" w:color="auto" w:fill="C4EFCE"/>
            <w:vAlign w:val="center"/>
            <w:hideMark/>
          </w:tcPr>
          <w:p w14:paraId="0E62DC90" w14:textId="77777777" w:rsidR="00F24946" w:rsidRDefault="00613B06">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01B4369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9DF944" w14:textId="77777777" w:rsidR="00F24946" w:rsidRDefault="00613B06">
            <w:pPr>
              <w:pStyle w:val="P68B1DB1-Normal23"/>
              <w:spacing w:after="0"/>
              <w:jc w:val="both"/>
              <w:rPr>
                <w:rFonts w:eastAsia="Calibri" w:cs="Calibri"/>
                <w:noProof/>
              </w:rPr>
            </w:pPr>
            <w:r>
              <w:rPr>
                <w:noProof/>
              </w:rPr>
              <w:t>Dodatno število odraslih, vključenih v posekundarno in terciarno izobraževanje v avtonomni regiji Azori</w:t>
            </w:r>
          </w:p>
        </w:tc>
      </w:tr>
      <w:tr w:rsidR="00F24946" w14:paraId="2B7ADE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ADBD20" w14:textId="77777777" w:rsidR="00F24946" w:rsidRDefault="00613B06">
            <w:pPr>
              <w:pStyle w:val="P68B1DB1-Normal23"/>
              <w:spacing w:after="0"/>
              <w:jc w:val="center"/>
              <w:rPr>
                <w:rFonts w:eastAsia="Calibri" w:cs="Calibri"/>
                <w:noProof/>
              </w:rPr>
            </w:pPr>
            <w:r>
              <w:rPr>
                <w:noProof/>
              </w:rPr>
              <w:t>6.11</w:t>
            </w:r>
          </w:p>
        </w:tc>
        <w:tc>
          <w:tcPr>
            <w:tcW w:w="1760" w:type="dxa"/>
            <w:tcBorders>
              <w:top w:val="nil"/>
              <w:left w:val="nil"/>
              <w:bottom w:val="single" w:sz="4" w:space="0" w:color="auto"/>
              <w:right w:val="single" w:sz="4" w:space="0" w:color="auto"/>
            </w:tcBorders>
            <w:shd w:val="clear" w:color="auto" w:fill="C4EFCE"/>
            <w:vAlign w:val="center"/>
            <w:hideMark/>
          </w:tcPr>
          <w:p w14:paraId="4C3D556F" w14:textId="77777777" w:rsidR="00F24946" w:rsidRDefault="00613B06">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680350D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2427B23" w14:textId="77777777" w:rsidR="00F24946" w:rsidRDefault="00613B06">
            <w:pPr>
              <w:pStyle w:val="P68B1DB1-Normal23"/>
              <w:spacing w:after="0"/>
              <w:jc w:val="both"/>
              <w:rPr>
                <w:rFonts w:eastAsia="Calibri" w:cs="Calibri"/>
                <w:noProof/>
              </w:rPr>
            </w:pPr>
            <w:r>
              <w:rPr>
                <w:noProof/>
              </w:rPr>
              <w:t>Nadgrajene strokovne šole v avtonomni regiji Azori</w:t>
            </w:r>
          </w:p>
        </w:tc>
      </w:tr>
      <w:tr w:rsidR="00F24946" w14:paraId="24EC007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7C2B" w14:textId="77777777" w:rsidR="00F24946" w:rsidRDefault="00613B06">
            <w:pPr>
              <w:pStyle w:val="P68B1DB1-Normal23"/>
              <w:spacing w:after="0"/>
              <w:jc w:val="center"/>
              <w:rPr>
                <w:rFonts w:eastAsia="Calibri" w:cs="Calibri"/>
                <w:noProof/>
              </w:rPr>
            </w:pPr>
            <w:r>
              <w:rPr>
                <w:noProof/>
              </w:rPr>
              <w:t>6.12</w:t>
            </w:r>
          </w:p>
        </w:tc>
        <w:tc>
          <w:tcPr>
            <w:tcW w:w="1760" w:type="dxa"/>
            <w:tcBorders>
              <w:top w:val="nil"/>
              <w:left w:val="nil"/>
              <w:bottom w:val="single" w:sz="4" w:space="0" w:color="auto"/>
              <w:right w:val="single" w:sz="4" w:space="0" w:color="auto"/>
            </w:tcBorders>
            <w:shd w:val="clear" w:color="auto" w:fill="C4EFCE"/>
            <w:vAlign w:val="center"/>
            <w:hideMark/>
          </w:tcPr>
          <w:p w14:paraId="50C54B79" w14:textId="77777777" w:rsidR="00F24946" w:rsidRDefault="00613B06">
            <w:pPr>
              <w:pStyle w:val="P68B1DB1-Normal23"/>
              <w:spacing w:after="0"/>
              <w:jc w:val="center"/>
              <w:rPr>
                <w:rFonts w:eastAsia="Calibri" w:cs="Calibri"/>
                <w:noProof/>
              </w:rPr>
            </w:pPr>
            <w:r>
              <w:rPr>
                <w:noProof/>
              </w:rPr>
              <w:t>Re-C06-r14</w:t>
            </w:r>
          </w:p>
        </w:tc>
        <w:tc>
          <w:tcPr>
            <w:tcW w:w="1520" w:type="dxa"/>
            <w:tcBorders>
              <w:top w:val="nil"/>
              <w:left w:val="nil"/>
              <w:bottom w:val="single" w:sz="4" w:space="0" w:color="auto"/>
              <w:right w:val="single" w:sz="4" w:space="0" w:color="auto"/>
            </w:tcBorders>
            <w:shd w:val="clear" w:color="auto" w:fill="C4EFCE"/>
            <w:vAlign w:val="center"/>
            <w:hideMark/>
          </w:tcPr>
          <w:p w14:paraId="3BED303B"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5602805" w14:textId="77777777" w:rsidR="00F24946" w:rsidRDefault="00613B06">
            <w:pPr>
              <w:pStyle w:val="P68B1DB1-Normal23"/>
              <w:spacing w:after="0"/>
              <w:jc w:val="both"/>
              <w:rPr>
                <w:rFonts w:eastAsia="Calibri" w:cs="Calibri"/>
                <w:noProof/>
              </w:rPr>
            </w:pPr>
            <w:r>
              <w:rPr>
                <w:noProof/>
              </w:rPr>
              <w:t>Odpiranje prostih delovnih mest za usposabljanje</w:t>
            </w:r>
          </w:p>
        </w:tc>
      </w:tr>
      <w:tr w:rsidR="00F24946" w14:paraId="33E8B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A94FF" w14:textId="77777777" w:rsidR="00F24946" w:rsidRDefault="00613B06">
            <w:pPr>
              <w:pStyle w:val="P68B1DB1-Normal23"/>
              <w:spacing w:after="0"/>
              <w:jc w:val="center"/>
              <w:rPr>
                <w:rFonts w:eastAsia="Calibri" w:cs="Calibri"/>
                <w:noProof/>
              </w:rPr>
            </w:pPr>
            <w:r>
              <w:rPr>
                <w:noProof/>
              </w:rPr>
              <w:t>7.3</w:t>
            </w:r>
          </w:p>
        </w:tc>
        <w:tc>
          <w:tcPr>
            <w:tcW w:w="1760" w:type="dxa"/>
            <w:tcBorders>
              <w:top w:val="nil"/>
              <w:left w:val="nil"/>
              <w:bottom w:val="single" w:sz="4" w:space="0" w:color="auto"/>
              <w:right w:val="single" w:sz="4" w:space="0" w:color="auto"/>
            </w:tcBorders>
            <w:shd w:val="clear" w:color="auto" w:fill="C4EFCE"/>
            <w:vAlign w:val="center"/>
            <w:hideMark/>
          </w:tcPr>
          <w:p w14:paraId="3892C438" w14:textId="77777777" w:rsidR="00F24946" w:rsidRDefault="00613B06">
            <w:pPr>
              <w:pStyle w:val="P68B1DB1-Normal23"/>
              <w:spacing w:after="0"/>
              <w:jc w:val="center"/>
              <w:rPr>
                <w:rFonts w:eastAsia="Calibri" w:cs="Calibri"/>
                <w:noProof/>
              </w:rPr>
            </w:pPr>
            <w:r>
              <w:rPr>
                <w:noProof/>
              </w:rPr>
              <w:t>Re-C07-i00</w:t>
            </w:r>
          </w:p>
        </w:tc>
        <w:tc>
          <w:tcPr>
            <w:tcW w:w="1520" w:type="dxa"/>
            <w:tcBorders>
              <w:top w:val="nil"/>
              <w:left w:val="nil"/>
              <w:bottom w:val="single" w:sz="4" w:space="0" w:color="auto"/>
              <w:right w:val="single" w:sz="4" w:space="0" w:color="auto"/>
            </w:tcBorders>
            <w:shd w:val="clear" w:color="auto" w:fill="C4EFCE"/>
            <w:vAlign w:val="center"/>
            <w:hideMark/>
          </w:tcPr>
          <w:p w14:paraId="717E5A0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51B064" w14:textId="15C38C04" w:rsidR="00F24946" w:rsidRDefault="00613B06">
            <w:pPr>
              <w:pStyle w:val="P68B1DB1-Normal23"/>
              <w:spacing w:after="0"/>
              <w:jc w:val="both"/>
              <w:rPr>
                <w:rFonts w:eastAsia="Calibri" w:cs="Calibri"/>
                <w:noProof/>
              </w:rPr>
            </w:pPr>
            <w:r>
              <w:rPr>
                <w:noProof/>
              </w:rPr>
              <w:t>Javno dostopna polnilna mesta za električna vozila</w:t>
            </w:r>
          </w:p>
        </w:tc>
      </w:tr>
      <w:tr w:rsidR="00F24946" w14:paraId="650DC7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9A4D3B" w14:textId="77777777" w:rsidR="00F24946" w:rsidRDefault="00613B06">
            <w:pPr>
              <w:pStyle w:val="P68B1DB1-Normal23"/>
              <w:spacing w:after="0"/>
              <w:jc w:val="center"/>
              <w:rPr>
                <w:rFonts w:eastAsia="Calibri" w:cs="Calibri"/>
                <w:noProof/>
              </w:rPr>
            </w:pPr>
            <w:r>
              <w:rPr>
                <w:noProof/>
              </w:rPr>
              <w:t>7.5</w:t>
            </w:r>
          </w:p>
        </w:tc>
        <w:tc>
          <w:tcPr>
            <w:tcW w:w="1760" w:type="dxa"/>
            <w:tcBorders>
              <w:top w:val="nil"/>
              <w:left w:val="nil"/>
              <w:bottom w:val="single" w:sz="4" w:space="0" w:color="auto"/>
              <w:right w:val="single" w:sz="4" w:space="0" w:color="auto"/>
            </w:tcBorders>
            <w:shd w:val="clear" w:color="auto" w:fill="C4EFCE"/>
            <w:vAlign w:val="center"/>
            <w:hideMark/>
          </w:tcPr>
          <w:p w14:paraId="17918B41" w14:textId="77777777" w:rsidR="00F24946" w:rsidRDefault="00613B06">
            <w:pPr>
              <w:pStyle w:val="P68B1DB1-Normal23"/>
              <w:spacing w:after="0"/>
              <w:jc w:val="center"/>
              <w:rPr>
                <w:rFonts w:eastAsia="Calibri" w:cs="Calibri"/>
                <w:noProof/>
              </w:rPr>
            </w:pPr>
            <w:r>
              <w:rPr>
                <w:noProof/>
              </w:rPr>
              <w:t>Re-C07-i01</w:t>
            </w:r>
          </w:p>
        </w:tc>
        <w:tc>
          <w:tcPr>
            <w:tcW w:w="1520" w:type="dxa"/>
            <w:tcBorders>
              <w:top w:val="nil"/>
              <w:left w:val="nil"/>
              <w:bottom w:val="single" w:sz="4" w:space="0" w:color="auto"/>
              <w:right w:val="single" w:sz="4" w:space="0" w:color="auto"/>
            </w:tcBorders>
            <w:shd w:val="clear" w:color="auto" w:fill="C4EFCE"/>
            <w:vAlign w:val="center"/>
            <w:hideMark/>
          </w:tcPr>
          <w:p w14:paraId="459806A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43B899" w14:textId="77777777" w:rsidR="00F24946" w:rsidRDefault="00613B06">
            <w:pPr>
              <w:pStyle w:val="P68B1DB1-Normal23"/>
              <w:spacing w:after="0"/>
              <w:jc w:val="both"/>
              <w:rPr>
                <w:rFonts w:eastAsia="Calibri" w:cs="Calibri"/>
                <w:noProof/>
              </w:rPr>
            </w:pPr>
            <w:r>
              <w:rPr>
                <w:noProof/>
              </w:rPr>
              <w:t>Zaključek intervencij na izbranih poslovnih sprejemnih območjih</w:t>
            </w:r>
          </w:p>
        </w:tc>
      </w:tr>
      <w:tr w:rsidR="00F24946" w14:paraId="6CD2520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A01F62" w14:textId="77777777" w:rsidR="00F24946" w:rsidRDefault="00613B06">
            <w:pPr>
              <w:pStyle w:val="P68B1DB1-Normal23"/>
              <w:spacing w:after="0"/>
              <w:jc w:val="center"/>
              <w:rPr>
                <w:rFonts w:eastAsia="Calibri" w:cs="Calibri"/>
                <w:noProof/>
              </w:rPr>
            </w:pPr>
            <w:r>
              <w:rPr>
                <w:noProof/>
              </w:rPr>
              <w:t>7.8</w:t>
            </w:r>
          </w:p>
        </w:tc>
        <w:tc>
          <w:tcPr>
            <w:tcW w:w="1760" w:type="dxa"/>
            <w:tcBorders>
              <w:top w:val="nil"/>
              <w:left w:val="nil"/>
              <w:bottom w:val="single" w:sz="4" w:space="0" w:color="auto"/>
              <w:right w:val="single" w:sz="4" w:space="0" w:color="auto"/>
            </w:tcBorders>
            <w:shd w:val="clear" w:color="auto" w:fill="C4EFCE"/>
            <w:vAlign w:val="center"/>
            <w:hideMark/>
          </w:tcPr>
          <w:p w14:paraId="05E0D85C" w14:textId="77777777" w:rsidR="00F24946" w:rsidRDefault="00613B06">
            <w:pPr>
              <w:pStyle w:val="P68B1DB1-Normal23"/>
              <w:spacing w:after="0"/>
              <w:jc w:val="center"/>
              <w:rPr>
                <w:rFonts w:eastAsia="Calibri" w:cs="Calibri"/>
                <w:noProof/>
              </w:rPr>
            </w:pPr>
            <w:r>
              <w:rPr>
                <w:noProof/>
              </w:rPr>
              <w:t>Re-C07-i02</w:t>
            </w:r>
          </w:p>
        </w:tc>
        <w:tc>
          <w:tcPr>
            <w:tcW w:w="1520" w:type="dxa"/>
            <w:tcBorders>
              <w:top w:val="nil"/>
              <w:left w:val="nil"/>
              <w:bottom w:val="single" w:sz="4" w:space="0" w:color="auto"/>
              <w:right w:val="single" w:sz="4" w:space="0" w:color="auto"/>
            </w:tcBorders>
            <w:shd w:val="clear" w:color="auto" w:fill="C4EFCE"/>
            <w:vAlign w:val="center"/>
            <w:hideMark/>
          </w:tcPr>
          <w:p w14:paraId="1DD8E82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4F4337" w14:textId="77777777" w:rsidR="00F24946" w:rsidRDefault="00613B06">
            <w:pPr>
              <w:pStyle w:val="P68B1DB1-Normal23"/>
              <w:spacing w:after="0"/>
              <w:jc w:val="both"/>
              <w:rPr>
                <w:rFonts w:eastAsia="Calibri" w:cs="Calibri"/>
                <w:noProof/>
              </w:rPr>
            </w:pPr>
            <w:r>
              <w:rPr>
                <w:noProof/>
              </w:rPr>
              <w:t>Zgrajene ali obnovljene ceste</w:t>
            </w:r>
          </w:p>
        </w:tc>
      </w:tr>
      <w:tr w:rsidR="00F24946" w14:paraId="377F20C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A2719F" w14:textId="77777777" w:rsidR="00F24946" w:rsidRDefault="00613B06">
            <w:pPr>
              <w:pStyle w:val="P68B1DB1-Normal23"/>
              <w:spacing w:after="0"/>
              <w:jc w:val="center"/>
              <w:rPr>
                <w:rFonts w:eastAsia="Calibri" w:cs="Calibri"/>
                <w:noProof/>
              </w:rPr>
            </w:pPr>
            <w:r>
              <w:rPr>
                <w:noProof/>
              </w:rPr>
              <w:t>8.1</w:t>
            </w:r>
          </w:p>
        </w:tc>
        <w:tc>
          <w:tcPr>
            <w:tcW w:w="1760" w:type="dxa"/>
            <w:tcBorders>
              <w:top w:val="nil"/>
              <w:left w:val="nil"/>
              <w:bottom w:val="single" w:sz="4" w:space="0" w:color="auto"/>
              <w:right w:val="single" w:sz="4" w:space="0" w:color="auto"/>
            </w:tcBorders>
            <w:shd w:val="clear" w:color="auto" w:fill="C4EFCE"/>
            <w:vAlign w:val="center"/>
            <w:hideMark/>
          </w:tcPr>
          <w:p w14:paraId="01EDC3E5" w14:textId="77777777" w:rsidR="00F24946" w:rsidRDefault="00613B06">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1980E79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410C3D" w14:textId="77777777" w:rsidR="00F24946" w:rsidRDefault="00613B06">
            <w:pPr>
              <w:pStyle w:val="P68B1DB1-Normal23"/>
              <w:spacing w:after="0"/>
              <w:jc w:val="both"/>
              <w:rPr>
                <w:rFonts w:eastAsia="Calibri" w:cs="Calibri"/>
                <w:noProof/>
              </w:rPr>
            </w:pPr>
            <w:r>
              <w:rPr>
                <w:noProof/>
              </w:rPr>
              <w:t>Razvoj programov prostorskega načrtovanja in upravljanja (PRGP) na območjih, ki so opredeljena kot ranljiva.</w:t>
            </w:r>
          </w:p>
        </w:tc>
      </w:tr>
      <w:tr w:rsidR="00F24946" w14:paraId="57C969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18667B" w14:textId="77777777" w:rsidR="00F24946" w:rsidRDefault="00613B06">
            <w:pPr>
              <w:pStyle w:val="P68B1DB1-Normal23"/>
              <w:spacing w:after="0"/>
              <w:jc w:val="center"/>
              <w:rPr>
                <w:rFonts w:eastAsia="Calibri" w:cs="Calibri"/>
                <w:noProof/>
              </w:rPr>
            </w:pPr>
            <w:r>
              <w:rPr>
                <w:noProof/>
              </w:rPr>
              <w:t>8.2</w:t>
            </w:r>
          </w:p>
        </w:tc>
        <w:tc>
          <w:tcPr>
            <w:tcW w:w="1760" w:type="dxa"/>
            <w:tcBorders>
              <w:top w:val="nil"/>
              <w:left w:val="nil"/>
              <w:bottom w:val="single" w:sz="4" w:space="0" w:color="auto"/>
              <w:right w:val="single" w:sz="4" w:space="0" w:color="auto"/>
            </w:tcBorders>
            <w:shd w:val="clear" w:color="auto" w:fill="C4EFCE"/>
            <w:vAlign w:val="center"/>
            <w:hideMark/>
          </w:tcPr>
          <w:p w14:paraId="7A203DDE" w14:textId="77777777" w:rsidR="00F24946" w:rsidRDefault="00613B06">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noWrap/>
            <w:vAlign w:val="center"/>
            <w:hideMark/>
          </w:tcPr>
          <w:p w14:paraId="41F26EE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noWrap/>
            <w:vAlign w:val="center"/>
            <w:hideMark/>
          </w:tcPr>
          <w:p w14:paraId="0C955423" w14:textId="77777777" w:rsidR="00F24946" w:rsidRDefault="00613B06">
            <w:pPr>
              <w:pStyle w:val="P68B1DB1-Normal23"/>
              <w:spacing w:after="0"/>
              <w:jc w:val="both"/>
              <w:rPr>
                <w:rFonts w:eastAsia="Calibri" w:cs="Calibri"/>
                <w:noProof/>
              </w:rPr>
            </w:pPr>
            <w:r>
              <w:rPr>
                <w:noProof/>
              </w:rPr>
              <w:t xml:space="preserve"> Objava integriranega upravljanja krajine v Diário da Republica</w:t>
            </w:r>
          </w:p>
        </w:tc>
      </w:tr>
      <w:tr w:rsidR="00F24946" w14:paraId="7FAC8B4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DC7D96" w14:textId="77777777" w:rsidR="00F24946" w:rsidRDefault="00613B06">
            <w:pPr>
              <w:pStyle w:val="P68B1DB1-Normal23"/>
              <w:spacing w:after="0"/>
              <w:jc w:val="center"/>
              <w:rPr>
                <w:rFonts w:eastAsia="Calibri" w:cs="Calibri"/>
                <w:noProof/>
              </w:rPr>
            </w:pPr>
            <w:r>
              <w:rPr>
                <w:noProof/>
              </w:rPr>
              <w:t>8.3</w:t>
            </w:r>
          </w:p>
        </w:tc>
        <w:tc>
          <w:tcPr>
            <w:tcW w:w="1760" w:type="dxa"/>
            <w:tcBorders>
              <w:top w:val="nil"/>
              <w:left w:val="nil"/>
              <w:bottom w:val="single" w:sz="4" w:space="0" w:color="auto"/>
              <w:right w:val="single" w:sz="4" w:space="0" w:color="auto"/>
            </w:tcBorders>
            <w:shd w:val="clear" w:color="auto" w:fill="C4EFCE"/>
            <w:vAlign w:val="center"/>
            <w:hideMark/>
          </w:tcPr>
          <w:p w14:paraId="79CACB0A" w14:textId="77777777" w:rsidR="00F24946" w:rsidRDefault="00613B06">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73DC3FE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38BA7AD" w14:textId="77777777" w:rsidR="00F24946" w:rsidRDefault="00613B06">
            <w:pPr>
              <w:pStyle w:val="P68B1DB1-Normal23"/>
              <w:spacing w:after="0"/>
              <w:jc w:val="both"/>
              <w:rPr>
                <w:rFonts w:eastAsia="Calibri" w:cs="Calibri"/>
                <w:noProof/>
              </w:rPr>
            </w:pPr>
            <w:r>
              <w:rPr>
                <w:noProof/>
              </w:rPr>
              <w:t>Vasi s projekti ravnanja z gorivom</w:t>
            </w:r>
          </w:p>
        </w:tc>
      </w:tr>
      <w:tr w:rsidR="00F24946" w14:paraId="61C196A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9695262" w14:textId="77777777" w:rsidR="00F24946" w:rsidRDefault="00613B06">
            <w:pPr>
              <w:pStyle w:val="P68B1DB1-Normal23"/>
              <w:spacing w:after="0"/>
              <w:jc w:val="center"/>
              <w:rPr>
                <w:rFonts w:eastAsia="Calibri" w:cs="Calibri"/>
                <w:noProof/>
              </w:rPr>
            </w:pPr>
            <w:r>
              <w:rPr>
                <w:noProof/>
              </w:rPr>
              <w:t>8.8</w:t>
            </w:r>
          </w:p>
        </w:tc>
        <w:tc>
          <w:tcPr>
            <w:tcW w:w="1760" w:type="dxa"/>
            <w:tcBorders>
              <w:top w:val="nil"/>
              <w:left w:val="nil"/>
              <w:bottom w:val="single" w:sz="4" w:space="0" w:color="auto"/>
              <w:right w:val="single" w:sz="4" w:space="0" w:color="auto"/>
            </w:tcBorders>
            <w:shd w:val="clear" w:color="auto" w:fill="C4EFCE"/>
            <w:vAlign w:val="center"/>
            <w:hideMark/>
          </w:tcPr>
          <w:p w14:paraId="788A36AA" w14:textId="77777777" w:rsidR="00F24946" w:rsidRDefault="00613B06">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6960196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BAA7BC" w14:textId="77777777" w:rsidR="00F24946" w:rsidRDefault="00613B06">
            <w:pPr>
              <w:pStyle w:val="P68B1DB1-Normal23"/>
              <w:spacing w:after="0"/>
              <w:jc w:val="both"/>
              <w:rPr>
                <w:rFonts w:eastAsia="Calibri" w:cs="Calibri"/>
                <w:noProof/>
              </w:rPr>
            </w:pPr>
            <w:r>
              <w:rPr>
                <w:noProof/>
              </w:rPr>
              <w:t>Vzpostavljeno služnostno območje</w:t>
            </w:r>
          </w:p>
        </w:tc>
      </w:tr>
      <w:tr w:rsidR="00F24946" w14:paraId="0F8A64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BEAB0A" w14:textId="77777777" w:rsidR="00F24946" w:rsidRDefault="00613B06">
            <w:pPr>
              <w:pStyle w:val="P68B1DB1-Normal23"/>
              <w:spacing w:after="0"/>
              <w:jc w:val="center"/>
              <w:rPr>
                <w:rFonts w:eastAsia="Calibri" w:cs="Calibri"/>
                <w:noProof/>
              </w:rPr>
            </w:pPr>
            <w:r>
              <w:rPr>
                <w:noProof/>
              </w:rPr>
              <w:t>8.9</w:t>
            </w:r>
          </w:p>
        </w:tc>
        <w:tc>
          <w:tcPr>
            <w:tcW w:w="1760" w:type="dxa"/>
            <w:tcBorders>
              <w:top w:val="nil"/>
              <w:left w:val="nil"/>
              <w:bottom w:val="single" w:sz="4" w:space="0" w:color="auto"/>
              <w:right w:val="single" w:sz="4" w:space="0" w:color="auto"/>
            </w:tcBorders>
            <w:shd w:val="clear" w:color="auto" w:fill="C4EFCE"/>
            <w:vAlign w:val="center"/>
            <w:hideMark/>
          </w:tcPr>
          <w:p w14:paraId="5FB474F3" w14:textId="77777777" w:rsidR="00F24946" w:rsidRDefault="00613B06">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28F771B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D20804" w14:textId="77777777" w:rsidR="00F24946" w:rsidRDefault="00613B06">
            <w:pPr>
              <w:pStyle w:val="P68B1DB1-Normal23"/>
              <w:spacing w:after="0"/>
              <w:jc w:val="both"/>
              <w:rPr>
                <w:rFonts w:eastAsia="Calibri" w:cs="Calibri"/>
                <w:noProof/>
              </w:rPr>
            </w:pPr>
            <w:r>
              <w:rPr>
                <w:noProof/>
              </w:rPr>
              <w:t>Izvajanje mreže za strukturiranje upravljanja primarnih goriv (RPFGC)</w:t>
            </w:r>
          </w:p>
        </w:tc>
      </w:tr>
      <w:tr w:rsidR="00F24946" w14:paraId="743370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3BCE24" w14:textId="77777777" w:rsidR="00F24946" w:rsidRDefault="00613B06">
            <w:pPr>
              <w:pStyle w:val="P68B1DB1-Normal23"/>
              <w:spacing w:after="0"/>
              <w:jc w:val="center"/>
              <w:rPr>
                <w:rFonts w:eastAsia="Calibri" w:cs="Calibri"/>
                <w:noProof/>
              </w:rPr>
            </w:pPr>
            <w:r>
              <w:rPr>
                <w:noProof/>
              </w:rPr>
              <w:t>8.11</w:t>
            </w:r>
          </w:p>
        </w:tc>
        <w:tc>
          <w:tcPr>
            <w:tcW w:w="1760" w:type="dxa"/>
            <w:tcBorders>
              <w:top w:val="nil"/>
              <w:left w:val="nil"/>
              <w:bottom w:val="single" w:sz="4" w:space="0" w:color="auto"/>
              <w:right w:val="single" w:sz="4" w:space="0" w:color="auto"/>
            </w:tcBorders>
            <w:shd w:val="clear" w:color="auto" w:fill="C4EFCE"/>
            <w:vAlign w:val="center"/>
            <w:hideMark/>
          </w:tcPr>
          <w:p w14:paraId="5060106C" w14:textId="77777777" w:rsidR="00F24946" w:rsidRDefault="00613B06">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062D4C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8AA6F2" w14:textId="77777777" w:rsidR="00F24946" w:rsidRDefault="00613B06">
            <w:pPr>
              <w:pStyle w:val="P68B1DB1-Normal23"/>
              <w:spacing w:after="0"/>
              <w:jc w:val="both"/>
              <w:rPr>
                <w:rFonts w:eastAsia="Calibri" w:cs="Calibri"/>
                <w:noProof/>
              </w:rPr>
            </w:pPr>
            <w:r>
              <w:rPr>
                <w:noProof/>
              </w:rPr>
              <w:t>Dostava lahkih in srednje velikih gasilskih helikopterjev</w:t>
            </w:r>
          </w:p>
        </w:tc>
      </w:tr>
      <w:tr w:rsidR="00F24946" w14:paraId="029E127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5D7569" w14:textId="77777777" w:rsidR="00F24946" w:rsidRDefault="00613B06">
            <w:pPr>
              <w:pStyle w:val="P68B1DB1-Normal23"/>
              <w:spacing w:after="0"/>
              <w:jc w:val="center"/>
              <w:rPr>
                <w:rFonts w:eastAsia="Calibri" w:cs="Calibri"/>
                <w:noProof/>
              </w:rPr>
            </w:pPr>
            <w:r>
              <w:rPr>
                <w:noProof/>
              </w:rPr>
              <w:t>8.16</w:t>
            </w:r>
          </w:p>
        </w:tc>
        <w:tc>
          <w:tcPr>
            <w:tcW w:w="1760" w:type="dxa"/>
            <w:tcBorders>
              <w:top w:val="nil"/>
              <w:left w:val="nil"/>
              <w:bottom w:val="single" w:sz="4" w:space="0" w:color="auto"/>
              <w:right w:val="single" w:sz="4" w:space="0" w:color="auto"/>
            </w:tcBorders>
            <w:shd w:val="clear" w:color="auto" w:fill="C4EFCE"/>
            <w:vAlign w:val="center"/>
            <w:hideMark/>
          </w:tcPr>
          <w:p w14:paraId="406E3841" w14:textId="77777777" w:rsidR="00F24946" w:rsidRDefault="00613B06">
            <w:pPr>
              <w:pStyle w:val="P68B1DB1-Normal23"/>
              <w:spacing w:after="0"/>
              <w:jc w:val="center"/>
              <w:rPr>
                <w:rFonts w:eastAsia="Calibri" w:cs="Calibri"/>
                <w:noProof/>
              </w:rPr>
            </w:pPr>
            <w:r>
              <w:rPr>
                <w:noProof/>
              </w:rPr>
              <w:t>Re-C08-i05</w:t>
            </w:r>
          </w:p>
        </w:tc>
        <w:tc>
          <w:tcPr>
            <w:tcW w:w="1520" w:type="dxa"/>
            <w:tcBorders>
              <w:top w:val="nil"/>
              <w:left w:val="nil"/>
              <w:bottom w:val="single" w:sz="4" w:space="0" w:color="auto"/>
              <w:right w:val="single" w:sz="4" w:space="0" w:color="auto"/>
            </w:tcBorders>
            <w:shd w:val="clear" w:color="auto" w:fill="C4EFCE"/>
            <w:vAlign w:val="center"/>
            <w:hideMark/>
          </w:tcPr>
          <w:p w14:paraId="5F70D9D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632C10" w14:textId="77777777" w:rsidR="00F24946" w:rsidRDefault="00613B06">
            <w:pPr>
              <w:pStyle w:val="P68B1DB1-Normal23"/>
              <w:spacing w:after="0"/>
              <w:jc w:val="both"/>
              <w:rPr>
                <w:rFonts w:eastAsia="Calibri" w:cs="Calibri"/>
                <w:noProof/>
              </w:rPr>
            </w:pPr>
            <w:r>
              <w:rPr>
                <w:noProof/>
              </w:rPr>
              <w:t>Izvajanje nacionalnega programa usposabljanja</w:t>
            </w:r>
          </w:p>
        </w:tc>
      </w:tr>
      <w:tr w:rsidR="00F24946" w14:paraId="151E9F4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364E79" w14:textId="77777777" w:rsidR="00F24946" w:rsidRDefault="00613B06">
            <w:pPr>
              <w:pStyle w:val="P68B1DB1-Normal23"/>
              <w:spacing w:after="0"/>
              <w:jc w:val="center"/>
              <w:rPr>
                <w:rFonts w:eastAsia="Calibri" w:cs="Calibri"/>
                <w:noProof/>
              </w:rPr>
            </w:pPr>
            <w:r>
              <w:rPr>
                <w:noProof/>
              </w:rPr>
              <w:t>8.20</w:t>
            </w:r>
          </w:p>
        </w:tc>
        <w:tc>
          <w:tcPr>
            <w:tcW w:w="1760" w:type="dxa"/>
            <w:tcBorders>
              <w:top w:val="nil"/>
              <w:left w:val="nil"/>
              <w:bottom w:val="single" w:sz="4" w:space="0" w:color="auto"/>
              <w:right w:val="single" w:sz="4" w:space="0" w:color="auto"/>
            </w:tcBorders>
            <w:shd w:val="clear" w:color="auto" w:fill="C4EFCE"/>
            <w:vAlign w:val="center"/>
            <w:hideMark/>
          </w:tcPr>
          <w:p w14:paraId="0F6D2E23" w14:textId="77777777" w:rsidR="00F24946" w:rsidRDefault="00613B06">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6A8FA55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C69A6A" w14:textId="77777777" w:rsidR="00F24946" w:rsidRDefault="00613B06">
            <w:pPr>
              <w:pStyle w:val="P68B1DB1-Normal23"/>
              <w:spacing w:after="0"/>
              <w:jc w:val="both"/>
              <w:rPr>
                <w:rFonts w:eastAsia="Calibri" w:cs="Calibri"/>
                <w:noProof/>
              </w:rPr>
            </w:pPr>
            <w:r>
              <w:rPr>
                <w:noProof/>
              </w:rPr>
              <w:t>Izvajanje komasacijskih ukrepov Programa „Emparcelar para Ordenar“</w:t>
            </w:r>
          </w:p>
        </w:tc>
      </w:tr>
      <w:tr w:rsidR="00F24946" w14:paraId="340031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197FF" w14:textId="77777777" w:rsidR="00F24946" w:rsidRDefault="00613B06">
            <w:pPr>
              <w:pStyle w:val="P68B1DB1-Normal23"/>
              <w:spacing w:after="0"/>
              <w:jc w:val="center"/>
              <w:rPr>
                <w:rFonts w:eastAsia="Calibri" w:cs="Calibri"/>
                <w:noProof/>
              </w:rPr>
            </w:pPr>
            <w:r>
              <w:rPr>
                <w:noProof/>
              </w:rPr>
              <w:t>9.13</w:t>
            </w:r>
          </w:p>
        </w:tc>
        <w:tc>
          <w:tcPr>
            <w:tcW w:w="1760" w:type="dxa"/>
            <w:tcBorders>
              <w:top w:val="nil"/>
              <w:left w:val="nil"/>
              <w:bottom w:val="single" w:sz="4" w:space="0" w:color="auto"/>
              <w:right w:val="single" w:sz="4" w:space="0" w:color="auto"/>
            </w:tcBorders>
            <w:shd w:val="clear" w:color="auto" w:fill="C4EFCE"/>
            <w:vAlign w:val="center"/>
            <w:hideMark/>
          </w:tcPr>
          <w:p w14:paraId="4DC101BB" w14:textId="77777777" w:rsidR="00F24946" w:rsidRDefault="00613B06">
            <w:pPr>
              <w:pStyle w:val="P68B1DB1-Normal23"/>
              <w:spacing w:after="0"/>
              <w:jc w:val="center"/>
              <w:rPr>
                <w:rFonts w:eastAsia="Calibri" w:cs="Calibri"/>
                <w:noProof/>
              </w:rPr>
            </w:pPr>
            <w:r>
              <w:rPr>
                <w:noProof/>
              </w:rPr>
              <w:t>Re-C09-i03-RAM</w:t>
            </w:r>
          </w:p>
        </w:tc>
        <w:tc>
          <w:tcPr>
            <w:tcW w:w="1520" w:type="dxa"/>
            <w:tcBorders>
              <w:top w:val="nil"/>
              <w:left w:val="nil"/>
              <w:bottom w:val="single" w:sz="4" w:space="0" w:color="auto"/>
              <w:right w:val="single" w:sz="4" w:space="0" w:color="auto"/>
            </w:tcBorders>
            <w:shd w:val="clear" w:color="auto" w:fill="C4EFCE"/>
            <w:vAlign w:val="center"/>
            <w:hideMark/>
          </w:tcPr>
          <w:p w14:paraId="006C329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DD5B30" w14:textId="77777777" w:rsidR="00F24946" w:rsidRDefault="00613B06">
            <w:pPr>
              <w:pStyle w:val="P68B1DB1-Normal23"/>
              <w:spacing w:after="0"/>
              <w:jc w:val="both"/>
              <w:rPr>
                <w:rFonts w:eastAsia="Calibri" w:cs="Calibri"/>
                <w:noProof/>
              </w:rPr>
            </w:pPr>
            <w:r>
              <w:rPr>
                <w:noProof/>
              </w:rPr>
              <w:t>Dodatna količina vode, ki je na južnem delu otoka Madeira na voljo za javno oskrbo in namakanje</w:t>
            </w:r>
          </w:p>
        </w:tc>
      </w:tr>
      <w:tr w:rsidR="00F24946" w14:paraId="785F1D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6C8B5C" w14:textId="77777777" w:rsidR="00F24946" w:rsidRDefault="00613B06">
            <w:pPr>
              <w:pStyle w:val="P68B1DB1-Normal23"/>
              <w:spacing w:after="0"/>
              <w:jc w:val="center"/>
              <w:rPr>
                <w:rFonts w:eastAsia="Calibri" w:cs="Calibri"/>
                <w:noProof/>
              </w:rPr>
            </w:pPr>
            <w:r>
              <w:rPr>
                <w:noProof/>
              </w:rPr>
              <w:t>10.2</w:t>
            </w:r>
          </w:p>
        </w:tc>
        <w:tc>
          <w:tcPr>
            <w:tcW w:w="1760" w:type="dxa"/>
            <w:tcBorders>
              <w:top w:val="nil"/>
              <w:left w:val="nil"/>
              <w:bottom w:val="single" w:sz="4" w:space="0" w:color="auto"/>
              <w:right w:val="single" w:sz="4" w:space="0" w:color="auto"/>
            </w:tcBorders>
            <w:shd w:val="clear" w:color="auto" w:fill="C4EFCE"/>
            <w:vAlign w:val="center"/>
            <w:hideMark/>
          </w:tcPr>
          <w:p w14:paraId="0D2AF861" w14:textId="77777777" w:rsidR="00F24946" w:rsidRDefault="00613B06">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44875E4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39B19A" w14:textId="77777777" w:rsidR="00F24946" w:rsidRDefault="00613B06">
            <w:pPr>
              <w:pStyle w:val="P68B1DB1-Normal23"/>
              <w:spacing w:after="0"/>
              <w:jc w:val="both"/>
              <w:rPr>
                <w:rFonts w:eastAsia="Calibri" w:cs="Calibri"/>
                <w:noProof/>
              </w:rPr>
            </w:pPr>
            <w:r>
              <w:rPr>
                <w:noProof/>
              </w:rPr>
              <w:t>Zaključek posodobitve šole Blue Hub ter okrepitev oskrbe in opreme</w:t>
            </w:r>
          </w:p>
        </w:tc>
      </w:tr>
      <w:tr w:rsidR="00F24946" w14:paraId="5CCE596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FDF520" w14:textId="77777777" w:rsidR="00F24946" w:rsidRDefault="00613B06">
            <w:pPr>
              <w:pStyle w:val="P68B1DB1-Normal23"/>
              <w:spacing w:after="0"/>
              <w:jc w:val="center"/>
              <w:rPr>
                <w:rFonts w:eastAsia="Calibri" w:cs="Calibri"/>
                <w:noProof/>
              </w:rPr>
            </w:pPr>
            <w:r>
              <w:rPr>
                <w:noProof/>
              </w:rPr>
              <w:t>10.3</w:t>
            </w:r>
          </w:p>
        </w:tc>
        <w:tc>
          <w:tcPr>
            <w:tcW w:w="1760" w:type="dxa"/>
            <w:tcBorders>
              <w:top w:val="nil"/>
              <w:left w:val="nil"/>
              <w:bottom w:val="single" w:sz="4" w:space="0" w:color="auto"/>
              <w:right w:val="single" w:sz="4" w:space="0" w:color="auto"/>
            </w:tcBorders>
            <w:shd w:val="clear" w:color="auto" w:fill="C4EFCE"/>
            <w:vAlign w:val="center"/>
            <w:hideMark/>
          </w:tcPr>
          <w:p w14:paraId="70B1C854" w14:textId="77777777" w:rsidR="00F24946" w:rsidRDefault="00613B06">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6F5F3A8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54F1D5" w14:textId="77777777" w:rsidR="00F24946" w:rsidRDefault="00613B06">
            <w:pPr>
              <w:pStyle w:val="P68B1DB1-Normal23"/>
              <w:spacing w:after="0"/>
              <w:jc w:val="both"/>
              <w:rPr>
                <w:rFonts w:eastAsia="Calibri" w:cs="Calibri"/>
                <w:noProof/>
              </w:rPr>
            </w:pPr>
            <w:r>
              <w:rPr>
                <w:noProof/>
              </w:rPr>
              <w:t>Dokončanje namestitve in/ali nadgradnja vozlišč modrega vozlišča</w:t>
            </w:r>
          </w:p>
        </w:tc>
      </w:tr>
      <w:tr w:rsidR="00F24946" w14:paraId="7B6EB3C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8F399" w14:textId="77777777" w:rsidR="00F24946" w:rsidRDefault="00613B06">
            <w:pPr>
              <w:pStyle w:val="P68B1DB1-Normal23"/>
              <w:spacing w:after="0"/>
              <w:jc w:val="center"/>
              <w:rPr>
                <w:rFonts w:eastAsia="Calibri" w:cs="Calibri"/>
                <w:noProof/>
              </w:rPr>
            </w:pPr>
            <w:r>
              <w:rPr>
                <w:noProof/>
              </w:rPr>
              <w:t>10.4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0B62858" w14:textId="77777777" w:rsidR="00F24946" w:rsidRDefault="00613B06">
            <w:pPr>
              <w:pStyle w:val="P68B1DB1-Normal23"/>
              <w:spacing w:after="0"/>
              <w:jc w:val="center"/>
              <w:rPr>
                <w:rFonts w:eastAsia="Calibri" w:cs="Calibri"/>
                <w:noProof/>
              </w:rPr>
            </w:pPr>
            <w:r>
              <w:rPr>
                <w:noProof/>
              </w:rPr>
              <w:t>TC-C10-i02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736AA3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2D99B7" w14:textId="77777777" w:rsidR="00F24946" w:rsidRDefault="00613B06">
            <w:pPr>
              <w:pStyle w:val="P68B1DB1-Normal23"/>
              <w:spacing w:after="0"/>
              <w:jc w:val="both"/>
              <w:rPr>
                <w:rFonts w:eastAsia="Calibri" w:cs="Calibri"/>
                <w:noProof/>
              </w:rPr>
            </w:pPr>
            <w:r>
              <w:rPr>
                <w:noProof/>
              </w:rPr>
              <w:t>Odobritev končnih poročil za 70 projektov v podporo inovacijam, energetskemu prehodu in zmanjšanju vpliva na okolje za subjekte v ribiškem sektorju</w:t>
            </w:r>
          </w:p>
        </w:tc>
      </w:tr>
      <w:tr w:rsidR="00F24946" w14:paraId="2377D9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F2EEBE" w14:textId="77777777" w:rsidR="00F24946" w:rsidRDefault="00613B06">
            <w:pPr>
              <w:pStyle w:val="P68B1DB1-Normal23"/>
              <w:spacing w:after="0"/>
              <w:jc w:val="center"/>
              <w:rPr>
                <w:rFonts w:eastAsia="Calibri" w:cs="Calibri"/>
                <w:noProof/>
              </w:rPr>
            </w:pPr>
            <w:r>
              <w:rPr>
                <w:noProof/>
              </w:rPr>
              <w:t>10.9</w:t>
            </w:r>
          </w:p>
        </w:tc>
        <w:tc>
          <w:tcPr>
            <w:tcW w:w="1760" w:type="dxa"/>
            <w:tcBorders>
              <w:top w:val="nil"/>
              <w:left w:val="nil"/>
              <w:bottom w:val="single" w:sz="4" w:space="0" w:color="auto"/>
              <w:right w:val="single" w:sz="4" w:space="0" w:color="auto"/>
            </w:tcBorders>
            <w:shd w:val="clear" w:color="auto" w:fill="C4EFCE"/>
            <w:vAlign w:val="center"/>
            <w:hideMark/>
          </w:tcPr>
          <w:p w14:paraId="62BDE422" w14:textId="77777777" w:rsidR="00F24946" w:rsidRDefault="00613B06">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9E5E8E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423FB98" w14:textId="77777777" w:rsidR="00F24946" w:rsidRDefault="00613B06">
            <w:pPr>
              <w:pStyle w:val="P68B1DB1-Normal23"/>
              <w:spacing w:after="0"/>
              <w:jc w:val="both"/>
              <w:rPr>
                <w:rFonts w:eastAsia="Calibri" w:cs="Calibri"/>
                <w:noProof/>
              </w:rPr>
            </w:pPr>
            <w:r>
              <w:rPr>
                <w:noProof/>
              </w:rPr>
              <w:t>Dobava raziskovalnega plovila</w:t>
            </w:r>
          </w:p>
        </w:tc>
      </w:tr>
      <w:tr w:rsidR="00F24946" w14:paraId="64CC4D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E87070" w14:textId="77777777" w:rsidR="00F24946" w:rsidRDefault="00613B06">
            <w:pPr>
              <w:pStyle w:val="P68B1DB1-Normal23"/>
              <w:spacing w:after="0"/>
              <w:jc w:val="center"/>
              <w:rPr>
                <w:rFonts w:eastAsia="Calibri" w:cs="Calibri"/>
                <w:noProof/>
              </w:rPr>
            </w:pPr>
            <w:r>
              <w:rPr>
                <w:noProof/>
              </w:rPr>
              <w:t>10.16</w:t>
            </w:r>
          </w:p>
        </w:tc>
        <w:tc>
          <w:tcPr>
            <w:tcW w:w="1760" w:type="dxa"/>
            <w:tcBorders>
              <w:top w:val="nil"/>
              <w:left w:val="nil"/>
              <w:bottom w:val="single" w:sz="4" w:space="0" w:color="auto"/>
              <w:right w:val="single" w:sz="4" w:space="0" w:color="auto"/>
            </w:tcBorders>
            <w:shd w:val="clear" w:color="auto" w:fill="C4EFCE"/>
            <w:vAlign w:val="center"/>
            <w:hideMark/>
          </w:tcPr>
          <w:p w14:paraId="3B2E578C" w14:textId="77777777" w:rsidR="00F24946" w:rsidRDefault="00613B06">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7BE16E0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247BA8C" w14:textId="77777777" w:rsidR="00F24946" w:rsidRDefault="00613B06">
            <w:pPr>
              <w:pStyle w:val="P68B1DB1-Normal23"/>
              <w:spacing w:after="0"/>
              <w:jc w:val="both"/>
              <w:rPr>
                <w:rFonts w:eastAsia="Calibri" w:cs="Calibri"/>
                <w:noProof/>
              </w:rPr>
            </w:pPr>
            <w:r>
              <w:rPr>
                <w:noProof/>
              </w:rPr>
              <w:t>Dobava avtonomnega brezpilotnega vozila</w:t>
            </w:r>
          </w:p>
        </w:tc>
      </w:tr>
      <w:tr w:rsidR="00F24946" w14:paraId="260DB7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25DA4" w14:textId="77777777" w:rsidR="00F24946" w:rsidRDefault="00613B06">
            <w:pPr>
              <w:pStyle w:val="P68B1DB1-Normal23"/>
              <w:spacing w:after="0"/>
              <w:jc w:val="center"/>
              <w:rPr>
                <w:rFonts w:eastAsia="Calibri" w:cs="Calibri"/>
                <w:noProof/>
              </w:rPr>
            </w:pPr>
            <w:r>
              <w:rPr>
                <w:noProof/>
              </w:rPr>
              <w:t>11.3</w:t>
            </w:r>
          </w:p>
        </w:tc>
        <w:tc>
          <w:tcPr>
            <w:tcW w:w="1760" w:type="dxa"/>
            <w:tcBorders>
              <w:top w:val="nil"/>
              <w:left w:val="nil"/>
              <w:bottom w:val="single" w:sz="4" w:space="0" w:color="auto"/>
              <w:right w:val="single" w:sz="4" w:space="0" w:color="auto"/>
            </w:tcBorders>
            <w:shd w:val="clear" w:color="auto" w:fill="C4EFCE"/>
            <w:vAlign w:val="center"/>
            <w:hideMark/>
          </w:tcPr>
          <w:p w14:paraId="7D5F02B7" w14:textId="77777777" w:rsidR="00F24946" w:rsidRDefault="00613B06">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40F811C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CEDD55" w14:textId="77777777" w:rsidR="00F24946" w:rsidRDefault="00613B06">
            <w:pPr>
              <w:pStyle w:val="P68B1DB1-Normal23"/>
              <w:spacing w:after="0"/>
              <w:jc w:val="both"/>
              <w:rPr>
                <w:rFonts w:eastAsia="Calibri" w:cs="Calibri"/>
                <w:noProof/>
              </w:rPr>
            </w:pPr>
            <w:r>
              <w:rPr>
                <w:noProof/>
              </w:rPr>
              <w:t>Finančna podpora za projekte razogljičenja industrije</w:t>
            </w:r>
          </w:p>
        </w:tc>
      </w:tr>
      <w:tr w:rsidR="00F24946" w14:paraId="52A5E53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04C71" w14:textId="77777777" w:rsidR="00F24946" w:rsidRDefault="00613B06">
            <w:pPr>
              <w:pStyle w:val="P68B1DB1-Normal23"/>
              <w:spacing w:after="0"/>
              <w:jc w:val="center"/>
              <w:rPr>
                <w:rFonts w:eastAsia="Calibri" w:cs="Calibri"/>
                <w:noProof/>
              </w:rPr>
            </w:pPr>
            <w:r>
              <w:rPr>
                <w:noProof/>
              </w:rPr>
              <w:t>12.3</w:t>
            </w:r>
          </w:p>
        </w:tc>
        <w:tc>
          <w:tcPr>
            <w:tcW w:w="1760" w:type="dxa"/>
            <w:tcBorders>
              <w:top w:val="nil"/>
              <w:left w:val="nil"/>
              <w:bottom w:val="single" w:sz="4" w:space="0" w:color="auto"/>
              <w:right w:val="single" w:sz="4" w:space="0" w:color="auto"/>
            </w:tcBorders>
            <w:shd w:val="clear" w:color="auto" w:fill="C4EFCE"/>
            <w:vAlign w:val="center"/>
            <w:hideMark/>
          </w:tcPr>
          <w:p w14:paraId="5E91949E" w14:textId="77777777" w:rsidR="00F24946" w:rsidRDefault="00613B06">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11FF5E1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CCA943F" w14:textId="77777777" w:rsidR="00F24946" w:rsidRDefault="00613B06">
            <w:pPr>
              <w:pStyle w:val="P68B1DB1-Normal23"/>
              <w:spacing w:after="0"/>
              <w:jc w:val="both"/>
              <w:rPr>
                <w:rFonts w:eastAsia="Calibri" w:cs="Calibri"/>
                <w:noProof/>
              </w:rPr>
            </w:pPr>
            <w:r>
              <w:rPr>
                <w:noProof/>
              </w:rPr>
              <w:t>Novi proizvodi, tehnologije in pilotni postopki, ki vključujejo biološke vire</w:t>
            </w:r>
          </w:p>
        </w:tc>
      </w:tr>
      <w:tr w:rsidR="00F24946" w14:paraId="6307650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574EE4" w14:textId="77777777" w:rsidR="00F24946" w:rsidRDefault="00613B06">
            <w:pPr>
              <w:pStyle w:val="P68B1DB1-Normal23"/>
              <w:spacing w:after="0"/>
              <w:jc w:val="center"/>
              <w:rPr>
                <w:rFonts w:eastAsia="Calibri" w:cs="Calibri"/>
                <w:noProof/>
              </w:rPr>
            </w:pPr>
            <w:r>
              <w:rPr>
                <w:noProof/>
              </w:rPr>
              <w:t>12.4</w:t>
            </w:r>
          </w:p>
        </w:tc>
        <w:tc>
          <w:tcPr>
            <w:tcW w:w="1760" w:type="dxa"/>
            <w:tcBorders>
              <w:top w:val="nil"/>
              <w:left w:val="nil"/>
              <w:bottom w:val="single" w:sz="4" w:space="0" w:color="auto"/>
              <w:right w:val="single" w:sz="4" w:space="0" w:color="auto"/>
            </w:tcBorders>
            <w:shd w:val="clear" w:color="auto" w:fill="C4EFCE"/>
            <w:vAlign w:val="center"/>
            <w:hideMark/>
          </w:tcPr>
          <w:p w14:paraId="4D7A477C" w14:textId="77777777" w:rsidR="00F24946" w:rsidRDefault="00613B06">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671544E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011820" w14:textId="77777777" w:rsidR="00F24946" w:rsidRDefault="00613B06">
            <w:pPr>
              <w:pStyle w:val="P68B1DB1-Normal23"/>
              <w:spacing w:after="0"/>
              <w:jc w:val="both"/>
              <w:rPr>
                <w:rFonts w:eastAsia="Calibri" w:cs="Calibri"/>
                <w:noProof/>
              </w:rPr>
            </w:pPr>
            <w:r>
              <w:rPr>
                <w:noProof/>
              </w:rPr>
              <w:t>Razvoj morskih borovih gozdov s potencialom za proizvodnjo smole</w:t>
            </w:r>
          </w:p>
        </w:tc>
      </w:tr>
      <w:tr w:rsidR="00F24946" w14:paraId="420B45B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BBC2D8" w14:textId="77777777" w:rsidR="00F24946" w:rsidRDefault="00613B06">
            <w:pPr>
              <w:pStyle w:val="P68B1DB1-Normal23"/>
              <w:spacing w:after="0"/>
              <w:jc w:val="center"/>
              <w:rPr>
                <w:rFonts w:eastAsia="Calibri" w:cs="Calibri"/>
                <w:noProof/>
              </w:rPr>
            </w:pPr>
            <w:r>
              <w:rPr>
                <w:noProof/>
              </w:rPr>
              <w:t>12.9</w:t>
            </w:r>
          </w:p>
        </w:tc>
        <w:tc>
          <w:tcPr>
            <w:tcW w:w="1760" w:type="dxa"/>
            <w:tcBorders>
              <w:top w:val="nil"/>
              <w:left w:val="nil"/>
              <w:bottom w:val="single" w:sz="4" w:space="0" w:color="auto"/>
              <w:right w:val="single" w:sz="4" w:space="0" w:color="auto"/>
            </w:tcBorders>
            <w:shd w:val="clear" w:color="auto" w:fill="C4EFCE"/>
            <w:vAlign w:val="center"/>
            <w:hideMark/>
          </w:tcPr>
          <w:p w14:paraId="172E9144" w14:textId="77777777" w:rsidR="00F24946" w:rsidRDefault="00613B06">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7087AB67"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FC7761F" w14:textId="77777777" w:rsidR="00F24946" w:rsidRDefault="00613B06">
            <w:pPr>
              <w:pStyle w:val="P68B1DB1-Normal23"/>
              <w:spacing w:after="0"/>
              <w:jc w:val="both"/>
              <w:rPr>
                <w:rFonts w:eastAsia="Calibri" w:cs="Calibri"/>
                <w:noProof/>
              </w:rPr>
            </w:pPr>
            <w:r>
              <w:rPr>
                <w:noProof/>
              </w:rPr>
              <w:t>Sistem vračanja za odpadno električno energijo in elektronsko opremo</w:t>
            </w:r>
          </w:p>
        </w:tc>
      </w:tr>
      <w:tr w:rsidR="00F24946" w14:paraId="7F4AB3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EA878" w14:textId="77777777" w:rsidR="00F24946" w:rsidRDefault="00613B06">
            <w:pPr>
              <w:pStyle w:val="P68B1DB1-Normal23"/>
              <w:spacing w:after="0"/>
              <w:jc w:val="center"/>
              <w:rPr>
                <w:rFonts w:eastAsia="Calibri" w:cs="Calibri"/>
                <w:noProof/>
              </w:rPr>
            </w:pPr>
            <w:r>
              <w:rPr>
                <w:noProof/>
              </w:rPr>
              <w:t>13.3</w:t>
            </w:r>
          </w:p>
        </w:tc>
        <w:tc>
          <w:tcPr>
            <w:tcW w:w="1760" w:type="dxa"/>
            <w:tcBorders>
              <w:top w:val="nil"/>
              <w:left w:val="nil"/>
              <w:bottom w:val="single" w:sz="4" w:space="0" w:color="auto"/>
              <w:right w:val="single" w:sz="4" w:space="0" w:color="auto"/>
            </w:tcBorders>
            <w:shd w:val="clear" w:color="auto" w:fill="C4EFCE"/>
            <w:vAlign w:val="center"/>
            <w:hideMark/>
          </w:tcPr>
          <w:p w14:paraId="2711CA67" w14:textId="77777777" w:rsidR="00F24946" w:rsidRDefault="00613B06">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708E9DD8"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A4BCD" w14:textId="77777777" w:rsidR="00F24946" w:rsidRDefault="00613B06">
            <w:pPr>
              <w:pStyle w:val="P68B1DB1-Normal23"/>
              <w:spacing w:after="0"/>
              <w:jc w:val="both"/>
              <w:rPr>
                <w:rFonts w:eastAsia="Calibri" w:cs="Calibri"/>
                <w:noProof/>
              </w:rPr>
            </w:pPr>
            <w:r>
              <w:rPr>
                <w:noProof/>
              </w:rPr>
              <w:t>„Boni za učinkovitost“, razdeljeni gospodinjstvom, ki se soočajo z energijsko revščino, za nadomestitev stare opreme in sprejetje energijsko učinkovitih rešitev</w:t>
            </w:r>
          </w:p>
        </w:tc>
      </w:tr>
      <w:tr w:rsidR="00F24946" w14:paraId="10CFDBA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CEEF76" w14:textId="77777777" w:rsidR="00F24946" w:rsidRDefault="00613B06">
            <w:pPr>
              <w:pStyle w:val="P68B1DB1-Normal23"/>
              <w:spacing w:after="0"/>
              <w:jc w:val="center"/>
              <w:rPr>
                <w:rFonts w:eastAsia="Calibri" w:cs="Calibri"/>
                <w:noProof/>
              </w:rPr>
            </w:pPr>
            <w:r>
              <w:rPr>
                <w:noProof/>
              </w:rPr>
              <w:t>13.4</w:t>
            </w:r>
          </w:p>
        </w:tc>
        <w:tc>
          <w:tcPr>
            <w:tcW w:w="1760" w:type="dxa"/>
            <w:tcBorders>
              <w:top w:val="nil"/>
              <w:left w:val="nil"/>
              <w:bottom w:val="single" w:sz="4" w:space="0" w:color="auto"/>
              <w:right w:val="single" w:sz="4" w:space="0" w:color="auto"/>
            </w:tcBorders>
            <w:shd w:val="clear" w:color="auto" w:fill="C4EFCE"/>
            <w:vAlign w:val="center"/>
            <w:hideMark/>
          </w:tcPr>
          <w:p w14:paraId="70C58091" w14:textId="77777777" w:rsidR="00F24946" w:rsidRDefault="00613B06">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63E240D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DF9123" w14:textId="77777777" w:rsidR="00F24946" w:rsidRDefault="00613B06">
            <w:pPr>
              <w:pStyle w:val="P68B1DB1-Normal23"/>
              <w:spacing w:after="0"/>
              <w:jc w:val="both"/>
              <w:rPr>
                <w:rFonts w:eastAsia="Calibri" w:cs="Calibri"/>
                <w:noProof/>
              </w:rPr>
            </w:pPr>
            <w:r>
              <w:rPr>
                <w:noProof/>
              </w:rPr>
              <w:t>Dodatne zmogljivosti za proizvodnjo energije iz obnovljivih virov za lastno porabo in za uporabo v skupnostih na področju energije iz obnovljivih virov v zasebnem stanovanjskem sektorju</w:t>
            </w:r>
          </w:p>
        </w:tc>
      </w:tr>
      <w:tr w:rsidR="00F24946" w14:paraId="5266E9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2AA442" w14:textId="77777777" w:rsidR="00F24946" w:rsidRDefault="00613B06">
            <w:pPr>
              <w:pStyle w:val="P68B1DB1-Normal23"/>
              <w:spacing w:after="0"/>
              <w:jc w:val="center"/>
              <w:rPr>
                <w:rFonts w:eastAsia="Calibri" w:cs="Calibri"/>
                <w:noProof/>
              </w:rPr>
            </w:pPr>
            <w:r>
              <w:rPr>
                <w:noProof/>
              </w:rPr>
              <w:t>13.6</w:t>
            </w:r>
          </w:p>
        </w:tc>
        <w:tc>
          <w:tcPr>
            <w:tcW w:w="1760" w:type="dxa"/>
            <w:tcBorders>
              <w:top w:val="nil"/>
              <w:left w:val="nil"/>
              <w:bottom w:val="single" w:sz="4" w:space="0" w:color="auto"/>
              <w:right w:val="single" w:sz="4" w:space="0" w:color="auto"/>
            </w:tcBorders>
            <w:shd w:val="clear" w:color="auto" w:fill="C4EFCE"/>
            <w:vAlign w:val="center"/>
            <w:hideMark/>
          </w:tcPr>
          <w:p w14:paraId="2BEC44DB" w14:textId="77777777" w:rsidR="00F24946" w:rsidRDefault="00613B06">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221A46F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2187E3" w14:textId="77777777" w:rsidR="00F24946" w:rsidRDefault="00613B06">
            <w:pPr>
              <w:pStyle w:val="P68B1DB1-Normal23"/>
              <w:spacing w:after="0"/>
              <w:jc w:val="both"/>
              <w:rPr>
                <w:rFonts w:eastAsia="Calibri" w:cs="Calibri"/>
                <w:noProof/>
              </w:rPr>
            </w:pPr>
            <w:r>
              <w:rPr>
                <w:noProof/>
              </w:rPr>
              <w:t>Energetska prenova stavb osrednje vlade</w:t>
            </w:r>
          </w:p>
        </w:tc>
      </w:tr>
      <w:tr w:rsidR="00F24946" w14:paraId="3C9445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1CA67D" w14:textId="77777777" w:rsidR="00F24946" w:rsidRDefault="00613B06">
            <w:pPr>
              <w:pStyle w:val="P68B1DB1-Normal23"/>
              <w:spacing w:after="0"/>
              <w:jc w:val="center"/>
              <w:rPr>
                <w:rFonts w:eastAsia="Calibri" w:cs="Calibri"/>
                <w:noProof/>
              </w:rPr>
            </w:pPr>
            <w:r>
              <w:rPr>
                <w:noProof/>
              </w:rPr>
              <w:t>13.7</w:t>
            </w:r>
          </w:p>
        </w:tc>
        <w:tc>
          <w:tcPr>
            <w:tcW w:w="1760" w:type="dxa"/>
            <w:tcBorders>
              <w:top w:val="nil"/>
              <w:left w:val="nil"/>
              <w:bottom w:val="single" w:sz="4" w:space="0" w:color="auto"/>
              <w:right w:val="single" w:sz="4" w:space="0" w:color="auto"/>
            </w:tcBorders>
            <w:shd w:val="clear" w:color="auto" w:fill="C4EFCE"/>
            <w:vAlign w:val="center"/>
            <w:hideMark/>
          </w:tcPr>
          <w:p w14:paraId="532BF8AE" w14:textId="77777777" w:rsidR="00F24946" w:rsidRDefault="00613B06">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58EFFAE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7A86DB" w14:textId="77777777" w:rsidR="00F24946" w:rsidRDefault="00613B06">
            <w:pPr>
              <w:pStyle w:val="P68B1DB1-Normal23"/>
              <w:spacing w:after="0"/>
              <w:jc w:val="both"/>
              <w:rPr>
                <w:rFonts w:eastAsia="Calibri" w:cs="Calibri"/>
                <w:noProof/>
              </w:rPr>
            </w:pPr>
            <w:r>
              <w:rPr>
                <w:noProof/>
              </w:rPr>
              <w:t>Dodatne zmogljivosti za proizvodnjo energije iz obnovljivih virov za lastno porabo in za uporabo v skupnostih na področju energije iz obnovljivih virov v stavbah osrednje vlade</w:t>
            </w:r>
          </w:p>
        </w:tc>
      </w:tr>
      <w:tr w:rsidR="00F24946" w14:paraId="3D6B69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48317C" w14:textId="77777777" w:rsidR="00F24946" w:rsidRDefault="00613B06">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2F9F167F" w14:textId="77777777" w:rsidR="00F24946" w:rsidRDefault="00613B06">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052EE5A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2DC1A9" w14:textId="77777777" w:rsidR="00F24946" w:rsidRDefault="00613B06">
            <w:pPr>
              <w:pStyle w:val="P68B1DB1-Normal23"/>
              <w:spacing w:after="0"/>
              <w:jc w:val="both"/>
              <w:rPr>
                <w:rFonts w:eastAsia="Calibri" w:cs="Calibri"/>
                <w:noProof/>
              </w:rPr>
            </w:pPr>
            <w:r>
              <w:rPr>
                <w:noProof/>
              </w:rPr>
              <w:t>Energijska prenova stavb za zasebne storitve</w:t>
            </w:r>
          </w:p>
        </w:tc>
      </w:tr>
      <w:tr w:rsidR="00F24946" w14:paraId="142EE0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C8BAF7" w14:textId="77777777" w:rsidR="00F24946" w:rsidRDefault="00613B06">
            <w:pPr>
              <w:pStyle w:val="P68B1DB1-Normal23"/>
              <w:spacing w:after="0"/>
              <w:jc w:val="center"/>
              <w:rPr>
                <w:rFonts w:eastAsia="Calibri" w:cs="Calibri"/>
                <w:noProof/>
              </w:rPr>
            </w:pPr>
            <w:r>
              <w:rPr>
                <w:noProof/>
              </w:rPr>
              <w:t>13.10</w:t>
            </w:r>
          </w:p>
        </w:tc>
        <w:tc>
          <w:tcPr>
            <w:tcW w:w="1760" w:type="dxa"/>
            <w:tcBorders>
              <w:top w:val="nil"/>
              <w:left w:val="nil"/>
              <w:bottom w:val="single" w:sz="4" w:space="0" w:color="auto"/>
              <w:right w:val="single" w:sz="4" w:space="0" w:color="auto"/>
            </w:tcBorders>
            <w:shd w:val="clear" w:color="auto" w:fill="C4EFCE"/>
            <w:vAlign w:val="center"/>
            <w:hideMark/>
          </w:tcPr>
          <w:p w14:paraId="1BB98FB7" w14:textId="77777777" w:rsidR="00F24946" w:rsidRDefault="00613B06">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38CB2E3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B96399" w14:textId="77777777" w:rsidR="00F24946" w:rsidRDefault="00613B06">
            <w:pPr>
              <w:pStyle w:val="P68B1DB1-Normal23"/>
              <w:spacing w:after="0"/>
              <w:jc w:val="both"/>
              <w:rPr>
                <w:rFonts w:eastAsia="Calibri" w:cs="Calibri"/>
                <w:noProof/>
              </w:rPr>
            </w:pPr>
            <w:r>
              <w:rPr>
                <w:noProof/>
              </w:rPr>
              <w:t>Dodatne zmogljivosti za proizvodnjo energije iz obnovljivih virov za lastno porabo in za uporabo v skupnostih na področju energije iz obnovljivih virov v zasebnem storitvenem sektorju</w:t>
            </w:r>
          </w:p>
        </w:tc>
      </w:tr>
      <w:tr w:rsidR="00F24946" w14:paraId="1F41F64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5650C31" w14:textId="77777777" w:rsidR="00F24946" w:rsidRDefault="00613B06">
            <w:pPr>
              <w:pStyle w:val="P68B1DB1-Normal23"/>
              <w:spacing w:after="0"/>
              <w:jc w:val="center"/>
              <w:rPr>
                <w:rFonts w:eastAsia="Calibri" w:cs="Calibri"/>
                <w:noProof/>
              </w:rPr>
            </w:pPr>
            <w:r>
              <w:rPr>
                <w:noProof/>
              </w:rPr>
              <w:t>14.9</w:t>
            </w:r>
          </w:p>
        </w:tc>
        <w:tc>
          <w:tcPr>
            <w:tcW w:w="1760" w:type="dxa"/>
            <w:tcBorders>
              <w:top w:val="nil"/>
              <w:left w:val="nil"/>
              <w:bottom w:val="single" w:sz="4" w:space="0" w:color="auto"/>
              <w:right w:val="single" w:sz="4" w:space="0" w:color="auto"/>
            </w:tcBorders>
            <w:shd w:val="clear" w:color="auto" w:fill="C4EFCE"/>
            <w:vAlign w:val="center"/>
            <w:hideMark/>
          </w:tcPr>
          <w:p w14:paraId="70919607" w14:textId="77777777" w:rsidR="00F24946" w:rsidRDefault="00613B06">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C358FC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D92A8B" w14:textId="77777777" w:rsidR="00F24946" w:rsidRDefault="00613B06">
            <w:pPr>
              <w:pStyle w:val="P68B1DB1-Normal23"/>
              <w:spacing w:after="0"/>
              <w:jc w:val="both"/>
              <w:rPr>
                <w:rFonts w:eastAsia="Calibri" w:cs="Calibri"/>
                <w:noProof/>
              </w:rPr>
            </w:pPr>
            <w:r>
              <w:rPr>
                <w:noProof/>
              </w:rPr>
              <w:t>Namestitev pametnih števcev</w:t>
            </w:r>
          </w:p>
        </w:tc>
      </w:tr>
      <w:tr w:rsidR="00F24946" w14:paraId="41E942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90FAB3" w14:textId="77777777" w:rsidR="00F24946" w:rsidRDefault="00613B06">
            <w:pPr>
              <w:pStyle w:val="P68B1DB1-Normal23"/>
              <w:spacing w:after="0"/>
              <w:jc w:val="center"/>
              <w:rPr>
                <w:rFonts w:eastAsia="Calibri" w:cs="Calibri"/>
                <w:noProof/>
              </w:rPr>
            </w:pPr>
            <w:r>
              <w:rPr>
                <w:noProof/>
              </w:rPr>
              <w:t>14.10</w:t>
            </w:r>
          </w:p>
        </w:tc>
        <w:tc>
          <w:tcPr>
            <w:tcW w:w="1760" w:type="dxa"/>
            <w:tcBorders>
              <w:top w:val="nil"/>
              <w:left w:val="nil"/>
              <w:bottom w:val="single" w:sz="4" w:space="0" w:color="auto"/>
              <w:right w:val="single" w:sz="4" w:space="0" w:color="auto"/>
            </w:tcBorders>
            <w:shd w:val="clear" w:color="auto" w:fill="C4EFCE"/>
            <w:vAlign w:val="center"/>
            <w:hideMark/>
          </w:tcPr>
          <w:p w14:paraId="14EE6BC3" w14:textId="77777777" w:rsidR="00F24946" w:rsidRDefault="00613B06">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9A8DD4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3E950E" w14:textId="77777777" w:rsidR="00F24946" w:rsidRDefault="00613B06">
            <w:pPr>
              <w:pStyle w:val="P68B1DB1-Normal23"/>
              <w:spacing w:after="0"/>
              <w:jc w:val="both"/>
              <w:rPr>
                <w:rFonts w:eastAsia="Calibri" w:cs="Calibri"/>
                <w:noProof/>
              </w:rPr>
            </w:pPr>
            <w:r>
              <w:rPr>
                <w:noProof/>
              </w:rPr>
              <w:t>Zamenjava točk cestne razsvetljave</w:t>
            </w:r>
          </w:p>
        </w:tc>
      </w:tr>
      <w:tr w:rsidR="00F24946" w14:paraId="1259CE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EACEC" w14:textId="77777777" w:rsidR="00F24946" w:rsidRDefault="00613B06">
            <w:pPr>
              <w:pStyle w:val="P68B1DB1-Normal23"/>
              <w:spacing w:after="0"/>
              <w:jc w:val="center"/>
              <w:rPr>
                <w:rFonts w:eastAsia="Calibri" w:cs="Calibri"/>
                <w:noProof/>
              </w:rPr>
            </w:pPr>
            <w:r>
              <w:rPr>
                <w:noProof/>
              </w:rPr>
              <w:t>14.14</w:t>
            </w:r>
          </w:p>
        </w:tc>
        <w:tc>
          <w:tcPr>
            <w:tcW w:w="1760" w:type="dxa"/>
            <w:tcBorders>
              <w:top w:val="nil"/>
              <w:left w:val="nil"/>
              <w:bottom w:val="single" w:sz="4" w:space="0" w:color="auto"/>
              <w:right w:val="single" w:sz="4" w:space="0" w:color="auto"/>
            </w:tcBorders>
            <w:shd w:val="clear" w:color="auto" w:fill="C4EFCE"/>
            <w:vAlign w:val="center"/>
            <w:hideMark/>
          </w:tcPr>
          <w:p w14:paraId="5E5CAB41" w14:textId="77777777" w:rsidR="00F24946" w:rsidRDefault="00613B06">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2422CE6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56286D" w14:textId="77777777" w:rsidR="00F24946" w:rsidRDefault="00613B06">
            <w:pPr>
              <w:pStyle w:val="P68B1DB1-Normal23"/>
              <w:spacing w:after="0"/>
              <w:jc w:val="both"/>
              <w:rPr>
                <w:rFonts w:eastAsia="Calibri" w:cs="Calibri"/>
                <w:noProof/>
              </w:rPr>
            </w:pPr>
            <w:r>
              <w:rPr>
                <w:noProof/>
              </w:rPr>
              <w:t>Namestitev majhnih fotonapetostnih elektrarn za lokalno proizvodnjo in porabo električne energije</w:t>
            </w:r>
          </w:p>
        </w:tc>
      </w:tr>
      <w:tr w:rsidR="00F24946" w14:paraId="28AF18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65ACC1" w14:textId="77777777" w:rsidR="00F24946" w:rsidRDefault="00613B06">
            <w:pPr>
              <w:pStyle w:val="P68B1DB1-Normal23"/>
              <w:spacing w:after="0"/>
              <w:jc w:val="center"/>
              <w:rPr>
                <w:rFonts w:eastAsia="Calibri" w:cs="Calibri"/>
                <w:noProof/>
              </w:rPr>
            </w:pPr>
            <w:r>
              <w:rPr>
                <w:noProof/>
              </w:rPr>
              <w:t>16.3</w:t>
            </w:r>
          </w:p>
        </w:tc>
        <w:tc>
          <w:tcPr>
            <w:tcW w:w="1760" w:type="dxa"/>
            <w:tcBorders>
              <w:top w:val="nil"/>
              <w:left w:val="nil"/>
              <w:bottom w:val="single" w:sz="4" w:space="0" w:color="auto"/>
              <w:right w:val="single" w:sz="4" w:space="0" w:color="auto"/>
            </w:tcBorders>
            <w:shd w:val="clear" w:color="auto" w:fill="C4EFCE"/>
            <w:vAlign w:val="center"/>
            <w:hideMark/>
          </w:tcPr>
          <w:p w14:paraId="49A1257B" w14:textId="77777777" w:rsidR="00F24946" w:rsidRDefault="00613B06">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4627B07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BA94AFF" w14:textId="77777777" w:rsidR="00F24946" w:rsidRDefault="00613B06">
            <w:pPr>
              <w:pStyle w:val="P68B1DB1-Normal23"/>
              <w:spacing w:after="0"/>
              <w:jc w:val="both"/>
              <w:rPr>
                <w:rFonts w:eastAsia="Calibri" w:cs="Calibri"/>
                <w:noProof/>
              </w:rPr>
            </w:pPr>
            <w:r>
              <w:rPr>
                <w:noProof/>
              </w:rPr>
              <w:t>Zaposlitev + udeleženci digitalnega usposabljanja</w:t>
            </w:r>
          </w:p>
        </w:tc>
      </w:tr>
      <w:tr w:rsidR="00F24946" w14:paraId="1C0A03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44A2AE" w14:textId="77777777" w:rsidR="00F24946" w:rsidRDefault="00613B06">
            <w:pPr>
              <w:pStyle w:val="P68B1DB1-Normal23"/>
              <w:spacing w:after="0"/>
              <w:jc w:val="center"/>
              <w:rPr>
                <w:rFonts w:eastAsia="Calibri" w:cs="Calibri"/>
                <w:noProof/>
              </w:rPr>
            </w:pPr>
            <w:r>
              <w:rPr>
                <w:noProof/>
              </w:rPr>
              <w:t>16.4</w:t>
            </w:r>
          </w:p>
        </w:tc>
        <w:tc>
          <w:tcPr>
            <w:tcW w:w="1760" w:type="dxa"/>
            <w:tcBorders>
              <w:top w:val="nil"/>
              <w:left w:val="nil"/>
              <w:bottom w:val="single" w:sz="4" w:space="0" w:color="auto"/>
              <w:right w:val="single" w:sz="4" w:space="0" w:color="auto"/>
            </w:tcBorders>
            <w:shd w:val="clear" w:color="auto" w:fill="C4EFCE"/>
            <w:vAlign w:val="center"/>
            <w:hideMark/>
          </w:tcPr>
          <w:p w14:paraId="4421E373" w14:textId="77777777" w:rsidR="00F24946" w:rsidRDefault="00613B06">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631F7E6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4033A4" w14:textId="77777777" w:rsidR="00F24946" w:rsidRDefault="00613B06">
            <w:pPr>
              <w:pStyle w:val="P68B1DB1-Normal23"/>
              <w:spacing w:after="0"/>
              <w:jc w:val="both"/>
              <w:rPr>
                <w:rFonts w:eastAsia="Calibri" w:cs="Calibri"/>
                <w:noProof/>
              </w:rPr>
            </w:pPr>
            <w:r>
              <w:rPr>
                <w:noProof/>
              </w:rPr>
              <w:t>Udeleženci usposabljanja za digitalno akademijo na Portugalskem</w:t>
            </w:r>
          </w:p>
        </w:tc>
      </w:tr>
      <w:tr w:rsidR="00F24946" w14:paraId="1F4920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3CE429" w14:textId="77777777" w:rsidR="00F24946" w:rsidRDefault="00613B06">
            <w:pPr>
              <w:pStyle w:val="P68B1DB1-Normal23"/>
              <w:spacing w:after="0"/>
              <w:jc w:val="center"/>
              <w:rPr>
                <w:rFonts w:eastAsia="Calibri" w:cs="Calibri"/>
                <w:noProof/>
              </w:rPr>
            </w:pPr>
            <w:r>
              <w:rPr>
                <w:noProof/>
              </w:rPr>
              <w:t>16.8</w:t>
            </w:r>
          </w:p>
        </w:tc>
        <w:tc>
          <w:tcPr>
            <w:tcW w:w="1760" w:type="dxa"/>
            <w:tcBorders>
              <w:top w:val="nil"/>
              <w:left w:val="nil"/>
              <w:bottom w:val="single" w:sz="4" w:space="0" w:color="auto"/>
              <w:right w:val="single" w:sz="4" w:space="0" w:color="auto"/>
            </w:tcBorders>
            <w:shd w:val="clear" w:color="auto" w:fill="C4EFCE"/>
            <w:vAlign w:val="center"/>
            <w:hideMark/>
          </w:tcPr>
          <w:p w14:paraId="0609D596" w14:textId="77777777" w:rsidR="00F24946" w:rsidRDefault="00613B06">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253830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D78655" w14:textId="77777777" w:rsidR="00F24946" w:rsidRDefault="00613B06">
            <w:pPr>
              <w:pStyle w:val="P68B1DB1-Normal23"/>
              <w:spacing w:after="0"/>
              <w:jc w:val="both"/>
              <w:rPr>
                <w:rFonts w:eastAsia="Calibri" w:cs="Calibri"/>
                <w:noProof/>
              </w:rPr>
            </w:pPr>
            <w:r>
              <w:rPr>
                <w:noProof/>
              </w:rPr>
              <w:t xml:space="preserve">Razviti pilotni proizvodi in storitve nacionalne mreže za preskusne naprave </w:t>
            </w:r>
          </w:p>
        </w:tc>
      </w:tr>
      <w:tr w:rsidR="00F24946" w14:paraId="292D08F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82F634" w14:textId="77777777" w:rsidR="00F24946" w:rsidRDefault="00613B06">
            <w:pPr>
              <w:pStyle w:val="P68B1DB1-Normal23"/>
              <w:spacing w:after="0"/>
              <w:jc w:val="center"/>
              <w:rPr>
                <w:rFonts w:eastAsia="Calibri" w:cs="Calibri"/>
                <w:noProof/>
              </w:rPr>
            </w:pPr>
            <w:r>
              <w:rPr>
                <w:noProof/>
              </w:rPr>
              <w:t>16.9</w:t>
            </w:r>
          </w:p>
        </w:tc>
        <w:tc>
          <w:tcPr>
            <w:tcW w:w="1760" w:type="dxa"/>
            <w:tcBorders>
              <w:top w:val="nil"/>
              <w:left w:val="nil"/>
              <w:bottom w:val="single" w:sz="4" w:space="0" w:color="auto"/>
              <w:right w:val="single" w:sz="4" w:space="0" w:color="auto"/>
            </w:tcBorders>
            <w:shd w:val="clear" w:color="auto" w:fill="C4EFCE"/>
            <w:vAlign w:val="center"/>
            <w:hideMark/>
          </w:tcPr>
          <w:p w14:paraId="622C0B7F" w14:textId="77777777" w:rsidR="00F24946" w:rsidRDefault="00613B06">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EC1E27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F1A25E7" w14:textId="77777777" w:rsidR="00F24946" w:rsidRDefault="00613B06">
            <w:pPr>
              <w:pStyle w:val="P68B1DB1-Normal23"/>
              <w:spacing w:after="0"/>
              <w:jc w:val="both"/>
              <w:rPr>
                <w:rFonts w:eastAsia="Calibri" w:cs="Calibri"/>
                <w:noProof/>
              </w:rPr>
            </w:pPr>
            <w:r>
              <w:rPr>
                <w:noProof/>
              </w:rPr>
              <w:t>Soseska digitalne trgovine</w:t>
            </w:r>
          </w:p>
        </w:tc>
      </w:tr>
      <w:tr w:rsidR="00F24946" w14:paraId="0F2201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BE349D" w14:textId="77777777" w:rsidR="00F24946" w:rsidRDefault="00613B06">
            <w:pPr>
              <w:pStyle w:val="P68B1DB1-Normal23"/>
              <w:spacing w:after="0"/>
              <w:jc w:val="center"/>
              <w:rPr>
                <w:rFonts w:eastAsia="Calibri" w:cs="Calibri"/>
                <w:noProof/>
              </w:rPr>
            </w:pPr>
            <w:r>
              <w:rPr>
                <w:noProof/>
              </w:rPr>
              <w:t>16.10</w:t>
            </w:r>
          </w:p>
        </w:tc>
        <w:tc>
          <w:tcPr>
            <w:tcW w:w="1760" w:type="dxa"/>
            <w:tcBorders>
              <w:top w:val="nil"/>
              <w:left w:val="nil"/>
              <w:bottom w:val="single" w:sz="4" w:space="0" w:color="auto"/>
              <w:right w:val="single" w:sz="4" w:space="0" w:color="auto"/>
            </w:tcBorders>
            <w:shd w:val="clear" w:color="auto" w:fill="C4EFCE"/>
            <w:vAlign w:val="center"/>
            <w:hideMark/>
          </w:tcPr>
          <w:p w14:paraId="7EF5440C" w14:textId="77777777" w:rsidR="00F24946" w:rsidRDefault="00613B06">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2240787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5A7407" w14:textId="77777777" w:rsidR="00F24946" w:rsidRDefault="00613B06">
            <w:pPr>
              <w:pStyle w:val="P68B1DB1-Normal23"/>
              <w:spacing w:after="0"/>
              <w:jc w:val="both"/>
              <w:rPr>
                <w:rFonts w:eastAsia="Calibri" w:cs="Calibri"/>
                <w:noProof/>
              </w:rPr>
            </w:pPr>
            <w:r>
              <w:rPr>
                <w:noProof/>
              </w:rPr>
              <w:t>MSP, ki jih podpirajo pospeševalci digitalne trgovine</w:t>
            </w:r>
          </w:p>
        </w:tc>
      </w:tr>
      <w:tr w:rsidR="00F24946" w14:paraId="395EF5A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6A4D268" w14:textId="77777777" w:rsidR="00F24946" w:rsidRDefault="00613B06">
            <w:pPr>
              <w:pStyle w:val="P68B1DB1-Normal23"/>
              <w:spacing w:after="0"/>
              <w:jc w:val="center"/>
              <w:rPr>
                <w:rFonts w:eastAsia="Calibri" w:cs="Calibri"/>
                <w:noProof/>
              </w:rPr>
            </w:pPr>
            <w:r>
              <w:rPr>
                <w:noProof/>
              </w:rPr>
              <w:t>16.11</w:t>
            </w:r>
          </w:p>
        </w:tc>
        <w:tc>
          <w:tcPr>
            <w:tcW w:w="1760" w:type="dxa"/>
            <w:tcBorders>
              <w:top w:val="nil"/>
              <w:left w:val="nil"/>
              <w:bottom w:val="single" w:sz="4" w:space="0" w:color="auto"/>
              <w:right w:val="single" w:sz="4" w:space="0" w:color="auto"/>
            </w:tcBorders>
            <w:shd w:val="clear" w:color="auto" w:fill="C4EFCE"/>
            <w:vAlign w:val="center"/>
            <w:hideMark/>
          </w:tcPr>
          <w:p w14:paraId="1C28A89D" w14:textId="77777777" w:rsidR="00F24946" w:rsidRDefault="00613B06">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5ED957C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09C888" w14:textId="77777777" w:rsidR="00F24946" w:rsidRDefault="00613B06">
            <w:pPr>
              <w:pStyle w:val="P68B1DB1-Normal23"/>
              <w:spacing w:after="0"/>
              <w:jc w:val="both"/>
              <w:rPr>
                <w:rFonts w:eastAsia="Calibri" w:cs="Calibri"/>
                <w:noProof/>
              </w:rPr>
            </w:pPr>
            <w:r>
              <w:rPr>
                <w:noProof/>
              </w:rPr>
              <w:t>MSP in zagonski inkubatorji, ki jih neposredno podpirajo programi digitalizacije</w:t>
            </w:r>
          </w:p>
        </w:tc>
      </w:tr>
      <w:tr w:rsidR="00F24946" w14:paraId="2F2CE5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03D9BF" w14:textId="77777777" w:rsidR="00F24946" w:rsidRDefault="00613B06">
            <w:pPr>
              <w:pStyle w:val="P68B1DB1-Normal23"/>
              <w:spacing w:after="0"/>
              <w:jc w:val="center"/>
              <w:rPr>
                <w:rFonts w:eastAsia="Calibri" w:cs="Calibri"/>
                <w:noProof/>
              </w:rPr>
            </w:pPr>
            <w:r>
              <w:rPr>
                <w:noProof/>
              </w:rPr>
              <w:t>16.12</w:t>
            </w:r>
          </w:p>
        </w:tc>
        <w:tc>
          <w:tcPr>
            <w:tcW w:w="1760" w:type="dxa"/>
            <w:tcBorders>
              <w:top w:val="nil"/>
              <w:left w:val="nil"/>
              <w:bottom w:val="single" w:sz="4" w:space="0" w:color="auto"/>
              <w:right w:val="single" w:sz="4" w:space="0" w:color="auto"/>
            </w:tcBorders>
            <w:shd w:val="clear" w:color="auto" w:fill="C4EFCE"/>
            <w:vAlign w:val="center"/>
            <w:hideMark/>
          </w:tcPr>
          <w:p w14:paraId="2DC53D71" w14:textId="77777777" w:rsidR="00F24946" w:rsidRDefault="00613B06">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02D2F5B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2922E7" w14:textId="77777777" w:rsidR="00F24946" w:rsidRDefault="00613B06">
            <w:pPr>
              <w:pStyle w:val="P68B1DB1-Normal23"/>
              <w:spacing w:after="0"/>
              <w:jc w:val="both"/>
              <w:rPr>
                <w:rFonts w:eastAsia="Calibri" w:cs="Calibri"/>
                <w:noProof/>
              </w:rPr>
            </w:pPr>
            <w:r>
              <w:rPr>
                <w:noProof/>
              </w:rPr>
              <w:t>Zagonska podjetja na platformi Startup Portugal</w:t>
            </w:r>
          </w:p>
        </w:tc>
      </w:tr>
      <w:tr w:rsidR="00F24946" w14:paraId="1185F1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662678" w14:textId="77777777" w:rsidR="00F24946" w:rsidRDefault="00613B06">
            <w:pPr>
              <w:pStyle w:val="P68B1DB1-Normal23"/>
              <w:spacing w:after="0"/>
              <w:jc w:val="center"/>
              <w:rPr>
                <w:rFonts w:eastAsia="Calibri" w:cs="Calibri"/>
                <w:noProof/>
              </w:rPr>
            </w:pPr>
            <w:r>
              <w:rPr>
                <w:noProof/>
              </w:rPr>
              <w:t>16.15</w:t>
            </w:r>
          </w:p>
        </w:tc>
        <w:tc>
          <w:tcPr>
            <w:tcW w:w="1760" w:type="dxa"/>
            <w:tcBorders>
              <w:top w:val="nil"/>
              <w:left w:val="nil"/>
              <w:bottom w:val="single" w:sz="4" w:space="0" w:color="auto"/>
              <w:right w:val="single" w:sz="4" w:space="0" w:color="auto"/>
            </w:tcBorders>
            <w:shd w:val="clear" w:color="auto" w:fill="C4EFCE"/>
            <w:vAlign w:val="center"/>
            <w:hideMark/>
          </w:tcPr>
          <w:p w14:paraId="31DEC5D3" w14:textId="77777777" w:rsidR="00F24946" w:rsidRDefault="00613B06">
            <w:pPr>
              <w:pStyle w:val="P68B1DB1-Normal23"/>
              <w:spacing w:after="0"/>
              <w:jc w:val="center"/>
              <w:rPr>
                <w:rFonts w:eastAsia="Calibri" w:cs="Calibri"/>
                <w:noProof/>
              </w:rPr>
            </w:pPr>
            <w:r>
              <w:rPr>
                <w:noProof/>
              </w:rPr>
              <w:t>TD-C16-i03</w:t>
            </w:r>
          </w:p>
        </w:tc>
        <w:tc>
          <w:tcPr>
            <w:tcW w:w="1520" w:type="dxa"/>
            <w:tcBorders>
              <w:top w:val="nil"/>
              <w:left w:val="nil"/>
              <w:bottom w:val="single" w:sz="4" w:space="0" w:color="auto"/>
              <w:right w:val="single" w:sz="4" w:space="0" w:color="auto"/>
            </w:tcBorders>
            <w:shd w:val="clear" w:color="auto" w:fill="C4EFCE"/>
            <w:vAlign w:val="center"/>
            <w:hideMark/>
          </w:tcPr>
          <w:p w14:paraId="4A580FA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5CADD8" w14:textId="77777777" w:rsidR="00F24946" w:rsidRDefault="00613B06">
            <w:pPr>
              <w:pStyle w:val="P68B1DB1-Normal23"/>
              <w:spacing w:after="0"/>
              <w:jc w:val="both"/>
              <w:rPr>
                <w:rFonts w:eastAsia="Calibri" w:cs="Calibri"/>
                <w:noProof/>
              </w:rPr>
            </w:pPr>
            <w:r>
              <w:rPr>
                <w:noProof/>
              </w:rPr>
              <w:t>Upravičenci svetovalnih storitev vozlišč za digitalne inovacije</w:t>
            </w:r>
          </w:p>
        </w:tc>
      </w:tr>
      <w:tr w:rsidR="00F24946" w14:paraId="161C3A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9B8BB0" w14:textId="77777777" w:rsidR="00F24946" w:rsidRDefault="00613B06">
            <w:pPr>
              <w:pStyle w:val="P68B1DB1-Normal23"/>
              <w:spacing w:after="0"/>
              <w:jc w:val="center"/>
              <w:rPr>
                <w:rFonts w:eastAsia="Calibri" w:cs="Calibri"/>
                <w:noProof/>
              </w:rPr>
            </w:pPr>
            <w:r>
              <w:rPr>
                <w:noProof/>
              </w:rPr>
              <w:t>16.17</w:t>
            </w:r>
          </w:p>
        </w:tc>
        <w:tc>
          <w:tcPr>
            <w:tcW w:w="1760" w:type="dxa"/>
            <w:tcBorders>
              <w:top w:val="nil"/>
              <w:left w:val="nil"/>
              <w:bottom w:val="single" w:sz="4" w:space="0" w:color="auto"/>
              <w:right w:val="single" w:sz="4" w:space="0" w:color="auto"/>
            </w:tcBorders>
            <w:shd w:val="clear" w:color="auto" w:fill="C4EFCE"/>
            <w:vAlign w:val="center"/>
            <w:hideMark/>
          </w:tcPr>
          <w:p w14:paraId="1C4ABCD3" w14:textId="77777777" w:rsidR="00F24946" w:rsidRDefault="00613B06">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7A3AB4F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93DE237" w14:textId="77777777" w:rsidR="00F24946" w:rsidRDefault="00613B06">
            <w:pPr>
              <w:pStyle w:val="P68B1DB1-Normal23"/>
              <w:spacing w:after="0"/>
              <w:jc w:val="both"/>
              <w:rPr>
                <w:rFonts w:eastAsia="Calibri" w:cs="Calibri"/>
                <w:noProof/>
              </w:rPr>
            </w:pPr>
            <w:r>
              <w:rPr>
                <w:noProof/>
              </w:rPr>
              <w:t>Zaključek projektov industrije 4.0</w:t>
            </w:r>
          </w:p>
        </w:tc>
      </w:tr>
      <w:tr w:rsidR="00F24946" w14:paraId="2775448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8F97AC" w14:textId="77777777" w:rsidR="00F24946" w:rsidRDefault="00613B06">
            <w:pPr>
              <w:pStyle w:val="P68B1DB1-Normal23"/>
              <w:spacing w:after="0"/>
              <w:jc w:val="center"/>
              <w:rPr>
                <w:rFonts w:eastAsia="Calibri" w:cs="Calibri"/>
                <w:noProof/>
              </w:rPr>
            </w:pPr>
            <w:r>
              <w:rPr>
                <w:noProof/>
              </w:rPr>
              <w:t>16.20</w:t>
            </w:r>
          </w:p>
        </w:tc>
        <w:tc>
          <w:tcPr>
            <w:tcW w:w="1760" w:type="dxa"/>
            <w:tcBorders>
              <w:top w:val="nil"/>
              <w:left w:val="nil"/>
              <w:bottom w:val="single" w:sz="4" w:space="0" w:color="auto"/>
              <w:right w:val="single" w:sz="4" w:space="0" w:color="auto"/>
            </w:tcBorders>
            <w:shd w:val="clear" w:color="auto" w:fill="C4EFCE"/>
            <w:vAlign w:val="center"/>
            <w:hideMark/>
          </w:tcPr>
          <w:p w14:paraId="6BBA6CB6" w14:textId="42406519" w:rsidR="00F24946" w:rsidRDefault="00613B06">
            <w:pPr>
              <w:pStyle w:val="P68B1DB1-Normal23"/>
              <w:spacing w:after="0"/>
              <w:jc w:val="center"/>
              <w:rPr>
                <w:rFonts w:eastAsia="Calibri" w:cs="Calibri"/>
                <w:noProof/>
              </w:rPr>
            </w:pPr>
            <w:r>
              <w:rPr>
                <w:noProof/>
              </w:rPr>
              <w:t>TD-C16-i06-RAM</w:t>
            </w:r>
          </w:p>
        </w:tc>
        <w:tc>
          <w:tcPr>
            <w:tcW w:w="1520" w:type="dxa"/>
            <w:tcBorders>
              <w:top w:val="nil"/>
              <w:left w:val="nil"/>
              <w:bottom w:val="single" w:sz="4" w:space="0" w:color="auto"/>
              <w:right w:val="single" w:sz="4" w:space="0" w:color="auto"/>
            </w:tcBorders>
            <w:shd w:val="clear" w:color="auto" w:fill="C4EFCE"/>
            <w:vAlign w:val="center"/>
            <w:hideMark/>
          </w:tcPr>
          <w:p w14:paraId="69E96A0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95FF70" w14:textId="3BE1C11E" w:rsidR="00F24946" w:rsidRDefault="00613B06">
            <w:pPr>
              <w:pStyle w:val="P68B1DB1-Normal23"/>
              <w:spacing w:after="0"/>
              <w:jc w:val="both"/>
              <w:rPr>
                <w:rFonts w:eastAsia="Calibri" w:cs="Calibri"/>
                <w:noProof/>
              </w:rPr>
            </w:pPr>
            <w:r>
              <w:rPr>
                <w:noProof/>
              </w:rPr>
              <w:t>Podjetje 4.0</w:t>
            </w:r>
          </w:p>
        </w:tc>
      </w:tr>
      <w:tr w:rsidR="00F24946" w14:paraId="5F8D113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D3BF65" w14:textId="77777777" w:rsidR="00F24946" w:rsidRDefault="00613B06">
            <w:pPr>
              <w:pStyle w:val="P68B1DB1-Normal23"/>
              <w:spacing w:after="0"/>
              <w:jc w:val="center"/>
              <w:rPr>
                <w:rFonts w:eastAsia="Calibri" w:cs="Calibri"/>
                <w:noProof/>
              </w:rPr>
            </w:pPr>
            <w:r>
              <w:rPr>
                <w:noProof/>
              </w:rPr>
              <w:t>17.4</w:t>
            </w:r>
          </w:p>
        </w:tc>
        <w:tc>
          <w:tcPr>
            <w:tcW w:w="1760" w:type="dxa"/>
            <w:tcBorders>
              <w:top w:val="nil"/>
              <w:left w:val="nil"/>
              <w:bottom w:val="single" w:sz="4" w:space="0" w:color="auto"/>
              <w:right w:val="single" w:sz="4" w:space="0" w:color="auto"/>
            </w:tcBorders>
            <w:shd w:val="clear" w:color="auto" w:fill="C4EFCE"/>
            <w:vAlign w:val="center"/>
            <w:hideMark/>
          </w:tcPr>
          <w:p w14:paraId="4E626E4A" w14:textId="77777777" w:rsidR="00F24946" w:rsidRDefault="00613B06">
            <w:pPr>
              <w:pStyle w:val="P68B1DB1-Normal23"/>
              <w:spacing w:after="0"/>
              <w:jc w:val="center"/>
              <w:rPr>
                <w:rFonts w:eastAsia="Calibri" w:cs="Calibri"/>
                <w:noProof/>
              </w:rPr>
            </w:pPr>
            <w:r>
              <w:rPr>
                <w:noProof/>
              </w:rPr>
              <w:t>TD-C17-r32</w:t>
            </w:r>
          </w:p>
        </w:tc>
        <w:tc>
          <w:tcPr>
            <w:tcW w:w="1520" w:type="dxa"/>
            <w:tcBorders>
              <w:top w:val="nil"/>
              <w:left w:val="nil"/>
              <w:bottom w:val="single" w:sz="4" w:space="0" w:color="auto"/>
              <w:right w:val="single" w:sz="4" w:space="0" w:color="auto"/>
            </w:tcBorders>
            <w:shd w:val="clear" w:color="auto" w:fill="C4EFCE"/>
            <w:vAlign w:val="center"/>
            <w:hideMark/>
          </w:tcPr>
          <w:p w14:paraId="312DFC9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40731E" w14:textId="77777777" w:rsidR="00F24946" w:rsidRDefault="00613B06">
            <w:pPr>
              <w:pStyle w:val="P68B1DB1-Normal23"/>
              <w:spacing w:after="0"/>
              <w:jc w:val="both"/>
              <w:rPr>
                <w:rFonts w:eastAsia="Calibri" w:cs="Calibri"/>
                <w:noProof/>
              </w:rPr>
            </w:pPr>
            <w:r>
              <w:rPr>
                <w:noProof/>
              </w:rPr>
              <w:t>Sprejetje stroškovnega modela za pripravo proračuna programa</w:t>
            </w:r>
          </w:p>
        </w:tc>
      </w:tr>
      <w:tr w:rsidR="00F24946" w14:paraId="28486F3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1D9C06C" w14:textId="77777777" w:rsidR="00F24946" w:rsidRDefault="00613B06">
            <w:pPr>
              <w:pStyle w:val="P68B1DB1-Normal23"/>
              <w:spacing w:after="0"/>
              <w:jc w:val="center"/>
              <w:rPr>
                <w:rFonts w:eastAsia="Calibri" w:cs="Calibri"/>
                <w:noProof/>
              </w:rPr>
            </w:pPr>
            <w:r>
              <w:rPr>
                <w:noProof/>
              </w:rPr>
              <w:t>17.8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9B7C27A" w14:textId="77777777" w:rsidR="00F24946" w:rsidRDefault="00613B06">
            <w:pPr>
              <w:pStyle w:val="P68B1DB1-Normal23"/>
              <w:spacing w:after="0"/>
              <w:jc w:val="center"/>
              <w:rPr>
                <w:rFonts w:eastAsia="Calibri" w:cs="Calibri"/>
                <w:noProof/>
              </w:rPr>
            </w:pPr>
            <w:r>
              <w:rPr>
                <w:noProof/>
              </w:rPr>
              <w:t>TD-C17-r32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9ACBAF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8D0D69" w14:textId="77777777" w:rsidR="00F24946" w:rsidRDefault="00613B06">
            <w:pPr>
              <w:pStyle w:val="P68B1DB1-Normal23"/>
              <w:spacing w:after="0"/>
              <w:jc w:val="both"/>
              <w:rPr>
                <w:rFonts w:eastAsia="Calibri" w:cs="Calibri"/>
                <w:noProof/>
              </w:rPr>
            </w:pPr>
            <w:r>
              <w:rPr>
                <w:noProof/>
              </w:rPr>
              <w:t>Število proračunskih načrtov in načrtov dejavnosti podjetij v državni lasti, ki jih dosledno odobrijo minister za finance in ustrezni resorni ministri</w:t>
            </w:r>
          </w:p>
        </w:tc>
      </w:tr>
      <w:tr w:rsidR="00F24946" w14:paraId="0FFE3D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DEF3AE" w14:textId="77777777" w:rsidR="00F24946" w:rsidRDefault="00613B06">
            <w:pPr>
              <w:pStyle w:val="P68B1DB1-Normal23"/>
              <w:spacing w:after="0"/>
              <w:jc w:val="center"/>
              <w:rPr>
                <w:rFonts w:eastAsia="Calibri" w:cs="Calibri"/>
                <w:noProof/>
              </w:rPr>
            </w:pPr>
            <w:r>
              <w:rPr>
                <w:noProof/>
              </w:rPr>
              <w:t>17.11</w:t>
            </w:r>
          </w:p>
        </w:tc>
        <w:tc>
          <w:tcPr>
            <w:tcW w:w="1760" w:type="dxa"/>
            <w:tcBorders>
              <w:top w:val="nil"/>
              <w:left w:val="nil"/>
              <w:bottom w:val="single" w:sz="4" w:space="0" w:color="auto"/>
              <w:right w:val="single" w:sz="4" w:space="0" w:color="auto"/>
            </w:tcBorders>
            <w:shd w:val="clear" w:color="auto" w:fill="C4EFCE"/>
            <w:vAlign w:val="center"/>
            <w:hideMark/>
          </w:tcPr>
          <w:p w14:paraId="6D375996" w14:textId="77777777" w:rsidR="00F24946" w:rsidRDefault="00613B06">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7F74C799"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1A3F61" w14:textId="77777777" w:rsidR="00F24946" w:rsidRDefault="00613B06">
            <w:pPr>
              <w:pStyle w:val="P68B1DB1-Normal23"/>
              <w:spacing w:after="0"/>
              <w:jc w:val="both"/>
              <w:rPr>
                <w:rFonts w:eastAsia="Calibri" w:cs="Calibri"/>
                <w:noProof/>
              </w:rPr>
            </w:pPr>
            <w:r>
              <w:rPr>
                <w:noProof/>
              </w:rPr>
              <w:t>Začetek delovanja podpornega informacijskega sistema za novi model proračunskega in finančnega nadzora</w:t>
            </w:r>
          </w:p>
        </w:tc>
      </w:tr>
      <w:tr w:rsidR="00F24946" w14:paraId="4E7B34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785CDF1" w14:textId="77777777" w:rsidR="00F24946" w:rsidRDefault="00613B06">
            <w:pPr>
              <w:pStyle w:val="P68B1DB1-Normal23"/>
              <w:spacing w:after="0"/>
              <w:jc w:val="center"/>
              <w:rPr>
                <w:rFonts w:eastAsia="Calibri" w:cs="Calibri"/>
                <w:noProof/>
              </w:rPr>
            </w:pPr>
            <w:r>
              <w:rPr>
                <w:noProof/>
              </w:rPr>
              <w:t>17.14</w:t>
            </w:r>
          </w:p>
        </w:tc>
        <w:tc>
          <w:tcPr>
            <w:tcW w:w="1760" w:type="dxa"/>
            <w:tcBorders>
              <w:top w:val="nil"/>
              <w:left w:val="nil"/>
              <w:bottom w:val="single" w:sz="4" w:space="0" w:color="auto"/>
              <w:right w:val="single" w:sz="4" w:space="0" w:color="auto"/>
            </w:tcBorders>
            <w:shd w:val="clear" w:color="auto" w:fill="C4EFCE"/>
            <w:vAlign w:val="center"/>
            <w:hideMark/>
          </w:tcPr>
          <w:p w14:paraId="533A5B42" w14:textId="77777777" w:rsidR="00F24946" w:rsidRDefault="00613B06">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00CBE279"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BFA39" w14:textId="77777777" w:rsidR="00F24946" w:rsidRDefault="00613B06">
            <w:pPr>
              <w:pStyle w:val="P68B1DB1-Normal23"/>
              <w:spacing w:after="0"/>
              <w:jc w:val="both"/>
              <w:rPr>
                <w:rFonts w:eastAsia="Calibri" w:cs="Calibri"/>
                <w:noProof/>
              </w:rPr>
            </w:pPr>
            <w:r>
              <w:rPr>
                <w:noProof/>
              </w:rPr>
              <w:t>Dokončati izvajanje centra za varnostne operacije</w:t>
            </w:r>
          </w:p>
        </w:tc>
      </w:tr>
      <w:tr w:rsidR="00F24946" w14:paraId="2825FB9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9519C8" w14:textId="77777777" w:rsidR="00F24946" w:rsidRDefault="00613B06">
            <w:pPr>
              <w:pStyle w:val="P68B1DB1-Normal23"/>
              <w:spacing w:after="0"/>
              <w:jc w:val="center"/>
              <w:rPr>
                <w:rFonts w:eastAsia="Calibri" w:cs="Calibri"/>
                <w:noProof/>
              </w:rPr>
            </w:pPr>
            <w:r>
              <w:rPr>
                <w:noProof/>
              </w:rPr>
              <w:t>17.16</w:t>
            </w:r>
          </w:p>
        </w:tc>
        <w:tc>
          <w:tcPr>
            <w:tcW w:w="1760" w:type="dxa"/>
            <w:tcBorders>
              <w:top w:val="nil"/>
              <w:left w:val="nil"/>
              <w:bottom w:val="single" w:sz="4" w:space="0" w:color="auto"/>
              <w:right w:val="single" w:sz="4" w:space="0" w:color="auto"/>
            </w:tcBorders>
            <w:shd w:val="clear" w:color="auto" w:fill="C4EFCE"/>
            <w:vAlign w:val="center"/>
            <w:hideMark/>
          </w:tcPr>
          <w:p w14:paraId="5E0AFA27" w14:textId="77777777" w:rsidR="00F24946" w:rsidRDefault="00613B06">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62B849B"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8B115D" w14:textId="77777777" w:rsidR="00F24946" w:rsidRDefault="00613B06">
            <w:pPr>
              <w:pStyle w:val="P68B1DB1-Normal23"/>
              <w:spacing w:after="0"/>
              <w:jc w:val="both"/>
              <w:rPr>
                <w:rFonts w:eastAsia="Calibri" w:cs="Calibri"/>
                <w:noProof/>
              </w:rPr>
            </w:pPr>
            <w:r>
              <w:rPr>
                <w:noProof/>
              </w:rPr>
              <w:t>Zagotavljanje in operacionalizacija končne različice informacijskega sistema, ki podpira poenostavljeno oceno podeželskih nepremičnin</w:t>
            </w:r>
          </w:p>
        </w:tc>
      </w:tr>
      <w:tr w:rsidR="00F24946" w14:paraId="54C1C6B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30E143" w14:textId="77777777" w:rsidR="00F24946" w:rsidRDefault="00613B06">
            <w:pPr>
              <w:pStyle w:val="P68B1DB1-Normal23"/>
              <w:spacing w:after="0"/>
              <w:jc w:val="center"/>
              <w:rPr>
                <w:rFonts w:eastAsia="Calibri" w:cs="Calibri"/>
                <w:noProof/>
              </w:rPr>
            </w:pPr>
            <w:r>
              <w:rPr>
                <w:noProof/>
              </w:rPr>
              <w:t>17.17</w:t>
            </w:r>
          </w:p>
        </w:tc>
        <w:tc>
          <w:tcPr>
            <w:tcW w:w="1760" w:type="dxa"/>
            <w:tcBorders>
              <w:top w:val="nil"/>
              <w:left w:val="nil"/>
              <w:bottom w:val="single" w:sz="4" w:space="0" w:color="auto"/>
              <w:right w:val="single" w:sz="4" w:space="0" w:color="auto"/>
            </w:tcBorders>
            <w:shd w:val="clear" w:color="auto" w:fill="C4EFCE"/>
            <w:vAlign w:val="center"/>
            <w:hideMark/>
          </w:tcPr>
          <w:p w14:paraId="723E9D48" w14:textId="77777777" w:rsidR="00F24946" w:rsidRDefault="00613B06">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724BA1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048DD5" w14:textId="77777777" w:rsidR="00F24946" w:rsidRDefault="00613B06">
            <w:pPr>
              <w:pStyle w:val="P68B1DB1-Normal23"/>
              <w:spacing w:after="0"/>
              <w:jc w:val="both"/>
              <w:rPr>
                <w:rFonts w:eastAsia="Calibri" w:cs="Calibri"/>
                <w:noProof/>
              </w:rPr>
            </w:pPr>
            <w:r>
              <w:rPr>
                <w:noProof/>
              </w:rPr>
              <w:t>Dokončati edafo-climato-morfološko (tla in podnebje) in oceno gospodarskega potenciala podeželskih lastnosti</w:t>
            </w:r>
          </w:p>
        </w:tc>
      </w:tr>
      <w:tr w:rsidR="00F24946" w14:paraId="3DB5C5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F07BD9" w14:textId="77777777" w:rsidR="00F24946" w:rsidRDefault="00613B06">
            <w:pPr>
              <w:pStyle w:val="P68B1DB1-Normal23"/>
              <w:spacing w:after="0"/>
              <w:jc w:val="center"/>
              <w:rPr>
                <w:rFonts w:eastAsia="Calibri" w:cs="Calibri"/>
                <w:noProof/>
              </w:rPr>
            </w:pPr>
            <w:r>
              <w:rPr>
                <w:noProof/>
              </w:rPr>
              <w:t>17.18</w:t>
            </w:r>
          </w:p>
        </w:tc>
        <w:tc>
          <w:tcPr>
            <w:tcW w:w="1760" w:type="dxa"/>
            <w:tcBorders>
              <w:top w:val="nil"/>
              <w:left w:val="nil"/>
              <w:bottom w:val="single" w:sz="4" w:space="0" w:color="auto"/>
              <w:right w:val="single" w:sz="4" w:space="0" w:color="auto"/>
            </w:tcBorders>
            <w:shd w:val="clear" w:color="auto" w:fill="C4EFCE"/>
            <w:vAlign w:val="center"/>
            <w:hideMark/>
          </w:tcPr>
          <w:p w14:paraId="2CCBFDDD" w14:textId="77777777" w:rsidR="00F24946" w:rsidRDefault="00613B06">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28D6CC7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6DFDFD" w14:textId="77777777" w:rsidR="00F24946" w:rsidRDefault="00613B06">
            <w:pPr>
              <w:pStyle w:val="P68B1DB1-Normal23"/>
              <w:spacing w:after="0"/>
              <w:jc w:val="both"/>
              <w:rPr>
                <w:rFonts w:eastAsia="Calibri" w:cs="Calibri"/>
                <w:noProof/>
              </w:rPr>
            </w:pPr>
            <w:r>
              <w:rPr>
                <w:noProof/>
              </w:rPr>
              <w:t>Razširitev funkcij spletnega mesta Segurança Social Direta z dodajanjem petih novih spletnih storitev</w:t>
            </w:r>
          </w:p>
        </w:tc>
      </w:tr>
      <w:tr w:rsidR="00F24946" w14:paraId="47DDC2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5A2944" w14:textId="77777777" w:rsidR="00F24946" w:rsidRDefault="00613B06">
            <w:pPr>
              <w:pStyle w:val="P68B1DB1-Normal23"/>
              <w:spacing w:after="0"/>
              <w:jc w:val="center"/>
              <w:rPr>
                <w:rFonts w:eastAsia="Calibri" w:cs="Calibri"/>
                <w:noProof/>
              </w:rPr>
            </w:pPr>
            <w:r>
              <w:rPr>
                <w:noProof/>
              </w:rPr>
              <w:t>17.19</w:t>
            </w:r>
          </w:p>
        </w:tc>
        <w:tc>
          <w:tcPr>
            <w:tcW w:w="1760" w:type="dxa"/>
            <w:tcBorders>
              <w:top w:val="nil"/>
              <w:left w:val="nil"/>
              <w:bottom w:val="single" w:sz="4" w:space="0" w:color="auto"/>
              <w:right w:val="single" w:sz="4" w:space="0" w:color="auto"/>
            </w:tcBorders>
            <w:shd w:val="clear" w:color="auto" w:fill="C4EFCE"/>
            <w:vAlign w:val="center"/>
            <w:hideMark/>
          </w:tcPr>
          <w:p w14:paraId="7AEDC7FA" w14:textId="77777777" w:rsidR="00F24946" w:rsidRDefault="00613B06">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0F1DBD7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F9E549" w14:textId="77777777" w:rsidR="00F24946" w:rsidRDefault="00613B06">
            <w:pPr>
              <w:pStyle w:val="P68B1DB1-Normal23"/>
              <w:spacing w:after="0"/>
              <w:jc w:val="both"/>
              <w:rPr>
                <w:rFonts w:eastAsia="Calibri" w:cs="Calibri"/>
                <w:noProof/>
              </w:rPr>
            </w:pPr>
            <w:r>
              <w:rPr>
                <w:noProof/>
              </w:rPr>
              <w:t>80-odstotno zmanjšanje povprečnega števila dni, potrebnih za dodelitev socialnih prejemkov, za katere se plačujejo prispevki, za tiste, katerih povprečni čas dodelitve je daljši od 10 dni</w:t>
            </w:r>
          </w:p>
        </w:tc>
      </w:tr>
      <w:tr w:rsidR="00F24946" w14:paraId="5B84839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754C84" w14:textId="77777777" w:rsidR="00F24946" w:rsidRDefault="00613B06">
            <w:pPr>
              <w:pStyle w:val="P68B1DB1-Normal23"/>
              <w:spacing w:after="0"/>
              <w:jc w:val="center"/>
              <w:rPr>
                <w:rFonts w:eastAsia="Calibri" w:cs="Calibri"/>
                <w:noProof/>
              </w:rPr>
            </w:pPr>
            <w:r>
              <w:rPr>
                <w:noProof/>
              </w:rPr>
              <w:t>17.20</w:t>
            </w:r>
          </w:p>
        </w:tc>
        <w:tc>
          <w:tcPr>
            <w:tcW w:w="1760" w:type="dxa"/>
            <w:tcBorders>
              <w:top w:val="nil"/>
              <w:left w:val="nil"/>
              <w:bottom w:val="single" w:sz="4" w:space="0" w:color="auto"/>
              <w:right w:val="single" w:sz="4" w:space="0" w:color="auto"/>
            </w:tcBorders>
            <w:shd w:val="clear" w:color="auto" w:fill="C4EFCE"/>
            <w:vAlign w:val="center"/>
            <w:hideMark/>
          </w:tcPr>
          <w:p w14:paraId="2C052451" w14:textId="77777777" w:rsidR="00F24946" w:rsidRDefault="00613B06">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5C4F126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0814D6F" w14:textId="77777777" w:rsidR="00F24946" w:rsidRDefault="00613B06">
            <w:pPr>
              <w:pStyle w:val="P68B1DB1-Normal23"/>
              <w:spacing w:after="0"/>
              <w:jc w:val="both"/>
              <w:rPr>
                <w:rFonts w:eastAsia="Calibri" w:cs="Calibri"/>
                <w:noProof/>
              </w:rPr>
            </w:pPr>
            <w:r>
              <w:rPr>
                <w:noProof/>
              </w:rPr>
              <w:t>Izvajanje inteligentnih modelov nadzora v podporo preprečevanju goljufij, ki temeljijo na postopkih strojnega učenja</w:t>
            </w:r>
          </w:p>
        </w:tc>
      </w:tr>
      <w:tr w:rsidR="00F24946" w14:paraId="3EABB5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BA64F9" w14:textId="77777777" w:rsidR="00F24946" w:rsidRDefault="00613B06">
            <w:pPr>
              <w:pStyle w:val="P68B1DB1-Normal23"/>
              <w:spacing w:after="0"/>
              <w:jc w:val="center"/>
              <w:rPr>
                <w:rFonts w:eastAsia="Calibri" w:cs="Calibri"/>
                <w:noProof/>
              </w:rPr>
            </w:pPr>
            <w:r>
              <w:rPr>
                <w:noProof/>
              </w:rPr>
              <w:t>18.4</w:t>
            </w:r>
          </w:p>
        </w:tc>
        <w:tc>
          <w:tcPr>
            <w:tcW w:w="1760" w:type="dxa"/>
            <w:tcBorders>
              <w:top w:val="nil"/>
              <w:left w:val="nil"/>
              <w:bottom w:val="single" w:sz="4" w:space="0" w:color="auto"/>
              <w:right w:val="single" w:sz="4" w:space="0" w:color="auto"/>
            </w:tcBorders>
            <w:shd w:val="clear" w:color="auto" w:fill="C4EFCE"/>
            <w:vAlign w:val="center"/>
            <w:hideMark/>
          </w:tcPr>
          <w:p w14:paraId="5AC061BF" w14:textId="77777777" w:rsidR="00F24946" w:rsidRDefault="00613B06">
            <w:pPr>
              <w:pStyle w:val="P68B1DB1-Normal23"/>
              <w:spacing w:after="0"/>
              <w:jc w:val="center"/>
              <w:rPr>
                <w:rFonts w:eastAsia="Calibri" w:cs="Calibri"/>
                <w:noProof/>
              </w:rPr>
            </w:pPr>
            <w:r>
              <w:rPr>
                <w:noProof/>
              </w:rPr>
              <w:t>TD-C18-r33</w:t>
            </w:r>
          </w:p>
        </w:tc>
        <w:tc>
          <w:tcPr>
            <w:tcW w:w="1520" w:type="dxa"/>
            <w:tcBorders>
              <w:top w:val="nil"/>
              <w:left w:val="nil"/>
              <w:bottom w:val="single" w:sz="4" w:space="0" w:color="auto"/>
              <w:right w:val="single" w:sz="4" w:space="0" w:color="auto"/>
            </w:tcBorders>
            <w:shd w:val="clear" w:color="auto" w:fill="C4EFCE"/>
            <w:vAlign w:val="center"/>
            <w:hideMark/>
          </w:tcPr>
          <w:p w14:paraId="2172CC8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1E3A34" w14:textId="77777777" w:rsidR="00F24946" w:rsidRDefault="00613B06">
            <w:pPr>
              <w:pStyle w:val="P68B1DB1-Normal23"/>
              <w:spacing w:after="0"/>
              <w:jc w:val="both"/>
              <w:rPr>
                <w:rFonts w:eastAsia="Calibri" w:cs="Calibri"/>
                <w:noProof/>
              </w:rPr>
            </w:pPr>
            <w:r>
              <w:rPr>
                <w:noProof/>
              </w:rPr>
              <w:t>Začetek veljavnosti zakonodajnega svežnja o odpravi ovir za izdajanje dovoljenj in novega pravnega okvira za prostovoljno upravno arbitražo</w:t>
            </w:r>
          </w:p>
        </w:tc>
      </w:tr>
      <w:tr w:rsidR="00F24946" w14:paraId="45D451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6B7728" w14:textId="77777777" w:rsidR="00F24946" w:rsidRDefault="00613B06">
            <w:pPr>
              <w:pStyle w:val="P68B1DB1-Normal23"/>
              <w:spacing w:after="0"/>
              <w:jc w:val="center"/>
              <w:rPr>
                <w:rFonts w:eastAsia="Calibri" w:cs="Calibri"/>
                <w:noProof/>
              </w:rPr>
            </w:pPr>
            <w:r>
              <w:rPr>
                <w:noProof/>
              </w:rPr>
              <w:t>18.7</w:t>
            </w:r>
          </w:p>
        </w:tc>
        <w:tc>
          <w:tcPr>
            <w:tcW w:w="1760" w:type="dxa"/>
            <w:tcBorders>
              <w:top w:val="nil"/>
              <w:left w:val="nil"/>
              <w:bottom w:val="single" w:sz="4" w:space="0" w:color="auto"/>
              <w:right w:val="single" w:sz="4" w:space="0" w:color="auto"/>
            </w:tcBorders>
            <w:shd w:val="clear" w:color="auto" w:fill="C4EFCE"/>
            <w:vAlign w:val="center"/>
            <w:hideMark/>
          </w:tcPr>
          <w:p w14:paraId="21C71E03" w14:textId="77777777" w:rsidR="00F24946" w:rsidRDefault="00613B06">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ED722D1"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E5FA1F0" w14:textId="77777777" w:rsidR="00F24946" w:rsidRDefault="00613B06">
            <w:pPr>
              <w:pStyle w:val="P68B1DB1-Normal23"/>
              <w:spacing w:after="0"/>
              <w:jc w:val="both"/>
              <w:rPr>
                <w:rFonts w:eastAsia="Calibri" w:cs="Calibri"/>
                <w:noProof/>
              </w:rPr>
            </w:pPr>
            <w:r>
              <w:rPr>
                <w:noProof/>
              </w:rPr>
              <w:t>Nov informacijski sistem za digitalno preobrazbo sodišč in državnega tožilstva</w:t>
            </w:r>
          </w:p>
        </w:tc>
      </w:tr>
      <w:tr w:rsidR="00F24946" w14:paraId="1BD13F4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40AE85" w14:textId="77777777" w:rsidR="00F24946" w:rsidRDefault="00613B06">
            <w:pPr>
              <w:pStyle w:val="P68B1DB1-Normal23"/>
              <w:spacing w:after="0"/>
              <w:jc w:val="center"/>
              <w:rPr>
                <w:rFonts w:eastAsia="Calibri" w:cs="Calibri"/>
                <w:noProof/>
              </w:rPr>
            </w:pPr>
            <w:r>
              <w:rPr>
                <w:noProof/>
              </w:rPr>
              <w:t>18.8</w:t>
            </w:r>
          </w:p>
        </w:tc>
        <w:tc>
          <w:tcPr>
            <w:tcW w:w="1760" w:type="dxa"/>
            <w:tcBorders>
              <w:top w:val="nil"/>
              <w:left w:val="nil"/>
              <w:bottom w:val="single" w:sz="4" w:space="0" w:color="auto"/>
              <w:right w:val="single" w:sz="4" w:space="0" w:color="auto"/>
            </w:tcBorders>
            <w:shd w:val="clear" w:color="auto" w:fill="C4EFCE"/>
            <w:vAlign w:val="center"/>
            <w:hideMark/>
          </w:tcPr>
          <w:p w14:paraId="35742E8F" w14:textId="77777777" w:rsidR="00F24946" w:rsidRDefault="00613B06">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452B02B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E14B786" w14:textId="77777777" w:rsidR="00F24946" w:rsidRDefault="00613B06">
            <w:pPr>
              <w:pStyle w:val="P68B1DB1-Normal23"/>
              <w:spacing w:after="0"/>
              <w:jc w:val="both"/>
              <w:rPr>
                <w:rFonts w:eastAsia="Calibri" w:cs="Calibri"/>
                <w:noProof/>
              </w:rPr>
            </w:pPr>
            <w:r>
              <w:rPr>
                <w:noProof/>
              </w:rPr>
              <w:t>Izvajanje novega tehnološkega načrta</w:t>
            </w:r>
          </w:p>
        </w:tc>
      </w:tr>
      <w:tr w:rsidR="00F24946" w14:paraId="63D2E9F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4ADEE" w14:textId="77777777" w:rsidR="00F24946" w:rsidRDefault="00613B06">
            <w:pPr>
              <w:pStyle w:val="P68B1DB1-Normal23"/>
              <w:spacing w:after="0"/>
              <w:jc w:val="center"/>
              <w:rPr>
                <w:rFonts w:eastAsia="Calibri" w:cs="Calibri"/>
                <w:noProof/>
              </w:rPr>
            </w:pPr>
            <w:r>
              <w:rPr>
                <w:noProof/>
              </w:rPr>
              <w:t>18.9</w:t>
            </w:r>
          </w:p>
        </w:tc>
        <w:tc>
          <w:tcPr>
            <w:tcW w:w="1760" w:type="dxa"/>
            <w:tcBorders>
              <w:top w:val="nil"/>
              <w:left w:val="nil"/>
              <w:bottom w:val="single" w:sz="4" w:space="0" w:color="auto"/>
              <w:right w:val="single" w:sz="4" w:space="0" w:color="auto"/>
            </w:tcBorders>
            <w:shd w:val="clear" w:color="auto" w:fill="C4EFCE"/>
            <w:vAlign w:val="center"/>
            <w:hideMark/>
          </w:tcPr>
          <w:p w14:paraId="28414CF8" w14:textId="77777777" w:rsidR="00F24946" w:rsidRDefault="00613B06">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C3280D6"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8857B2A" w14:textId="77777777" w:rsidR="00F24946" w:rsidRDefault="00613B06">
            <w:pPr>
              <w:pStyle w:val="P68B1DB1-Normal23"/>
              <w:spacing w:after="0"/>
              <w:jc w:val="both"/>
              <w:rPr>
                <w:rFonts w:eastAsia="Calibri" w:cs="Calibri"/>
                <w:noProof/>
              </w:rPr>
            </w:pPr>
            <w:r>
              <w:rPr>
                <w:noProof/>
              </w:rPr>
              <w:t>Platforme za upravljanje znanja v pravosodju</w:t>
            </w:r>
          </w:p>
        </w:tc>
      </w:tr>
      <w:tr w:rsidR="00F24946" w14:paraId="31EEFC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6EEFE" w14:textId="77777777" w:rsidR="00F24946" w:rsidRDefault="00613B06">
            <w:pPr>
              <w:pStyle w:val="P68B1DB1-Normal23"/>
              <w:spacing w:after="0"/>
              <w:jc w:val="center"/>
              <w:rPr>
                <w:rFonts w:eastAsia="Calibri" w:cs="Calibri"/>
                <w:noProof/>
              </w:rPr>
            </w:pPr>
            <w:r>
              <w:rPr>
                <w:noProof/>
              </w:rPr>
              <w:t>19.13</w:t>
            </w:r>
          </w:p>
        </w:tc>
        <w:tc>
          <w:tcPr>
            <w:tcW w:w="1760" w:type="dxa"/>
            <w:tcBorders>
              <w:top w:val="nil"/>
              <w:left w:val="nil"/>
              <w:bottom w:val="single" w:sz="4" w:space="0" w:color="auto"/>
              <w:right w:val="single" w:sz="4" w:space="0" w:color="auto"/>
            </w:tcBorders>
            <w:shd w:val="clear" w:color="auto" w:fill="C4EFCE"/>
            <w:vAlign w:val="center"/>
            <w:hideMark/>
          </w:tcPr>
          <w:p w14:paraId="60EB5193" w14:textId="77777777" w:rsidR="00F24946" w:rsidRDefault="00613B06">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3EA5634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9DF2DDA" w14:textId="77777777" w:rsidR="00F24946" w:rsidRDefault="00613B06">
            <w:pPr>
              <w:pStyle w:val="P68B1DB1-Normal23"/>
              <w:spacing w:after="0"/>
              <w:jc w:val="both"/>
              <w:rPr>
                <w:rFonts w:eastAsia="Calibri" w:cs="Calibri"/>
                <w:noProof/>
              </w:rPr>
            </w:pPr>
            <w:r>
              <w:rPr>
                <w:noProof/>
              </w:rPr>
              <w:t>Dokončanje posodobitev kritične digitalne infrastrukture</w:t>
            </w:r>
          </w:p>
        </w:tc>
      </w:tr>
      <w:tr w:rsidR="00F24946" w14:paraId="71D989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663BCA" w14:textId="77777777" w:rsidR="00F24946" w:rsidRDefault="00613B06">
            <w:pPr>
              <w:pStyle w:val="P68B1DB1-Normal23"/>
              <w:spacing w:after="0"/>
              <w:jc w:val="center"/>
              <w:rPr>
                <w:rFonts w:eastAsia="Calibri" w:cs="Calibri"/>
                <w:noProof/>
              </w:rPr>
            </w:pPr>
            <w:r>
              <w:rPr>
                <w:noProof/>
              </w:rPr>
              <w:t>19.18</w:t>
            </w:r>
          </w:p>
        </w:tc>
        <w:tc>
          <w:tcPr>
            <w:tcW w:w="1760" w:type="dxa"/>
            <w:tcBorders>
              <w:top w:val="nil"/>
              <w:left w:val="nil"/>
              <w:bottom w:val="single" w:sz="4" w:space="0" w:color="auto"/>
              <w:right w:val="single" w:sz="4" w:space="0" w:color="auto"/>
            </w:tcBorders>
            <w:shd w:val="clear" w:color="auto" w:fill="C4EFCE"/>
            <w:vAlign w:val="center"/>
            <w:hideMark/>
          </w:tcPr>
          <w:p w14:paraId="45108801" w14:textId="77777777" w:rsidR="00F24946" w:rsidRDefault="00613B06">
            <w:pPr>
              <w:pStyle w:val="P68B1DB1-Normal23"/>
              <w:spacing w:after="0"/>
              <w:jc w:val="center"/>
              <w:rPr>
                <w:rFonts w:eastAsia="Calibri" w:cs="Calibri"/>
                <w:noProof/>
              </w:rPr>
            </w:pPr>
            <w:r>
              <w:rPr>
                <w:noProof/>
              </w:rPr>
              <w:t>TD-C19-i06-RAA</w:t>
            </w:r>
          </w:p>
        </w:tc>
        <w:tc>
          <w:tcPr>
            <w:tcW w:w="1520" w:type="dxa"/>
            <w:tcBorders>
              <w:top w:val="nil"/>
              <w:left w:val="nil"/>
              <w:bottom w:val="single" w:sz="4" w:space="0" w:color="auto"/>
              <w:right w:val="single" w:sz="4" w:space="0" w:color="auto"/>
            </w:tcBorders>
            <w:shd w:val="clear" w:color="auto" w:fill="C4EFCE"/>
            <w:vAlign w:val="center"/>
            <w:hideMark/>
          </w:tcPr>
          <w:p w14:paraId="263E5D1D"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186F7B4" w14:textId="77777777" w:rsidR="00F24946" w:rsidRDefault="00613B06">
            <w:pPr>
              <w:pStyle w:val="P68B1DB1-Normal23"/>
              <w:spacing w:after="0"/>
              <w:jc w:val="both"/>
              <w:rPr>
                <w:rFonts w:eastAsia="Calibri" w:cs="Calibri"/>
                <w:noProof/>
              </w:rPr>
            </w:pPr>
            <w:r>
              <w:rPr>
                <w:noProof/>
              </w:rPr>
              <w:t>Digitalizacija regionalne javne uprave ARA</w:t>
            </w:r>
          </w:p>
        </w:tc>
      </w:tr>
      <w:tr w:rsidR="00F24946" w14:paraId="4826CD0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B869B" w14:textId="77777777" w:rsidR="00F24946" w:rsidRDefault="00613B06">
            <w:pPr>
              <w:pStyle w:val="P68B1DB1-Normal23"/>
              <w:spacing w:after="0"/>
              <w:jc w:val="center"/>
              <w:rPr>
                <w:rFonts w:eastAsia="Calibri" w:cs="Calibri"/>
                <w:noProof/>
              </w:rPr>
            </w:pPr>
            <w:r>
              <w:rPr>
                <w:noProof/>
              </w:rPr>
              <w:t>19.29</w:t>
            </w:r>
          </w:p>
        </w:tc>
        <w:tc>
          <w:tcPr>
            <w:tcW w:w="1760" w:type="dxa"/>
            <w:tcBorders>
              <w:top w:val="nil"/>
              <w:left w:val="nil"/>
              <w:bottom w:val="single" w:sz="4" w:space="0" w:color="auto"/>
              <w:right w:val="single" w:sz="4" w:space="0" w:color="auto"/>
            </w:tcBorders>
            <w:shd w:val="clear" w:color="auto" w:fill="C4EFCE"/>
            <w:vAlign w:val="center"/>
            <w:hideMark/>
          </w:tcPr>
          <w:p w14:paraId="20B7CA8B" w14:textId="5ECEEBAE" w:rsidR="00F24946" w:rsidRDefault="00613B06">
            <w:pPr>
              <w:pStyle w:val="P68B1DB1-Normal23"/>
              <w:spacing w:after="0"/>
              <w:jc w:val="center"/>
              <w:rPr>
                <w:rFonts w:eastAsia="Calibri" w:cs="Calibri"/>
                <w:noProof/>
              </w:rPr>
            </w:pPr>
            <w:r>
              <w:rPr>
                <w:noProof/>
              </w:rPr>
              <w:t>TD-C19-i05-RAM</w:t>
            </w:r>
          </w:p>
        </w:tc>
        <w:tc>
          <w:tcPr>
            <w:tcW w:w="1520" w:type="dxa"/>
            <w:tcBorders>
              <w:top w:val="nil"/>
              <w:left w:val="nil"/>
              <w:bottom w:val="single" w:sz="4" w:space="0" w:color="auto"/>
              <w:right w:val="single" w:sz="4" w:space="0" w:color="auto"/>
            </w:tcBorders>
            <w:shd w:val="clear" w:color="auto" w:fill="C4EFCE"/>
            <w:vAlign w:val="center"/>
            <w:hideMark/>
          </w:tcPr>
          <w:p w14:paraId="45E1EEF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9A5E78" w14:textId="77777777" w:rsidR="00F24946" w:rsidRDefault="00613B06">
            <w:pPr>
              <w:pStyle w:val="P68B1DB1-Normal23"/>
              <w:spacing w:after="0"/>
              <w:jc w:val="both"/>
              <w:rPr>
                <w:rFonts w:eastAsia="Calibri" w:cs="Calibri"/>
                <w:noProof/>
              </w:rPr>
            </w:pPr>
            <w:r>
              <w:rPr>
                <w:noProof/>
              </w:rPr>
              <w:t>Rešitev za centralizirano upravljanje podatkov</w:t>
            </w:r>
          </w:p>
        </w:tc>
      </w:tr>
      <w:tr w:rsidR="00F24946" w14:paraId="4F0A91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6A267A" w14:textId="77777777" w:rsidR="00F24946" w:rsidRDefault="00613B06">
            <w:pPr>
              <w:pStyle w:val="P68B1DB1-Normal23"/>
              <w:spacing w:after="0"/>
              <w:jc w:val="center"/>
              <w:rPr>
                <w:rFonts w:eastAsia="Calibri" w:cs="Calibri"/>
                <w:noProof/>
              </w:rPr>
            </w:pPr>
            <w:r>
              <w:rPr>
                <w:noProof/>
              </w:rPr>
              <w:t>19.36</w:t>
            </w:r>
          </w:p>
        </w:tc>
        <w:tc>
          <w:tcPr>
            <w:tcW w:w="1760" w:type="dxa"/>
            <w:tcBorders>
              <w:top w:val="nil"/>
              <w:left w:val="nil"/>
              <w:bottom w:val="single" w:sz="4" w:space="0" w:color="auto"/>
              <w:right w:val="single" w:sz="4" w:space="0" w:color="auto"/>
            </w:tcBorders>
            <w:shd w:val="clear" w:color="auto" w:fill="C4EFCE"/>
            <w:vAlign w:val="center"/>
            <w:hideMark/>
          </w:tcPr>
          <w:p w14:paraId="4C52EF1C" w14:textId="77777777" w:rsidR="00F24946" w:rsidRDefault="00613B06">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24ABE861"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1FE9798" w14:textId="77777777" w:rsidR="00F24946" w:rsidRDefault="00613B06">
            <w:pPr>
              <w:pStyle w:val="P68B1DB1-Normal23"/>
              <w:spacing w:after="0"/>
              <w:jc w:val="both"/>
              <w:rPr>
                <w:rFonts w:eastAsia="Calibri" w:cs="Calibri"/>
                <w:noProof/>
              </w:rPr>
            </w:pPr>
            <w:r>
              <w:rPr>
                <w:noProof/>
              </w:rPr>
              <w:t>Usposabljanje o pametnih ozemljih</w:t>
            </w:r>
          </w:p>
        </w:tc>
      </w:tr>
      <w:tr w:rsidR="00F24946" w14:paraId="164483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7F1827" w14:textId="77777777" w:rsidR="00F24946" w:rsidRDefault="00613B06">
            <w:pPr>
              <w:pStyle w:val="P68B1DB1-Normal23"/>
              <w:spacing w:after="0"/>
              <w:jc w:val="center"/>
              <w:rPr>
                <w:rFonts w:eastAsia="Calibri" w:cs="Calibri"/>
                <w:noProof/>
              </w:rPr>
            </w:pPr>
            <w:r>
              <w:rPr>
                <w:noProof/>
              </w:rPr>
              <w:t>20.1</w:t>
            </w:r>
          </w:p>
        </w:tc>
        <w:tc>
          <w:tcPr>
            <w:tcW w:w="1760" w:type="dxa"/>
            <w:tcBorders>
              <w:top w:val="nil"/>
              <w:left w:val="nil"/>
              <w:bottom w:val="single" w:sz="4" w:space="0" w:color="auto"/>
              <w:right w:val="single" w:sz="4" w:space="0" w:color="auto"/>
            </w:tcBorders>
            <w:shd w:val="clear" w:color="auto" w:fill="C4EFCE"/>
            <w:vAlign w:val="center"/>
            <w:hideMark/>
          </w:tcPr>
          <w:p w14:paraId="1DCE7E04" w14:textId="77777777" w:rsidR="00F24946" w:rsidRDefault="00613B06">
            <w:pPr>
              <w:pStyle w:val="P68B1DB1-Normal23"/>
              <w:spacing w:after="0"/>
              <w:jc w:val="center"/>
              <w:rPr>
                <w:rFonts w:eastAsia="Calibri" w:cs="Calibri"/>
                <w:noProof/>
              </w:rPr>
            </w:pPr>
            <w:r>
              <w:rPr>
                <w:noProof/>
              </w:rPr>
              <w:t>TD-C20-r37</w:t>
            </w:r>
          </w:p>
        </w:tc>
        <w:tc>
          <w:tcPr>
            <w:tcW w:w="1520" w:type="dxa"/>
            <w:tcBorders>
              <w:top w:val="nil"/>
              <w:left w:val="nil"/>
              <w:bottom w:val="single" w:sz="4" w:space="0" w:color="auto"/>
              <w:right w:val="single" w:sz="4" w:space="0" w:color="auto"/>
            </w:tcBorders>
            <w:shd w:val="clear" w:color="auto" w:fill="C4EFCE"/>
            <w:vAlign w:val="center"/>
            <w:hideMark/>
          </w:tcPr>
          <w:p w14:paraId="15C51DD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617B340" w14:textId="77777777" w:rsidR="00F24946" w:rsidRDefault="00613B06">
            <w:pPr>
              <w:pStyle w:val="P68B1DB1-Normal23"/>
              <w:spacing w:after="0"/>
              <w:jc w:val="both"/>
              <w:rPr>
                <w:rFonts w:eastAsia="Calibri" w:cs="Calibri"/>
                <w:noProof/>
              </w:rPr>
            </w:pPr>
            <w:r>
              <w:rPr>
                <w:noProof/>
              </w:rPr>
              <w:t>Usposabljanje na področju digitalnih znanj in spretnosti za učitelje in neučiteljsko osebje v mreži javnega izobraževanja</w:t>
            </w:r>
          </w:p>
        </w:tc>
      </w:tr>
      <w:tr w:rsidR="00F24946" w14:paraId="57E2CB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8047DA" w14:textId="77777777" w:rsidR="00F24946" w:rsidRDefault="00613B06">
            <w:pPr>
              <w:pStyle w:val="P68B1DB1-Normal23"/>
              <w:spacing w:after="0"/>
              <w:jc w:val="center"/>
              <w:rPr>
                <w:rFonts w:eastAsia="Calibri" w:cs="Calibri"/>
                <w:noProof/>
              </w:rPr>
            </w:pPr>
            <w:r>
              <w:rPr>
                <w:noProof/>
              </w:rPr>
              <w:t>20.8</w:t>
            </w:r>
          </w:p>
        </w:tc>
        <w:tc>
          <w:tcPr>
            <w:tcW w:w="1760" w:type="dxa"/>
            <w:tcBorders>
              <w:top w:val="nil"/>
              <w:left w:val="nil"/>
              <w:bottom w:val="single" w:sz="4" w:space="0" w:color="auto"/>
              <w:right w:val="single" w:sz="4" w:space="0" w:color="auto"/>
            </w:tcBorders>
            <w:shd w:val="clear" w:color="auto" w:fill="C4EFCE"/>
            <w:vAlign w:val="center"/>
            <w:hideMark/>
          </w:tcPr>
          <w:p w14:paraId="1D5158E1" w14:textId="77777777" w:rsidR="00F24946" w:rsidRDefault="00613B06">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54CB6BA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EED80B" w14:textId="77777777" w:rsidR="00F24946" w:rsidRDefault="00613B06">
            <w:pPr>
              <w:pStyle w:val="P68B1DB1-Normal23"/>
              <w:spacing w:after="0"/>
              <w:jc w:val="both"/>
              <w:rPr>
                <w:rFonts w:eastAsia="Calibri" w:cs="Calibri"/>
                <w:noProof/>
              </w:rPr>
            </w:pPr>
            <w:r>
              <w:rPr>
                <w:noProof/>
              </w:rPr>
              <w:t>Digitalni učni viri</w:t>
            </w:r>
          </w:p>
        </w:tc>
      </w:tr>
      <w:tr w:rsidR="00F24946" w14:paraId="1EA89E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2AD8A97" w14:textId="77777777" w:rsidR="00F24946" w:rsidRDefault="00613B06">
            <w:pPr>
              <w:pStyle w:val="P68B1DB1-Normal23"/>
              <w:spacing w:after="0"/>
              <w:jc w:val="center"/>
              <w:rPr>
                <w:rFonts w:eastAsia="Calibri" w:cs="Calibri"/>
                <w:noProof/>
              </w:rPr>
            </w:pPr>
            <w:r>
              <w:rPr>
                <w:noProof/>
              </w:rPr>
              <w:t>20.9</w:t>
            </w:r>
          </w:p>
        </w:tc>
        <w:tc>
          <w:tcPr>
            <w:tcW w:w="1760" w:type="dxa"/>
            <w:tcBorders>
              <w:top w:val="nil"/>
              <w:left w:val="nil"/>
              <w:bottom w:val="single" w:sz="4" w:space="0" w:color="auto"/>
              <w:right w:val="single" w:sz="4" w:space="0" w:color="auto"/>
            </w:tcBorders>
            <w:shd w:val="clear" w:color="auto" w:fill="C4EFCE"/>
            <w:vAlign w:val="center"/>
            <w:hideMark/>
          </w:tcPr>
          <w:p w14:paraId="46AA804C" w14:textId="77777777" w:rsidR="00F24946" w:rsidRDefault="00613B06">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1608BB5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083A11" w14:textId="77777777" w:rsidR="00F24946" w:rsidRDefault="00613B06">
            <w:pPr>
              <w:pStyle w:val="P68B1DB1-Normal23"/>
              <w:spacing w:after="0"/>
              <w:jc w:val="both"/>
              <w:rPr>
                <w:rFonts w:eastAsia="Calibri" w:cs="Calibri"/>
                <w:noProof/>
              </w:rPr>
            </w:pPr>
            <w:r>
              <w:rPr>
                <w:noProof/>
              </w:rPr>
              <w:t>Digitalni testi in izpiti v šolah</w:t>
            </w:r>
          </w:p>
        </w:tc>
      </w:tr>
      <w:tr w:rsidR="00F24946" w14:paraId="49E74A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CB012B" w14:textId="77777777" w:rsidR="00F24946" w:rsidRDefault="00613B06">
            <w:pPr>
              <w:pStyle w:val="P68B1DB1-Normal23"/>
              <w:spacing w:after="0"/>
              <w:jc w:val="center"/>
              <w:rPr>
                <w:rFonts w:eastAsia="Calibri" w:cs="Calibri"/>
                <w:noProof/>
              </w:rPr>
            </w:pPr>
            <w:r>
              <w:rPr>
                <w:noProof/>
              </w:rPr>
              <w:t>20.11</w:t>
            </w:r>
          </w:p>
        </w:tc>
        <w:tc>
          <w:tcPr>
            <w:tcW w:w="1760" w:type="dxa"/>
            <w:tcBorders>
              <w:top w:val="nil"/>
              <w:left w:val="nil"/>
              <w:bottom w:val="single" w:sz="4" w:space="0" w:color="auto"/>
              <w:right w:val="single" w:sz="4" w:space="0" w:color="auto"/>
            </w:tcBorders>
            <w:shd w:val="clear" w:color="auto" w:fill="C4EFCE"/>
            <w:vAlign w:val="center"/>
            <w:hideMark/>
          </w:tcPr>
          <w:p w14:paraId="17F8B041" w14:textId="77777777" w:rsidR="00F24946" w:rsidRDefault="00613B06">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3A8E7B1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14F428" w14:textId="77777777" w:rsidR="00F24946" w:rsidRDefault="00613B06">
            <w:pPr>
              <w:pStyle w:val="P68B1DB1-Normal23"/>
              <w:spacing w:after="0"/>
              <w:jc w:val="both"/>
              <w:rPr>
                <w:rFonts w:eastAsia="Calibri" w:cs="Calibri"/>
                <w:noProof/>
              </w:rPr>
            </w:pPr>
            <w:r>
              <w:rPr>
                <w:noProof/>
              </w:rPr>
              <w:t>Novi prenosni računalniki in tablete za šole v ARA</w:t>
            </w:r>
          </w:p>
        </w:tc>
      </w:tr>
      <w:tr w:rsidR="00F24946" w14:paraId="1053A19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934CF69" w14:textId="77777777" w:rsidR="00F24946" w:rsidRDefault="00613B06">
            <w:pPr>
              <w:pStyle w:val="P68B1DB1-Normal23"/>
              <w:spacing w:after="0"/>
              <w:jc w:val="center"/>
              <w:rPr>
                <w:rFonts w:eastAsia="Calibri" w:cs="Calibri"/>
                <w:noProof/>
              </w:rPr>
            </w:pPr>
            <w:r>
              <w:rPr>
                <w:noProof/>
              </w:rPr>
              <w:t>20.12</w:t>
            </w:r>
          </w:p>
        </w:tc>
        <w:tc>
          <w:tcPr>
            <w:tcW w:w="1760" w:type="dxa"/>
            <w:tcBorders>
              <w:top w:val="nil"/>
              <w:left w:val="nil"/>
              <w:bottom w:val="single" w:sz="4" w:space="0" w:color="auto"/>
              <w:right w:val="single" w:sz="4" w:space="0" w:color="auto"/>
            </w:tcBorders>
            <w:shd w:val="clear" w:color="auto" w:fill="C4EFCE"/>
            <w:vAlign w:val="center"/>
            <w:hideMark/>
          </w:tcPr>
          <w:p w14:paraId="0A05C085" w14:textId="77777777" w:rsidR="00F24946" w:rsidRDefault="00613B06">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19B76BD6"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CB0A917" w14:textId="77777777" w:rsidR="00F24946" w:rsidRDefault="00613B06">
            <w:pPr>
              <w:pStyle w:val="P68B1DB1-Normal23"/>
              <w:spacing w:after="0"/>
              <w:jc w:val="both"/>
              <w:rPr>
                <w:rFonts w:eastAsia="Calibri" w:cs="Calibri"/>
                <w:noProof/>
              </w:rPr>
            </w:pPr>
            <w:r>
              <w:rPr>
                <w:noProof/>
              </w:rPr>
              <w:t>Digitalna oprema in digitalni učni viri šol v ARA</w:t>
            </w:r>
          </w:p>
        </w:tc>
      </w:tr>
      <w:tr w:rsidR="00F24946" w14:paraId="2E23C5A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6BB7BC" w14:textId="77777777" w:rsidR="00F24946" w:rsidRDefault="00613B06">
            <w:pPr>
              <w:pStyle w:val="P68B1DB1-Normal23"/>
              <w:spacing w:after="0"/>
              <w:jc w:val="center"/>
              <w:rPr>
                <w:rFonts w:eastAsia="Calibri" w:cs="Calibri"/>
                <w:noProof/>
              </w:rPr>
            </w:pPr>
            <w:r>
              <w:rPr>
                <w:noProof/>
              </w:rPr>
              <w:t>20.13</w:t>
            </w:r>
          </w:p>
        </w:tc>
        <w:tc>
          <w:tcPr>
            <w:tcW w:w="1760" w:type="dxa"/>
            <w:tcBorders>
              <w:top w:val="nil"/>
              <w:left w:val="nil"/>
              <w:bottom w:val="single" w:sz="4" w:space="0" w:color="auto"/>
              <w:right w:val="single" w:sz="4" w:space="0" w:color="auto"/>
            </w:tcBorders>
            <w:shd w:val="clear" w:color="auto" w:fill="C4EFCE"/>
            <w:vAlign w:val="center"/>
            <w:hideMark/>
          </w:tcPr>
          <w:p w14:paraId="06748DE1" w14:textId="77777777" w:rsidR="00F24946" w:rsidRDefault="00613B06">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4073977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86F9A4" w14:textId="77777777" w:rsidR="00F24946" w:rsidRDefault="00613B06">
            <w:pPr>
              <w:pStyle w:val="P68B1DB1-Normal23"/>
              <w:spacing w:after="0"/>
              <w:jc w:val="both"/>
              <w:rPr>
                <w:rFonts w:eastAsia="Calibri" w:cs="Calibri"/>
                <w:noProof/>
              </w:rPr>
            </w:pPr>
            <w:r>
              <w:rPr>
                <w:noProof/>
              </w:rPr>
              <w:t>Množični odprti spletni tečaji za učitelje in starše v ARA</w:t>
            </w:r>
          </w:p>
        </w:tc>
      </w:tr>
      <w:tr w:rsidR="00F24946" w14:paraId="6530CA1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22635" w14:textId="77777777" w:rsidR="00F24946" w:rsidRDefault="00613B06">
            <w:pPr>
              <w:pStyle w:val="P68B1DB1-Normal23"/>
              <w:spacing w:after="0"/>
              <w:jc w:val="center"/>
              <w:rPr>
                <w:rFonts w:eastAsia="Calibri" w:cs="Calibri"/>
                <w:noProof/>
              </w:rPr>
            </w:pPr>
            <w:r>
              <w:rPr>
                <w:noProof/>
              </w:rPr>
              <w:t>20.16</w:t>
            </w:r>
          </w:p>
        </w:tc>
        <w:tc>
          <w:tcPr>
            <w:tcW w:w="1760" w:type="dxa"/>
            <w:tcBorders>
              <w:top w:val="nil"/>
              <w:left w:val="nil"/>
              <w:bottom w:val="single" w:sz="4" w:space="0" w:color="auto"/>
              <w:right w:val="single" w:sz="4" w:space="0" w:color="auto"/>
            </w:tcBorders>
            <w:shd w:val="clear" w:color="auto" w:fill="C4EFCE"/>
            <w:vAlign w:val="center"/>
            <w:hideMark/>
          </w:tcPr>
          <w:p w14:paraId="29607BDF" w14:textId="77777777" w:rsidR="00F24946" w:rsidRDefault="00613B06">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757CF1D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56275C" w14:textId="77777777" w:rsidR="00F24946" w:rsidRDefault="00613B06">
            <w:pPr>
              <w:pStyle w:val="P68B1DB1-Normal23"/>
              <w:spacing w:after="0"/>
              <w:jc w:val="both"/>
              <w:rPr>
                <w:rFonts w:eastAsia="Calibri" w:cs="Calibri"/>
                <w:noProof/>
              </w:rPr>
            </w:pPr>
            <w:r>
              <w:rPr>
                <w:noProof/>
              </w:rPr>
              <w:t>Digitalni priročniki za učence v drugem in tretjem ciklu ter srednješolce v ARM</w:t>
            </w:r>
          </w:p>
        </w:tc>
      </w:tr>
      <w:tr w:rsidR="00F24946" w14:paraId="412F7A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C4B942" w14:textId="77777777" w:rsidR="00F24946" w:rsidRDefault="00613B06">
            <w:pPr>
              <w:pStyle w:val="P68B1DB1-Normal23"/>
              <w:spacing w:after="0"/>
              <w:jc w:val="center"/>
              <w:rPr>
                <w:rFonts w:eastAsia="Calibri" w:cs="Calibri"/>
                <w:noProof/>
              </w:rPr>
            </w:pPr>
            <w:r>
              <w:rPr>
                <w:noProof/>
              </w:rPr>
              <w:t>20.17</w:t>
            </w:r>
          </w:p>
        </w:tc>
        <w:tc>
          <w:tcPr>
            <w:tcW w:w="1760" w:type="dxa"/>
            <w:tcBorders>
              <w:top w:val="nil"/>
              <w:left w:val="nil"/>
              <w:bottom w:val="single" w:sz="4" w:space="0" w:color="auto"/>
              <w:right w:val="single" w:sz="4" w:space="0" w:color="auto"/>
            </w:tcBorders>
            <w:shd w:val="clear" w:color="auto" w:fill="C4EFCE"/>
            <w:vAlign w:val="center"/>
            <w:hideMark/>
          </w:tcPr>
          <w:p w14:paraId="6503CC9A" w14:textId="77777777" w:rsidR="00F24946" w:rsidRDefault="00613B06">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5DCD0F8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DA8BBC" w14:textId="5BA216F8" w:rsidR="00F24946" w:rsidRDefault="00613B06">
            <w:pPr>
              <w:pStyle w:val="P68B1DB1-Normal23"/>
              <w:spacing w:after="0"/>
              <w:jc w:val="both"/>
              <w:rPr>
                <w:rFonts w:eastAsia="Calibri" w:cs="Calibri"/>
                <w:noProof/>
              </w:rPr>
            </w:pPr>
            <w:r>
              <w:rPr>
                <w:noProof/>
              </w:rPr>
              <w:t>Usposabljanje učiteljev in nepedagoškega osebja na področju digitalnih kompetenc v ARM</w:t>
            </w:r>
          </w:p>
        </w:tc>
      </w:tr>
      <w:tr w:rsidR="00F24946" w14:paraId="7AFE04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729423" w14:textId="77777777" w:rsidR="00F24946" w:rsidRDefault="00613B06">
            <w:pPr>
              <w:pStyle w:val="P68B1DB1-Normal23"/>
              <w:spacing w:after="0"/>
              <w:jc w:val="center"/>
              <w:rPr>
                <w:rFonts w:eastAsia="Calibri" w:cs="Calibri"/>
                <w:noProof/>
              </w:rPr>
            </w:pPr>
            <w:r>
              <w:rPr>
                <w:noProof/>
              </w:rPr>
              <w:t>20.18</w:t>
            </w:r>
          </w:p>
        </w:tc>
        <w:tc>
          <w:tcPr>
            <w:tcW w:w="1760" w:type="dxa"/>
            <w:tcBorders>
              <w:top w:val="nil"/>
              <w:left w:val="nil"/>
              <w:bottom w:val="single" w:sz="4" w:space="0" w:color="auto"/>
              <w:right w:val="single" w:sz="4" w:space="0" w:color="auto"/>
            </w:tcBorders>
            <w:shd w:val="clear" w:color="auto" w:fill="C4EFCE"/>
            <w:vAlign w:val="center"/>
            <w:hideMark/>
          </w:tcPr>
          <w:p w14:paraId="27A9F236" w14:textId="77777777" w:rsidR="00F24946" w:rsidRDefault="00613B06">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3DBDBFE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37718C5" w14:textId="77777777" w:rsidR="00F24946" w:rsidRDefault="00613B06">
            <w:pPr>
              <w:pStyle w:val="P68B1DB1-Normal23"/>
              <w:spacing w:after="0"/>
              <w:jc w:val="both"/>
              <w:rPr>
                <w:rFonts w:eastAsia="Calibri" w:cs="Calibri"/>
                <w:noProof/>
              </w:rPr>
            </w:pPr>
            <w:r>
              <w:rPr>
                <w:noProof/>
              </w:rPr>
              <w:t>Dostava znanstvene in tehnološke opreme šolam v ARM</w:t>
            </w:r>
          </w:p>
        </w:tc>
      </w:tr>
      <w:tr w:rsidR="00F24946" w14:paraId="007A1F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11A244" w14:textId="77777777" w:rsidR="00F24946" w:rsidRDefault="00613B06">
            <w:pPr>
              <w:pStyle w:val="P68B1DB1-Normal23"/>
              <w:spacing w:after="0"/>
              <w:jc w:val="center"/>
              <w:rPr>
                <w:rFonts w:eastAsia="Calibri" w:cs="Calibri"/>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058AF46E" w14:textId="77777777" w:rsidR="00F24946" w:rsidRDefault="00613B06">
            <w:pPr>
              <w:pStyle w:val="P68B1DB1-Normal23"/>
              <w:spacing w:after="0"/>
              <w:jc w:val="center"/>
              <w:rPr>
                <w:rFonts w:eastAsia="Calibri" w:cs="Calibri"/>
                <w:noProof/>
              </w:rPr>
            </w:pPr>
            <w:r>
              <w:rPr>
                <w:noProof/>
              </w:rPr>
              <w:t>RP-C21-i02</w:t>
            </w:r>
          </w:p>
        </w:tc>
        <w:tc>
          <w:tcPr>
            <w:tcW w:w="1520" w:type="dxa"/>
            <w:tcBorders>
              <w:top w:val="nil"/>
              <w:left w:val="nil"/>
              <w:bottom w:val="single" w:sz="4" w:space="0" w:color="auto"/>
              <w:right w:val="single" w:sz="4" w:space="0" w:color="auto"/>
            </w:tcBorders>
            <w:shd w:val="clear" w:color="auto" w:fill="C4EFCE"/>
            <w:vAlign w:val="center"/>
            <w:hideMark/>
          </w:tcPr>
          <w:p w14:paraId="3ECFDED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7A42DB4" w14:textId="77777777" w:rsidR="00F24946" w:rsidRDefault="00613B06">
            <w:pPr>
              <w:pStyle w:val="P68B1DB1-Normal23"/>
              <w:spacing w:after="0"/>
              <w:jc w:val="both"/>
              <w:rPr>
                <w:rFonts w:eastAsia="Calibri" w:cs="Calibri"/>
                <w:noProof/>
              </w:rPr>
            </w:pPr>
            <w:r>
              <w:rPr>
                <w:noProof/>
              </w:rPr>
              <w:t>Energijska prenova zasebnih stanovanjskih stavb</w:t>
            </w:r>
          </w:p>
        </w:tc>
      </w:tr>
      <w:tr w:rsidR="00F24946" w14:paraId="44A00B2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80B7B9B" w14:textId="77777777" w:rsidR="00F24946" w:rsidRDefault="00613B06">
            <w:pPr>
              <w:pStyle w:val="P68B1DB1-Normal23"/>
              <w:spacing w:after="0"/>
              <w:jc w:val="center"/>
              <w:rPr>
                <w:rFonts w:eastAsia="Calibri" w:cs="Calibri"/>
                <w:noProof/>
              </w:rPr>
            </w:pPr>
            <w:r>
              <w:rPr>
                <w:noProof/>
              </w:rPr>
              <w:t>21.3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B91DD3A" w14:textId="77777777" w:rsidR="00F24946" w:rsidRDefault="00613B06">
            <w:pPr>
              <w:pStyle w:val="P68B1DB1-Normal23"/>
              <w:spacing w:after="0"/>
              <w:jc w:val="center"/>
              <w:rPr>
                <w:rFonts w:eastAsia="Calibri" w:cs="Calibri"/>
                <w:noProof/>
              </w:rPr>
            </w:pPr>
            <w:r>
              <w:rPr>
                <w:noProof/>
              </w:rPr>
              <w:t>RP-C21-i02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5E0B8E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2391DF" w14:textId="52537185" w:rsidR="00F24946" w:rsidRDefault="00613B06">
            <w:pPr>
              <w:pStyle w:val="P68B1DB1-Normal23"/>
              <w:spacing w:after="0"/>
              <w:jc w:val="both"/>
              <w:rPr>
                <w:rFonts w:eastAsia="Calibri" w:cs="Calibri"/>
                <w:noProof/>
              </w:rPr>
            </w:pPr>
            <w:r>
              <w:rPr>
                <w:noProof/>
              </w:rPr>
              <w:t>Dodatne zmogljivosti za proizvodnjo energije iz obnovljivih virov za lastno porabo in za uporabo v skupnostih na področju energije iz obnovljivih virov v zasebnem stanovanjskem sektorju</w:t>
            </w:r>
          </w:p>
        </w:tc>
      </w:tr>
      <w:tr w:rsidR="00F24946" w14:paraId="2E3B4A3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D99E28" w14:textId="77777777" w:rsidR="00F24946" w:rsidRDefault="00613B06">
            <w:pPr>
              <w:pStyle w:val="P68B1DB1-Normal23"/>
              <w:spacing w:after="0"/>
              <w:jc w:val="center"/>
              <w:rPr>
                <w:rFonts w:eastAsia="Calibri" w:cs="Calibri"/>
                <w:noProof/>
              </w:rPr>
            </w:pPr>
            <w:r>
              <w:rPr>
                <w:noProof/>
              </w:rPr>
              <w:t>21.5</w:t>
            </w:r>
          </w:p>
        </w:tc>
        <w:tc>
          <w:tcPr>
            <w:tcW w:w="1760" w:type="dxa"/>
            <w:tcBorders>
              <w:top w:val="nil"/>
              <w:left w:val="nil"/>
              <w:bottom w:val="single" w:sz="4" w:space="0" w:color="auto"/>
              <w:right w:val="single" w:sz="4" w:space="0" w:color="auto"/>
            </w:tcBorders>
            <w:shd w:val="clear" w:color="auto" w:fill="C4EFCE"/>
            <w:vAlign w:val="center"/>
            <w:hideMark/>
          </w:tcPr>
          <w:p w14:paraId="19953216" w14:textId="77777777" w:rsidR="00F24946" w:rsidRDefault="00613B06">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0BAF296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D3D265" w14:textId="3EA05A82" w:rsidR="00F24946" w:rsidRDefault="00613B06">
            <w:pPr>
              <w:pStyle w:val="P68B1DB1-Normal23"/>
              <w:spacing w:after="0"/>
              <w:jc w:val="both"/>
              <w:rPr>
                <w:rFonts w:eastAsia="Calibri" w:cs="Calibri"/>
                <w:noProof/>
              </w:rPr>
            </w:pPr>
            <w:r>
              <w:rPr>
                <w:noProof/>
              </w:rPr>
              <w:t>Dodatne zmogljivosti za proizvodnjo energije iz obnovljivih virov za lastno porabo in uporabo energije iz obnovljivih virov v skupnosti v prenovljenih stavbah, ki jih uporablja sektor javnih služb</w:t>
            </w:r>
          </w:p>
        </w:tc>
      </w:tr>
      <w:tr w:rsidR="00F24946" w14:paraId="060AEF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9A7ABE" w14:textId="77777777" w:rsidR="00F24946" w:rsidRDefault="00613B06">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48639A4C" w14:textId="77777777" w:rsidR="00F24946" w:rsidRDefault="00613B06">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3023363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E2D4CF" w14:textId="77777777" w:rsidR="00F24946" w:rsidRDefault="00613B06">
            <w:pPr>
              <w:pStyle w:val="P68B1DB1-Normal23"/>
              <w:spacing w:after="0"/>
              <w:jc w:val="both"/>
              <w:rPr>
                <w:rFonts w:eastAsia="Calibri" w:cs="Calibri"/>
                <w:noProof/>
              </w:rPr>
            </w:pPr>
            <w:r>
              <w:rPr>
                <w:noProof/>
              </w:rPr>
              <w:t>Energetska prenova stavb v javnih službah</w:t>
            </w:r>
          </w:p>
        </w:tc>
      </w:tr>
      <w:tr w:rsidR="00F24946" w14:paraId="1EC0C3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C8C3318" w14:textId="77777777" w:rsidR="00F24946" w:rsidRDefault="00613B06">
            <w:pPr>
              <w:pStyle w:val="P68B1DB1-Normal23"/>
              <w:spacing w:after="0"/>
              <w:jc w:val="center"/>
              <w:rPr>
                <w:rFonts w:eastAsia="Calibri" w:cs="Calibri"/>
                <w:noProof/>
              </w:rPr>
            </w:pPr>
            <w:r>
              <w:rPr>
                <w:noProof/>
              </w:rPr>
              <w:t>21.15</w:t>
            </w:r>
          </w:p>
        </w:tc>
        <w:tc>
          <w:tcPr>
            <w:tcW w:w="1760" w:type="dxa"/>
            <w:tcBorders>
              <w:top w:val="nil"/>
              <w:left w:val="nil"/>
              <w:bottom w:val="single" w:sz="4" w:space="0" w:color="auto"/>
              <w:right w:val="single" w:sz="4" w:space="0" w:color="auto"/>
            </w:tcBorders>
            <w:shd w:val="clear" w:color="auto" w:fill="C4EFCE"/>
            <w:vAlign w:val="center"/>
            <w:hideMark/>
          </w:tcPr>
          <w:p w14:paraId="599107CB" w14:textId="3DFFAC63" w:rsidR="00F24946" w:rsidRDefault="00613B06">
            <w:pPr>
              <w:pStyle w:val="P68B1DB1-Normal23"/>
              <w:spacing w:after="0"/>
              <w:jc w:val="center"/>
              <w:rPr>
                <w:rFonts w:eastAsia="Calibri" w:cs="Calibri"/>
                <w:noProof/>
              </w:rPr>
            </w:pPr>
            <w:r>
              <w:rPr>
                <w:noProof/>
              </w:rPr>
              <w:t>RP-C21-r45</w:t>
            </w:r>
          </w:p>
        </w:tc>
        <w:tc>
          <w:tcPr>
            <w:tcW w:w="1520" w:type="dxa"/>
            <w:tcBorders>
              <w:top w:val="nil"/>
              <w:left w:val="nil"/>
              <w:bottom w:val="single" w:sz="4" w:space="0" w:color="auto"/>
              <w:right w:val="single" w:sz="4" w:space="0" w:color="auto"/>
            </w:tcBorders>
            <w:shd w:val="clear" w:color="auto" w:fill="C4EFCE"/>
            <w:vAlign w:val="center"/>
            <w:hideMark/>
          </w:tcPr>
          <w:p w14:paraId="2BE4DC2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DD8840" w14:textId="77777777" w:rsidR="00F24946" w:rsidRDefault="00613B06">
            <w:pPr>
              <w:pStyle w:val="P68B1DB1-Normal23"/>
              <w:spacing w:after="0"/>
              <w:jc w:val="both"/>
              <w:rPr>
                <w:rFonts w:eastAsia="Calibri" w:cs="Calibri"/>
                <w:noProof/>
              </w:rPr>
            </w:pPr>
            <w:r>
              <w:rPr>
                <w:noProof/>
              </w:rPr>
              <w:t>Ukrepi za usposabljanje na področju zelenih znanj in spretnosti</w:t>
            </w:r>
          </w:p>
        </w:tc>
      </w:tr>
      <w:tr w:rsidR="00F24946" w14:paraId="088199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24BDC1" w14:textId="77777777" w:rsidR="00F24946" w:rsidRDefault="00613B06">
            <w:pPr>
              <w:pStyle w:val="P68B1DB1-Normal23"/>
              <w:spacing w:after="0"/>
              <w:jc w:val="center"/>
              <w:rPr>
                <w:rFonts w:eastAsia="Calibri" w:cs="Calibri"/>
                <w:noProof/>
              </w:rPr>
            </w:pPr>
            <w:r>
              <w:rPr>
                <w:noProof/>
              </w:rPr>
              <w:t>21.29</w:t>
            </w:r>
          </w:p>
        </w:tc>
        <w:tc>
          <w:tcPr>
            <w:tcW w:w="1760" w:type="dxa"/>
            <w:tcBorders>
              <w:top w:val="nil"/>
              <w:left w:val="nil"/>
              <w:bottom w:val="single" w:sz="4" w:space="0" w:color="auto"/>
              <w:right w:val="single" w:sz="4" w:space="0" w:color="auto"/>
            </w:tcBorders>
            <w:shd w:val="clear" w:color="auto" w:fill="C4EFCE"/>
            <w:vAlign w:val="center"/>
            <w:hideMark/>
          </w:tcPr>
          <w:p w14:paraId="709081FB" w14:textId="160BC41F" w:rsidR="00F24946" w:rsidRDefault="00613B06">
            <w:pPr>
              <w:pStyle w:val="P68B1DB1-Normal23"/>
              <w:spacing w:after="0"/>
              <w:jc w:val="center"/>
              <w:rPr>
                <w:rFonts w:eastAsia="Calibri" w:cs="Calibri"/>
                <w:noProof/>
              </w:rPr>
            </w:pPr>
            <w:r>
              <w:rPr>
                <w:noProof/>
              </w:rPr>
              <w:t>RP-C21-i08</w:t>
            </w:r>
          </w:p>
        </w:tc>
        <w:tc>
          <w:tcPr>
            <w:tcW w:w="1520" w:type="dxa"/>
            <w:tcBorders>
              <w:top w:val="nil"/>
              <w:left w:val="nil"/>
              <w:bottom w:val="single" w:sz="4" w:space="0" w:color="auto"/>
              <w:right w:val="single" w:sz="4" w:space="0" w:color="auto"/>
            </w:tcBorders>
            <w:shd w:val="clear" w:color="auto" w:fill="C4EFCE"/>
            <w:vAlign w:val="center"/>
            <w:hideMark/>
          </w:tcPr>
          <w:p w14:paraId="72D7777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F0EDEAE" w14:textId="77777777" w:rsidR="00F24946" w:rsidRDefault="00613B06">
            <w:pPr>
              <w:pStyle w:val="P68B1DB1-Normal23"/>
              <w:spacing w:after="0"/>
              <w:jc w:val="both"/>
              <w:rPr>
                <w:rFonts w:eastAsia="Calibri" w:cs="Calibri"/>
                <w:noProof/>
              </w:rPr>
            </w:pPr>
            <w:r>
              <w:rPr>
                <w:noProof/>
              </w:rPr>
              <w:t>Namestitev zmogljivosti za shranjevanje električne energije</w:t>
            </w:r>
          </w:p>
        </w:tc>
      </w:tr>
      <w:tr w:rsidR="00F24946" w14:paraId="182B19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FB9F7E" w14:textId="77777777" w:rsidR="00F24946" w:rsidRDefault="00613B06">
            <w:pPr>
              <w:pStyle w:val="P68B1DB1-Normal23"/>
              <w:spacing w:after="0"/>
              <w:jc w:val="center"/>
              <w:rPr>
                <w:rFonts w:eastAsia="Calibri" w:cs="Calibri"/>
                <w:noProof/>
              </w:rPr>
            </w:pPr>
            <w:r>
              <w:rPr>
                <w:noProof/>
              </w:rPr>
              <w:t>21.32</w:t>
            </w:r>
          </w:p>
        </w:tc>
        <w:tc>
          <w:tcPr>
            <w:tcW w:w="1760" w:type="dxa"/>
            <w:tcBorders>
              <w:top w:val="nil"/>
              <w:left w:val="nil"/>
              <w:bottom w:val="single" w:sz="4" w:space="0" w:color="auto"/>
              <w:right w:val="single" w:sz="4" w:space="0" w:color="auto"/>
            </w:tcBorders>
            <w:shd w:val="clear" w:color="auto" w:fill="C4EFCE"/>
            <w:vAlign w:val="center"/>
            <w:hideMark/>
          </w:tcPr>
          <w:p w14:paraId="4622A906" w14:textId="5BFBA1D2" w:rsidR="00F24946" w:rsidRDefault="00613B06">
            <w:pPr>
              <w:pStyle w:val="P68B1DB1-Normal23"/>
              <w:spacing w:after="0"/>
              <w:jc w:val="center"/>
              <w:rPr>
                <w:rFonts w:eastAsia="Calibri" w:cs="Calibri"/>
                <w:noProof/>
              </w:rPr>
            </w:pPr>
            <w:r>
              <w:rPr>
                <w:noProof/>
              </w:rPr>
              <w:t>RP-C21-i10-RAA</w:t>
            </w:r>
          </w:p>
        </w:tc>
        <w:tc>
          <w:tcPr>
            <w:tcW w:w="1520" w:type="dxa"/>
            <w:tcBorders>
              <w:top w:val="nil"/>
              <w:left w:val="nil"/>
              <w:bottom w:val="single" w:sz="4" w:space="0" w:color="auto"/>
              <w:right w:val="single" w:sz="4" w:space="0" w:color="auto"/>
            </w:tcBorders>
            <w:shd w:val="clear" w:color="auto" w:fill="C4EFCE"/>
            <w:vAlign w:val="center"/>
            <w:hideMark/>
          </w:tcPr>
          <w:p w14:paraId="3ABB159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37DD21" w14:textId="77777777" w:rsidR="00F24946" w:rsidRDefault="00613B06">
            <w:pPr>
              <w:pStyle w:val="P68B1DB1-Normal23"/>
              <w:spacing w:after="0"/>
              <w:jc w:val="both"/>
              <w:rPr>
                <w:rFonts w:eastAsia="Calibri" w:cs="Calibri"/>
                <w:noProof/>
              </w:rPr>
            </w:pPr>
            <w:r>
              <w:rPr>
                <w:noProof/>
              </w:rPr>
              <w:t>Namestitev zmogljivosti za shranjevanje električne energije</w:t>
            </w:r>
          </w:p>
        </w:tc>
      </w:tr>
      <w:tr w:rsidR="00F24946" w14:paraId="54999B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7752ED" w14:textId="77777777" w:rsidR="00F24946" w:rsidRDefault="00613B06">
            <w:pPr>
              <w:pStyle w:val="P68B1DB1-Normal23"/>
              <w:spacing w:after="0"/>
              <w:jc w:val="center"/>
              <w:rPr>
                <w:rFonts w:eastAsia="Calibri" w:cs="Calibri"/>
                <w:noProof/>
              </w:rPr>
            </w:pPr>
            <w:r>
              <w:rPr>
                <w:noProof/>
              </w:rPr>
              <w:t>21.34</w:t>
            </w:r>
          </w:p>
        </w:tc>
        <w:tc>
          <w:tcPr>
            <w:tcW w:w="1760" w:type="dxa"/>
            <w:tcBorders>
              <w:top w:val="nil"/>
              <w:left w:val="nil"/>
              <w:bottom w:val="single" w:sz="4" w:space="0" w:color="auto"/>
              <w:right w:val="single" w:sz="4" w:space="0" w:color="auto"/>
            </w:tcBorders>
            <w:shd w:val="clear" w:color="auto" w:fill="C4EFCE"/>
            <w:vAlign w:val="center"/>
            <w:hideMark/>
          </w:tcPr>
          <w:p w14:paraId="24B53CC5" w14:textId="65310D0F" w:rsidR="00F24946" w:rsidRDefault="00613B06">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E90FE8"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1415EB" w14:textId="77777777" w:rsidR="00F24946" w:rsidRDefault="00613B06">
            <w:pPr>
              <w:pStyle w:val="P68B1DB1-Normal23"/>
              <w:spacing w:after="0"/>
              <w:jc w:val="both"/>
              <w:rPr>
                <w:rFonts w:eastAsia="Calibri" w:cs="Calibri"/>
                <w:noProof/>
              </w:rPr>
            </w:pPr>
            <w:r>
              <w:rPr>
                <w:noProof/>
              </w:rPr>
              <w:t>Okrepitev inštalirane zmogljivosti vetrne energije</w:t>
            </w:r>
          </w:p>
        </w:tc>
      </w:tr>
      <w:tr w:rsidR="00F24946" w14:paraId="44FCEE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F55A38" w14:textId="77777777" w:rsidR="00F24946" w:rsidRDefault="00613B06">
            <w:pPr>
              <w:pStyle w:val="P68B1DB1-Normal23"/>
              <w:spacing w:after="0"/>
              <w:jc w:val="center"/>
              <w:rPr>
                <w:rFonts w:eastAsia="Calibri" w:cs="Calibri"/>
                <w:noProof/>
              </w:rPr>
            </w:pPr>
            <w:r>
              <w:rPr>
                <w:noProof/>
              </w:rPr>
              <w:t>21.41</w:t>
            </w:r>
          </w:p>
        </w:tc>
        <w:tc>
          <w:tcPr>
            <w:tcW w:w="1760" w:type="dxa"/>
            <w:tcBorders>
              <w:top w:val="nil"/>
              <w:left w:val="nil"/>
              <w:bottom w:val="single" w:sz="4" w:space="0" w:color="auto"/>
              <w:right w:val="single" w:sz="4" w:space="0" w:color="auto"/>
            </w:tcBorders>
            <w:shd w:val="clear" w:color="auto" w:fill="C4EFCE"/>
            <w:vAlign w:val="center"/>
            <w:hideMark/>
          </w:tcPr>
          <w:p w14:paraId="1692D62F" w14:textId="64537686" w:rsidR="00F24946" w:rsidRDefault="00613B06">
            <w:pPr>
              <w:pStyle w:val="P68B1DB1-Normal23"/>
              <w:spacing w:after="0"/>
              <w:jc w:val="center"/>
              <w:rPr>
                <w:rFonts w:eastAsia="Calibri" w:cs="Calibri"/>
                <w:noProof/>
              </w:rPr>
            </w:pPr>
            <w:r>
              <w:rPr>
                <w:noProof/>
              </w:rPr>
              <w:t>RP-C21-i15-RAA</w:t>
            </w:r>
          </w:p>
        </w:tc>
        <w:tc>
          <w:tcPr>
            <w:tcW w:w="1520" w:type="dxa"/>
            <w:tcBorders>
              <w:top w:val="nil"/>
              <w:left w:val="nil"/>
              <w:bottom w:val="single" w:sz="4" w:space="0" w:color="auto"/>
              <w:right w:val="single" w:sz="4" w:space="0" w:color="auto"/>
            </w:tcBorders>
            <w:shd w:val="clear" w:color="auto" w:fill="C4EFCE"/>
            <w:vAlign w:val="center"/>
            <w:hideMark/>
          </w:tcPr>
          <w:p w14:paraId="1A2F99A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254CB8" w14:textId="77777777" w:rsidR="00F24946" w:rsidRDefault="00613B06">
            <w:pPr>
              <w:pStyle w:val="P68B1DB1-Normal23"/>
              <w:spacing w:after="0"/>
              <w:jc w:val="both"/>
              <w:rPr>
                <w:rFonts w:eastAsia="Calibri" w:cs="Calibri"/>
                <w:noProof/>
              </w:rPr>
            </w:pPr>
            <w:r>
              <w:rPr>
                <w:noProof/>
              </w:rPr>
              <w:t>Začetek obratovanja dveh novih električnih trajektov</w:t>
            </w:r>
          </w:p>
        </w:tc>
      </w:tr>
      <w:tr w:rsidR="00F24946" w14:paraId="4686FE2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496107"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381C23FB" w14:textId="77777777" w:rsidR="00F24946" w:rsidRDefault="00613B06">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2A9D373E"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nil"/>
              <w:left w:val="nil"/>
              <w:bottom w:val="single" w:sz="4" w:space="0" w:color="auto"/>
              <w:right w:val="single" w:sz="4" w:space="0" w:color="auto"/>
            </w:tcBorders>
            <w:shd w:val="clear" w:color="auto" w:fill="C4EFCE"/>
            <w:vAlign w:val="center"/>
            <w:hideMark/>
          </w:tcPr>
          <w:p w14:paraId="6C5CFDF1" w14:textId="3C8B9DE9" w:rsidR="00F24946" w:rsidRDefault="00613B06">
            <w:pPr>
              <w:pStyle w:val="P68B1DB1-Normal25"/>
              <w:spacing w:after="0" w:line="240" w:lineRule="auto"/>
              <w:jc w:val="center"/>
              <w:rPr>
                <w:rFonts w:cs="Calibri"/>
                <w:noProof/>
              </w:rPr>
            </w:pPr>
            <w:r>
              <w:rPr>
                <w:noProof/>
              </w:rPr>
              <w:t xml:space="preserve"> 2 284 617 001 EUR </w:t>
            </w:r>
          </w:p>
        </w:tc>
      </w:tr>
    </w:tbl>
    <w:p w14:paraId="43D05AA8" w14:textId="77777777" w:rsidR="00F24946" w:rsidRDefault="00F24946">
      <w:pPr>
        <w:keepNext/>
        <w:spacing w:before="40" w:after="160" w:line="259" w:lineRule="auto"/>
        <w:ind w:left="360"/>
        <w:contextualSpacing/>
        <w:jc w:val="both"/>
        <w:rPr>
          <w:rFonts w:ascii="Times New Roman" w:eastAsiaTheme="minorEastAsia" w:hAnsi="Times New Roman" w:cs="Times New Roman"/>
          <w:noProof/>
          <w:sz w:val="24"/>
        </w:rPr>
      </w:pPr>
    </w:p>
    <w:p w14:paraId="607CA0DB" w14:textId="77777777" w:rsidR="00F24946" w:rsidRDefault="00F24946">
      <w:pPr>
        <w:keepNext/>
        <w:spacing w:before="40" w:after="160" w:line="259" w:lineRule="auto"/>
        <w:ind w:left="360"/>
        <w:contextualSpacing/>
        <w:jc w:val="both"/>
        <w:rPr>
          <w:rFonts w:ascii="Times New Roman" w:eastAsiaTheme="minorEastAsia" w:hAnsi="Times New Roman" w:cs="Times New Roman"/>
          <w:noProof/>
          <w:sz w:val="24"/>
        </w:rPr>
      </w:pPr>
    </w:p>
    <w:p w14:paraId="2B32C5FC"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Deseti zahtevek za plačilo (nepovratna podpora): </w:t>
      </w:r>
    </w:p>
    <w:p w14:paraId="55E21E0D"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F24946" w14:paraId="7D06A10D"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EA7B9D4"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390E370"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722F55"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F8E9C14"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3D3D47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5D5E3F" w14:textId="77777777" w:rsidR="00F24946" w:rsidRDefault="00613B06">
            <w:pPr>
              <w:pStyle w:val="P68B1DB1-Normal23"/>
              <w:spacing w:after="0"/>
              <w:jc w:val="center"/>
              <w:rPr>
                <w:noProof/>
              </w:rPr>
            </w:pPr>
            <w:r>
              <w:rPr>
                <w:noProof/>
              </w:rPr>
              <w:t>1.15</w:t>
            </w:r>
          </w:p>
        </w:tc>
        <w:tc>
          <w:tcPr>
            <w:tcW w:w="1760" w:type="dxa"/>
            <w:tcBorders>
              <w:top w:val="nil"/>
              <w:left w:val="nil"/>
              <w:bottom w:val="single" w:sz="4" w:space="0" w:color="auto"/>
              <w:right w:val="single" w:sz="4" w:space="0" w:color="auto"/>
            </w:tcBorders>
            <w:shd w:val="clear" w:color="auto" w:fill="C4EFCE"/>
            <w:vAlign w:val="center"/>
            <w:hideMark/>
          </w:tcPr>
          <w:p w14:paraId="52F5475D" w14:textId="77777777" w:rsidR="00F24946" w:rsidRDefault="00613B06">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26BFA8A2"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1B52446" w14:textId="77777777" w:rsidR="00F24946" w:rsidRDefault="00613B06">
            <w:pPr>
              <w:pStyle w:val="P68B1DB1-Normal23"/>
              <w:spacing w:after="0"/>
              <w:jc w:val="both"/>
              <w:rPr>
                <w:rFonts w:eastAsia="Calibri" w:cs="Calibri"/>
                <w:noProof/>
              </w:rPr>
            </w:pPr>
            <w:r>
              <w:rPr>
                <w:noProof/>
              </w:rPr>
              <w:t>Gradnja novih zdravstvenih enot</w:t>
            </w:r>
          </w:p>
        </w:tc>
      </w:tr>
      <w:tr w:rsidR="00F24946" w14:paraId="6806F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F0C54B" w14:textId="77777777" w:rsidR="00F24946" w:rsidRDefault="00613B06">
            <w:pPr>
              <w:pStyle w:val="P68B1DB1-Normal23"/>
              <w:spacing w:after="0"/>
              <w:jc w:val="center"/>
              <w:rPr>
                <w:noProof/>
              </w:rPr>
            </w:pPr>
            <w:r>
              <w:rPr>
                <w:noProof/>
              </w:rPr>
              <w:t>1.16</w:t>
            </w:r>
          </w:p>
        </w:tc>
        <w:tc>
          <w:tcPr>
            <w:tcW w:w="1760" w:type="dxa"/>
            <w:tcBorders>
              <w:top w:val="nil"/>
              <w:left w:val="nil"/>
              <w:bottom w:val="single" w:sz="4" w:space="0" w:color="auto"/>
              <w:right w:val="single" w:sz="4" w:space="0" w:color="auto"/>
            </w:tcBorders>
            <w:shd w:val="clear" w:color="auto" w:fill="C4EFCE"/>
            <w:vAlign w:val="center"/>
            <w:hideMark/>
          </w:tcPr>
          <w:p w14:paraId="19CDD319" w14:textId="77777777" w:rsidR="00F24946" w:rsidRDefault="00613B06">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08281B82"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5B41143" w14:textId="77777777" w:rsidR="00F24946" w:rsidRDefault="00613B06">
            <w:pPr>
              <w:pStyle w:val="P68B1DB1-Normal23"/>
              <w:spacing w:after="0"/>
              <w:jc w:val="both"/>
              <w:rPr>
                <w:rFonts w:eastAsia="Calibri" w:cs="Calibri"/>
                <w:noProof/>
              </w:rPr>
            </w:pPr>
            <w:r>
              <w:rPr>
                <w:noProof/>
              </w:rPr>
              <w:t>Dokončati nacionalno pokritost presejalnih programov in programov zgodnjega diagnosticiranja v osnovnem zdravstvenem varstvu</w:t>
            </w:r>
          </w:p>
        </w:tc>
      </w:tr>
      <w:tr w:rsidR="00F24946" w14:paraId="217E40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8A98AA" w14:textId="77777777" w:rsidR="00F24946" w:rsidRDefault="00613B06">
            <w:pPr>
              <w:pStyle w:val="P68B1DB1-Normal23"/>
              <w:spacing w:after="0"/>
              <w:jc w:val="center"/>
              <w:rPr>
                <w:noProof/>
              </w:rPr>
            </w:pPr>
            <w:r>
              <w:rPr>
                <w:noProof/>
              </w:rPr>
              <w:t>1.17</w:t>
            </w:r>
          </w:p>
        </w:tc>
        <w:tc>
          <w:tcPr>
            <w:tcW w:w="1760" w:type="dxa"/>
            <w:tcBorders>
              <w:top w:val="nil"/>
              <w:left w:val="nil"/>
              <w:bottom w:val="single" w:sz="4" w:space="0" w:color="auto"/>
              <w:right w:val="single" w:sz="4" w:space="0" w:color="auto"/>
            </w:tcBorders>
            <w:shd w:val="clear" w:color="auto" w:fill="C4EFCE"/>
            <w:vAlign w:val="center"/>
            <w:hideMark/>
          </w:tcPr>
          <w:p w14:paraId="790F9509" w14:textId="77777777" w:rsidR="00F24946" w:rsidRDefault="00613B06">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65D56E08"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7EB1B2C" w14:textId="77777777" w:rsidR="00F24946" w:rsidRDefault="00613B06">
            <w:pPr>
              <w:pStyle w:val="P68B1DB1-Normal23"/>
              <w:spacing w:after="0"/>
              <w:jc w:val="both"/>
              <w:rPr>
                <w:rFonts w:eastAsia="Calibri" w:cs="Calibri"/>
                <w:noProof/>
              </w:rPr>
            </w:pPr>
            <w:r>
              <w:rPr>
                <w:noProof/>
              </w:rPr>
              <w:t>Povečanje odzivne zmogljivosti primarnih zdravstvenih centrov in razširitev njihovih področij ukrepanja</w:t>
            </w:r>
          </w:p>
        </w:tc>
      </w:tr>
      <w:tr w:rsidR="00F24946" w14:paraId="01A92F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38C9033" w14:textId="77777777" w:rsidR="00F24946" w:rsidRDefault="00613B06">
            <w:pPr>
              <w:pStyle w:val="P68B1DB1-Normal23"/>
              <w:spacing w:after="0"/>
              <w:jc w:val="center"/>
              <w:rPr>
                <w:noProof/>
              </w:rPr>
            </w:pPr>
            <w:r>
              <w:rPr>
                <w:noProof/>
              </w:rPr>
              <w:t>1.18</w:t>
            </w:r>
          </w:p>
        </w:tc>
        <w:tc>
          <w:tcPr>
            <w:tcW w:w="1760" w:type="dxa"/>
            <w:tcBorders>
              <w:top w:val="nil"/>
              <w:left w:val="nil"/>
              <w:bottom w:val="single" w:sz="4" w:space="0" w:color="auto"/>
              <w:right w:val="single" w:sz="4" w:space="0" w:color="auto"/>
            </w:tcBorders>
            <w:shd w:val="clear" w:color="auto" w:fill="C4EFCE"/>
            <w:vAlign w:val="center"/>
            <w:hideMark/>
          </w:tcPr>
          <w:p w14:paraId="4284A36F" w14:textId="77777777" w:rsidR="00F24946" w:rsidRDefault="00613B06">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757EA7EC"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6FCF755" w14:textId="77777777" w:rsidR="00F24946" w:rsidRDefault="00613B06">
            <w:pPr>
              <w:pStyle w:val="P68B1DB1-Normal23"/>
              <w:spacing w:after="0"/>
              <w:jc w:val="both"/>
              <w:rPr>
                <w:rFonts w:eastAsia="Calibri" w:cs="Calibri"/>
                <w:noProof/>
              </w:rPr>
            </w:pPr>
            <w:r>
              <w:rPr>
                <w:noProof/>
              </w:rPr>
              <w:t>Obnova zdravstvenih objektov in opreme za zagotovitev dostopnosti, kakovosti in varnostnih pogojev v primarnih zdravstvenih domovih</w:t>
            </w:r>
          </w:p>
        </w:tc>
      </w:tr>
      <w:tr w:rsidR="00F24946" w14:paraId="5284CC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868D01" w14:textId="77777777" w:rsidR="00F24946" w:rsidRDefault="00613B06">
            <w:pPr>
              <w:pStyle w:val="P68B1DB1-Normal23"/>
              <w:spacing w:after="0"/>
              <w:jc w:val="center"/>
              <w:rPr>
                <w:noProof/>
              </w:rPr>
            </w:pPr>
            <w:r>
              <w:rPr>
                <w:noProof/>
              </w:rPr>
              <w:t>1.19</w:t>
            </w:r>
          </w:p>
        </w:tc>
        <w:tc>
          <w:tcPr>
            <w:tcW w:w="1760" w:type="dxa"/>
            <w:tcBorders>
              <w:top w:val="nil"/>
              <w:left w:val="nil"/>
              <w:bottom w:val="single" w:sz="4" w:space="0" w:color="auto"/>
              <w:right w:val="single" w:sz="4" w:space="0" w:color="auto"/>
            </w:tcBorders>
            <w:shd w:val="clear" w:color="auto" w:fill="C4EFCE"/>
            <w:vAlign w:val="center"/>
            <w:hideMark/>
          </w:tcPr>
          <w:p w14:paraId="0EDC48A4" w14:textId="77777777" w:rsidR="00F24946" w:rsidRDefault="00613B06">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33DB8263"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25DC65" w14:textId="77777777" w:rsidR="00F24946" w:rsidRDefault="00613B06">
            <w:pPr>
              <w:pStyle w:val="P68B1DB1-Normal23"/>
              <w:spacing w:after="0"/>
              <w:jc w:val="both"/>
              <w:rPr>
                <w:rFonts w:eastAsia="Calibri" w:cs="Calibri"/>
                <w:noProof/>
              </w:rPr>
            </w:pPr>
            <w:r>
              <w:rPr>
                <w:noProof/>
              </w:rPr>
              <w:t>Krepitev skupnostne oskrbe, posredovanja na domu in skupnosti</w:t>
            </w:r>
          </w:p>
        </w:tc>
      </w:tr>
      <w:tr w:rsidR="00F24946" w14:paraId="3D01E1B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AC2B30" w14:textId="77777777" w:rsidR="00F24946" w:rsidRDefault="00613B06">
            <w:pPr>
              <w:pStyle w:val="P68B1DB1-Normal23"/>
              <w:spacing w:after="0"/>
              <w:jc w:val="center"/>
              <w:rPr>
                <w:noProof/>
              </w:rPr>
            </w:pPr>
            <w:r>
              <w:rPr>
                <w:noProof/>
              </w:rPr>
              <w:t>1.26</w:t>
            </w:r>
          </w:p>
        </w:tc>
        <w:tc>
          <w:tcPr>
            <w:tcW w:w="1760" w:type="dxa"/>
            <w:tcBorders>
              <w:top w:val="nil"/>
              <w:left w:val="nil"/>
              <w:bottom w:val="single" w:sz="4" w:space="0" w:color="auto"/>
              <w:right w:val="single" w:sz="4" w:space="0" w:color="auto"/>
            </w:tcBorders>
            <w:shd w:val="clear" w:color="auto" w:fill="C4EFCE"/>
            <w:vAlign w:val="center"/>
            <w:hideMark/>
          </w:tcPr>
          <w:p w14:paraId="2701A855" w14:textId="77777777" w:rsidR="00F24946" w:rsidRDefault="00613B06">
            <w:pPr>
              <w:pStyle w:val="P68B1DB1-Normal23"/>
              <w:spacing w:after="0"/>
              <w:jc w:val="center"/>
              <w:rPr>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05A37AD5"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BABE876" w14:textId="77777777" w:rsidR="00F24946" w:rsidRDefault="00613B06">
            <w:pPr>
              <w:pStyle w:val="P68B1DB1-Normal23"/>
              <w:spacing w:after="0"/>
              <w:jc w:val="both"/>
              <w:rPr>
                <w:rFonts w:eastAsia="Calibri" w:cs="Calibri"/>
                <w:noProof/>
              </w:rPr>
            </w:pPr>
            <w:r>
              <w:rPr>
                <w:noProof/>
              </w:rPr>
              <w:t>Gradnja bolnišnice v vzhodni Lizboni in nakup opreme za bolnišnice v Lizboni in Vale do Tejo</w:t>
            </w:r>
          </w:p>
        </w:tc>
      </w:tr>
      <w:tr w:rsidR="00F24946" w14:paraId="3D441B1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3D0439" w14:textId="77777777" w:rsidR="00F24946" w:rsidRDefault="00613B06">
            <w:pPr>
              <w:pStyle w:val="P68B1DB1-Normal23"/>
              <w:spacing w:after="0"/>
              <w:jc w:val="center"/>
              <w:rPr>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1BD7B0E9" w14:textId="77777777" w:rsidR="00F24946" w:rsidRDefault="00613B06">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3CAAA8F2"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A201EA2" w14:textId="77777777" w:rsidR="00F24946" w:rsidRDefault="00613B06">
            <w:pPr>
              <w:pStyle w:val="P68B1DB1-Normal23"/>
              <w:spacing w:after="0"/>
              <w:jc w:val="both"/>
              <w:rPr>
                <w:rFonts w:eastAsia="Calibri" w:cs="Calibri"/>
                <w:noProof/>
              </w:rPr>
            </w:pPr>
            <w:r>
              <w:rPr>
                <w:noProof/>
              </w:rPr>
              <w:t>Povečanje števila razpoložljivih mest v sistemu hospitalizacije na domu regionalne zdravstvene službe Madeire</w:t>
            </w:r>
          </w:p>
        </w:tc>
      </w:tr>
      <w:tr w:rsidR="00F24946" w14:paraId="5762E4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CF62DE" w14:textId="77777777" w:rsidR="00F24946" w:rsidRDefault="00613B06">
            <w:pPr>
              <w:pStyle w:val="P68B1DB1-Normal23"/>
              <w:spacing w:after="0"/>
              <w:jc w:val="center"/>
              <w:rPr>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710DCFA" w14:textId="77777777" w:rsidR="00F24946" w:rsidRDefault="00613B06">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CFA463F"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865E083" w14:textId="77777777" w:rsidR="00F24946" w:rsidRDefault="00613B06">
            <w:pPr>
              <w:pStyle w:val="P68B1DB1-Normal23"/>
              <w:spacing w:after="0"/>
              <w:jc w:val="both"/>
              <w:rPr>
                <w:rFonts w:eastAsia="Calibri" w:cs="Calibri"/>
                <w:noProof/>
              </w:rPr>
            </w:pPr>
            <w:r>
              <w:rPr>
                <w:noProof/>
              </w:rPr>
              <w:t>Ustanovitev skupin skupnosti za duševno zdravje v regionalni zdravstveni službi Madeire</w:t>
            </w:r>
          </w:p>
        </w:tc>
      </w:tr>
      <w:tr w:rsidR="00F24946" w14:paraId="01524A3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7ED4C9A" w14:textId="77777777" w:rsidR="00F24946" w:rsidRDefault="00613B06">
            <w:pPr>
              <w:pStyle w:val="P68B1DB1-Normal23"/>
              <w:spacing w:after="0"/>
              <w:jc w:val="center"/>
              <w:rPr>
                <w:noProof/>
              </w:rPr>
            </w:pPr>
            <w:r>
              <w:rPr>
                <w:noProof/>
              </w:rPr>
              <w:t>1.31</w:t>
            </w:r>
          </w:p>
        </w:tc>
        <w:tc>
          <w:tcPr>
            <w:tcW w:w="1760" w:type="dxa"/>
            <w:tcBorders>
              <w:top w:val="nil"/>
              <w:left w:val="nil"/>
              <w:bottom w:val="single" w:sz="4" w:space="0" w:color="auto"/>
              <w:right w:val="single" w:sz="4" w:space="0" w:color="auto"/>
            </w:tcBorders>
            <w:shd w:val="clear" w:color="auto" w:fill="C4EFCE"/>
            <w:vAlign w:val="center"/>
            <w:hideMark/>
          </w:tcPr>
          <w:p w14:paraId="35A056AF" w14:textId="77777777" w:rsidR="00F24946" w:rsidRDefault="00613B06">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32A4DE4"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FB0741" w14:textId="77777777" w:rsidR="00F24946" w:rsidRDefault="00613B06">
            <w:pPr>
              <w:pStyle w:val="P68B1DB1-Normal23"/>
              <w:spacing w:after="0"/>
              <w:jc w:val="both"/>
              <w:rPr>
                <w:rFonts w:eastAsia="Calibri" w:cs="Calibri"/>
                <w:noProof/>
              </w:rPr>
            </w:pPr>
            <w:r>
              <w:rPr>
                <w:noProof/>
              </w:rPr>
              <w:t>Obnova storitev primarnega zdravstvenega varstva na Madeiri</w:t>
            </w:r>
          </w:p>
        </w:tc>
      </w:tr>
      <w:tr w:rsidR="00F24946" w14:paraId="5ABD1A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F6E924" w14:textId="77777777" w:rsidR="00F24946" w:rsidRDefault="00613B06">
            <w:pPr>
              <w:pStyle w:val="P68B1DB1-Normal23"/>
              <w:spacing w:after="0"/>
              <w:jc w:val="center"/>
              <w:rPr>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375AE1E5" w14:textId="77777777" w:rsidR="00F24946" w:rsidRDefault="00613B06">
            <w:pPr>
              <w:pStyle w:val="P68B1DB1-Normal23"/>
              <w:spacing w:after="0"/>
              <w:jc w:val="center"/>
              <w:rPr>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3498EF00"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15A08C" w14:textId="77777777" w:rsidR="00F24946" w:rsidRDefault="00613B06">
            <w:pPr>
              <w:pStyle w:val="P68B1DB1-Normal23"/>
              <w:spacing w:after="0"/>
              <w:jc w:val="both"/>
              <w:rPr>
                <w:rFonts w:eastAsia="Calibri" w:cs="Calibri"/>
                <w:noProof/>
              </w:rPr>
            </w:pPr>
            <w:r>
              <w:rPr>
                <w:noProof/>
              </w:rPr>
              <w:t>Nakup težke medicinske opreme</w:t>
            </w:r>
          </w:p>
        </w:tc>
      </w:tr>
      <w:tr w:rsidR="00F24946" w14:paraId="6AC77FE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269E" w14:textId="77777777" w:rsidR="00F24946" w:rsidRDefault="00613B06">
            <w:pPr>
              <w:pStyle w:val="P68B1DB1-Normal23"/>
              <w:spacing w:after="0"/>
              <w:jc w:val="center"/>
              <w:rPr>
                <w:noProof/>
              </w:rPr>
            </w:pPr>
            <w:r>
              <w:rPr>
                <w:noProof/>
              </w:rPr>
              <w:t>2.3</w:t>
            </w:r>
          </w:p>
        </w:tc>
        <w:tc>
          <w:tcPr>
            <w:tcW w:w="1760" w:type="dxa"/>
            <w:tcBorders>
              <w:top w:val="nil"/>
              <w:left w:val="nil"/>
              <w:bottom w:val="single" w:sz="4" w:space="0" w:color="auto"/>
              <w:right w:val="single" w:sz="4" w:space="0" w:color="auto"/>
            </w:tcBorders>
            <w:shd w:val="clear" w:color="auto" w:fill="C4EFCE"/>
            <w:vAlign w:val="center"/>
            <w:hideMark/>
          </w:tcPr>
          <w:p w14:paraId="43F3328C" w14:textId="77777777" w:rsidR="00F24946" w:rsidRDefault="00613B06">
            <w:pPr>
              <w:pStyle w:val="P68B1DB1-Normal23"/>
              <w:spacing w:after="0"/>
              <w:jc w:val="center"/>
              <w:rPr>
                <w:noProof/>
              </w:rPr>
            </w:pPr>
            <w:r>
              <w:rPr>
                <w:noProof/>
              </w:rPr>
              <w:t>Re-C02-i01</w:t>
            </w:r>
          </w:p>
        </w:tc>
        <w:tc>
          <w:tcPr>
            <w:tcW w:w="1520" w:type="dxa"/>
            <w:tcBorders>
              <w:top w:val="nil"/>
              <w:left w:val="nil"/>
              <w:bottom w:val="single" w:sz="4" w:space="0" w:color="auto"/>
              <w:right w:val="single" w:sz="4" w:space="0" w:color="auto"/>
            </w:tcBorders>
            <w:shd w:val="clear" w:color="auto" w:fill="C4EFCE"/>
            <w:vAlign w:val="center"/>
            <w:hideMark/>
          </w:tcPr>
          <w:p w14:paraId="63E6F2B5"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F9FF65" w14:textId="77777777" w:rsidR="00F24946" w:rsidRDefault="00613B06">
            <w:pPr>
              <w:pStyle w:val="P68B1DB1-Normal23"/>
              <w:spacing w:after="0"/>
              <w:jc w:val="both"/>
              <w:rPr>
                <w:rFonts w:eastAsia="Calibri" w:cs="Calibri"/>
                <w:noProof/>
              </w:rPr>
            </w:pPr>
            <w:r>
              <w:rPr>
                <w:noProof/>
              </w:rPr>
              <w:t>Program podpore za dostop do stanovanj – kupljena, zgrajena (visoka energijska učinkovitost) ali sanirana (z izboljšano energetsko učinkovitostjo) stanovanja za gospodinjstva</w:t>
            </w:r>
          </w:p>
        </w:tc>
      </w:tr>
      <w:tr w:rsidR="00F24946" w14:paraId="72A593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82ECA8" w14:textId="77777777" w:rsidR="00F24946" w:rsidRDefault="00613B06">
            <w:pPr>
              <w:pStyle w:val="P68B1DB1-Normal23"/>
              <w:spacing w:after="0"/>
              <w:jc w:val="center"/>
              <w:rPr>
                <w:noProof/>
              </w:rPr>
            </w:pPr>
            <w:r>
              <w:rPr>
                <w:noProof/>
              </w:rPr>
              <w:t>2.7</w:t>
            </w:r>
          </w:p>
        </w:tc>
        <w:tc>
          <w:tcPr>
            <w:tcW w:w="1760" w:type="dxa"/>
            <w:tcBorders>
              <w:top w:val="nil"/>
              <w:left w:val="nil"/>
              <w:bottom w:val="single" w:sz="4" w:space="0" w:color="auto"/>
              <w:right w:val="single" w:sz="4" w:space="0" w:color="auto"/>
            </w:tcBorders>
            <w:shd w:val="clear" w:color="auto" w:fill="C4EFCE"/>
            <w:vAlign w:val="center"/>
            <w:hideMark/>
          </w:tcPr>
          <w:p w14:paraId="73BDA8CB" w14:textId="77777777" w:rsidR="00F24946" w:rsidRDefault="00613B06">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E0163B1"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5A5618" w14:textId="77777777" w:rsidR="00F24946" w:rsidRDefault="00613B06">
            <w:pPr>
              <w:pStyle w:val="P68B1DB1-Normal23"/>
              <w:spacing w:after="0"/>
              <w:jc w:val="both"/>
              <w:rPr>
                <w:rFonts w:eastAsia="Calibri" w:cs="Calibri"/>
                <w:noProof/>
              </w:rPr>
            </w:pPr>
            <w:r>
              <w:rPr>
                <w:noProof/>
              </w:rPr>
              <w:t>Nacionalna nepovratna sredstva za nujno in začasno nastanitev – ustvarjene nujne in prehodne nastanitve (izdelane ali kupljene v skladu s standardom energijske učinkovitosti ali obnovljene, vključno s kupljenimi, z izboljšano energijsko učinkovitostjo) in zagotovljene razvijalcem</w:t>
            </w:r>
          </w:p>
        </w:tc>
      </w:tr>
      <w:tr w:rsidR="00F24946" w14:paraId="0F56588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1AC1AB" w14:textId="77777777" w:rsidR="00F24946" w:rsidRDefault="00613B06">
            <w:pPr>
              <w:pStyle w:val="P68B1DB1-Normal23"/>
              <w:spacing w:after="0"/>
              <w:jc w:val="center"/>
              <w:rPr>
                <w:noProof/>
              </w:rPr>
            </w:pPr>
            <w:r>
              <w:rPr>
                <w:noProof/>
              </w:rPr>
              <w:t>2.8</w:t>
            </w:r>
          </w:p>
        </w:tc>
        <w:tc>
          <w:tcPr>
            <w:tcW w:w="1760" w:type="dxa"/>
            <w:tcBorders>
              <w:top w:val="nil"/>
              <w:left w:val="nil"/>
              <w:bottom w:val="single" w:sz="4" w:space="0" w:color="auto"/>
              <w:right w:val="single" w:sz="4" w:space="0" w:color="auto"/>
            </w:tcBorders>
            <w:shd w:val="clear" w:color="auto" w:fill="C4EFCE"/>
            <w:vAlign w:val="center"/>
            <w:hideMark/>
          </w:tcPr>
          <w:p w14:paraId="7E84AC89" w14:textId="77777777" w:rsidR="00F24946" w:rsidRDefault="00613B06">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2DC07CB"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23D2B0" w14:textId="77777777" w:rsidR="00F24946" w:rsidRDefault="00613B06">
            <w:pPr>
              <w:pStyle w:val="P68B1DB1-Normal23"/>
              <w:spacing w:after="0"/>
              <w:jc w:val="both"/>
              <w:rPr>
                <w:rFonts w:eastAsia="Calibri" w:cs="Calibri"/>
                <w:noProof/>
              </w:rPr>
            </w:pPr>
            <w:r>
              <w:rPr>
                <w:noProof/>
              </w:rPr>
              <w:t>Nastanitev, dostavljena varnostnim silam, in začasna nastanitev, dostavljena iz humanitarnih ali varnostnih razlogov</w:t>
            </w:r>
          </w:p>
        </w:tc>
      </w:tr>
      <w:tr w:rsidR="00F24946" w14:paraId="02FF4B3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8FA595" w14:textId="77777777" w:rsidR="00F24946" w:rsidRDefault="00613B06">
            <w:pPr>
              <w:pStyle w:val="P68B1DB1-Normal23"/>
              <w:spacing w:after="0"/>
              <w:jc w:val="center"/>
              <w:rPr>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7D04435" w14:textId="77777777" w:rsidR="00F24946" w:rsidRDefault="00613B06">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3BD5817E"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D58941" w14:textId="77777777" w:rsidR="00F24946" w:rsidRDefault="00613B06">
            <w:pPr>
              <w:pStyle w:val="P68B1DB1-Normal23"/>
              <w:spacing w:after="0"/>
              <w:jc w:val="both"/>
              <w:rPr>
                <w:rFonts w:eastAsia="Calibri" w:cs="Calibri"/>
                <w:noProof/>
              </w:rPr>
            </w:pPr>
            <w:r>
              <w:rPr>
                <w:noProof/>
              </w:rPr>
              <w:t>Podprta stanovanja v avtonomni pokrajini Madeira</w:t>
            </w:r>
          </w:p>
        </w:tc>
      </w:tr>
      <w:tr w:rsidR="00F24946" w14:paraId="29129C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6F57D8F" w14:textId="77777777" w:rsidR="00F24946" w:rsidRDefault="00613B06">
            <w:pPr>
              <w:pStyle w:val="P68B1DB1-Normal23"/>
              <w:spacing w:after="0"/>
              <w:jc w:val="center"/>
              <w:rPr>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62DEA51A" w14:textId="77777777" w:rsidR="00F24946" w:rsidRDefault="00613B06">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1270B23C"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726ED5" w14:textId="77777777" w:rsidR="00F24946" w:rsidRDefault="00613B06">
            <w:pPr>
              <w:pStyle w:val="P68B1DB1-Normal23"/>
              <w:spacing w:after="0"/>
              <w:jc w:val="both"/>
              <w:rPr>
                <w:rFonts w:eastAsia="Calibri" w:cs="Calibri"/>
                <w:noProof/>
              </w:rPr>
            </w:pPr>
            <w:r>
              <w:rPr>
                <w:noProof/>
              </w:rPr>
              <w:t>Število prenovljenih zasebnih lastnikov, ki bivajo v stanovanjih, tudi z izboljšano energijsko učinkovitostjo</w:t>
            </w:r>
          </w:p>
        </w:tc>
      </w:tr>
      <w:tr w:rsidR="00F24946" w14:paraId="18ACBA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04DA4C" w14:textId="77777777" w:rsidR="00F24946" w:rsidRDefault="00613B06">
            <w:pPr>
              <w:pStyle w:val="P68B1DB1-Normal23"/>
              <w:spacing w:after="0"/>
              <w:jc w:val="center"/>
              <w:rPr>
                <w:noProof/>
              </w:rPr>
            </w:pPr>
            <w:r>
              <w:rPr>
                <w:noProof/>
              </w:rPr>
              <w:t>2.30</w:t>
            </w:r>
          </w:p>
        </w:tc>
        <w:tc>
          <w:tcPr>
            <w:tcW w:w="1760" w:type="dxa"/>
            <w:tcBorders>
              <w:top w:val="nil"/>
              <w:left w:val="nil"/>
              <w:bottom w:val="single" w:sz="4" w:space="0" w:color="auto"/>
              <w:right w:val="single" w:sz="4" w:space="0" w:color="auto"/>
            </w:tcBorders>
            <w:shd w:val="clear" w:color="auto" w:fill="C4EFCE"/>
            <w:vAlign w:val="center"/>
            <w:hideMark/>
          </w:tcPr>
          <w:p w14:paraId="373778E4" w14:textId="77777777" w:rsidR="00F24946" w:rsidRDefault="00613B06">
            <w:pPr>
              <w:pStyle w:val="P68B1DB1-Normal23"/>
              <w:spacing w:after="0"/>
              <w:jc w:val="center"/>
              <w:rPr>
                <w:noProof/>
              </w:rPr>
            </w:pPr>
            <w:r>
              <w:rPr>
                <w:noProof/>
              </w:rPr>
              <w:t>Re-C02-i07-RAA</w:t>
            </w:r>
          </w:p>
        </w:tc>
        <w:tc>
          <w:tcPr>
            <w:tcW w:w="1520" w:type="dxa"/>
            <w:tcBorders>
              <w:top w:val="nil"/>
              <w:left w:val="nil"/>
              <w:bottom w:val="single" w:sz="4" w:space="0" w:color="auto"/>
              <w:right w:val="single" w:sz="4" w:space="0" w:color="auto"/>
            </w:tcBorders>
            <w:shd w:val="clear" w:color="auto" w:fill="C4EFCE"/>
            <w:vAlign w:val="center"/>
            <w:hideMark/>
          </w:tcPr>
          <w:p w14:paraId="66259027"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181364" w14:textId="77777777" w:rsidR="00F24946" w:rsidRDefault="00613B06">
            <w:pPr>
              <w:pStyle w:val="P68B1DB1-Normal23"/>
              <w:spacing w:after="0"/>
              <w:jc w:val="both"/>
              <w:rPr>
                <w:rFonts w:eastAsia="Calibri" w:cs="Calibri"/>
                <w:noProof/>
              </w:rPr>
            </w:pPr>
            <w:r>
              <w:rPr>
                <w:noProof/>
              </w:rPr>
              <w:t>Infrastruktura zemljiških parcel</w:t>
            </w:r>
          </w:p>
        </w:tc>
      </w:tr>
      <w:tr w:rsidR="00F24946" w14:paraId="17A4FE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5779114" w14:textId="77777777" w:rsidR="00F24946" w:rsidRDefault="00613B06">
            <w:pPr>
              <w:pStyle w:val="P68B1DB1-Normal23"/>
              <w:spacing w:after="0"/>
              <w:jc w:val="center"/>
              <w:rPr>
                <w:noProof/>
              </w:rPr>
            </w:pPr>
            <w:r>
              <w:rPr>
                <w:noProof/>
              </w:rPr>
              <w:t>3.1</w:t>
            </w:r>
          </w:p>
        </w:tc>
        <w:tc>
          <w:tcPr>
            <w:tcW w:w="1760" w:type="dxa"/>
            <w:tcBorders>
              <w:top w:val="nil"/>
              <w:left w:val="nil"/>
              <w:bottom w:val="single" w:sz="4" w:space="0" w:color="auto"/>
              <w:right w:val="single" w:sz="4" w:space="0" w:color="auto"/>
            </w:tcBorders>
            <w:shd w:val="clear" w:color="auto" w:fill="C4EFCE"/>
            <w:vAlign w:val="center"/>
            <w:hideMark/>
          </w:tcPr>
          <w:p w14:paraId="470584AE" w14:textId="77777777" w:rsidR="00F24946" w:rsidRDefault="00613B06">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39BFEDF0"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17EB27" w14:textId="77777777" w:rsidR="00F24946" w:rsidRDefault="00613B06">
            <w:pPr>
              <w:pStyle w:val="P68B1DB1-Normal23"/>
              <w:spacing w:after="0"/>
              <w:jc w:val="both"/>
              <w:rPr>
                <w:rFonts w:eastAsia="Calibri" w:cs="Calibri"/>
                <w:noProof/>
              </w:rPr>
            </w:pPr>
            <w:r>
              <w:rPr>
                <w:noProof/>
              </w:rPr>
              <w:t>Dobava električnih vozil</w:t>
            </w:r>
          </w:p>
        </w:tc>
      </w:tr>
      <w:tr w:rsidR="00F24946" w14:paraId="5728D53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FBBABBB" w14:textId="77777777" w:rsidR="00F24946" w:rsidRDefault="00613B06">
            <w:pPr>
              <w:pStyle w:val="P68B1DB1-Normal23"/>
              <w:spacing w:after="0"/>
              <w:jc w:val="center"/>
              <w:rPr>
                <w:noProof/>
              </w:rPr>
            </w:pPr>
            <w:r>
              <w:rPr>
                <w:noProof/>
              </w:rPr>
              <w:t>3.4</w:t>
            </w:r>
          </w:p>
        </w:tc>
        <w:tc>
          <w:tcPr>
            <w:tcW w:w="1760" w:type="dxa"/>
            <w:tcBorders>
              <w:top w:val="nil"/>
              <w:left w:val="nil"/>
              <w:bottom w:val="single" w:sz="4" w:space="0" w:color="auto"/>
              <w:right w:val="single" w:sz="4" w:space="0" w:color="auto"/>
            </w:tcBorders>
            <w:shd w:val="clear" w:color="auto" w:fill="C4EFCE"/>
            <w:vAlign w:val="center"/>
            <w:hideMark/>
          </w:tcPr>
          <w:p w14:paraId="4DB7F8C7" w14:textId="77777777" w:rsidR="00F24946" w:rsidRDefault="00613B06">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25CFCDF3"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1CAD15" w14:textId="77777777" w:rsidR="00F24946" w:rsidRDefault="00613B06">
            <w:pPr>
              <w:pStyle w:val="P68B1DB1-Normal23"/>
              <w:spacing w:after="0"/>
              <w:jc w:val="both"/>
              <w:rPr>
                <w:rFonts w:eastAsia="Calibri" w:cs="Calibri"/>
                <w:noProof/>
              </w:rPr>
            </w:pPr>
            <w:r>
              <w:rPr>
                <w:noProof/>
              </w:rPr>
              <w:t>Ustvarjanje novih mest in obnova obstoječih mest v socialnih ustanovah</w:t>
            </w:r>
          </w:p>
        </w:tc>
      </w:tr>
      <w:tr w:rsidR="00F24946" w14:paraId="7D873F1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89AAD3" w14:textId="77777777" w:rsidR="00F24946" w:rsidRDefault="00613B06">
            <w:pPr>
              <w:pStyle w:val="P68B1DB1-Normal23"/>
              <w:spacing w:after="0"/>
              <w:jc w:val="center"/>
              <w:rPr>
                <w:noProof/>
              </w:rPr>
            </w:pPr>
            <w:r>
              <w:rPr>
                <w:noProof/>
              </w:rPr>
              <w:t>3.5</w:t>
            </w:r>
          </w:p>
        </w:tc>
        <w:tc>
          <w:tcPr>
            <w:tcW w:w="1760" w:type="dxa"/>
            <w:tcBorders>
              <w:top w:val="nil"/>
              <w:left w:val="nil"/>
              <w:bottom w:val="single" w:sz="4" w:space="0" w:color="auto"/>
              <w:right w:val="single" w:sz="4" w:space="0" w:color="auto"/>
            </w:tcBorders>
            <w:shd w:val="clear" w:color="auto" w:fill="C4EFCE"/>
            <w:vAlign w:val="center"/>
            <w:hideMark/>
          </w:tcPr>
          <w:p w14:paraId="406B51CB" w14:textId="77777777" w:rsidR="00F24946" w:rsidRDefault="00613B06">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702DBD39"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C123CD" w14:textId="77777777" w:rsidR="00F24946" w:rsidRDefault="00613B06">
            <w:pPr>
              <w:pStyle w:val="P68B1DB1-Normal23"/>
              <w:spacing w:after="0"/>
              <w:jc w:val="both"/>
              <w:rPr>
                <w:rFonts w:eastAsia="Calibri" w:cs="Calibri"/>
                <w:noProof/>
              </w:rPr>
            </w:pPr>
            <w:r>
              <w:rPr>
                <w:noProof/>
              </w:rPr>
              <w:t>Uporabniki podpornih storitev na domu in osebje, ki ima dostop do tabličnih računalnikov in druge opreme IT in komunikacijske opreme, tehnične pomoči ali usposabljanja.</w:t>
            </w:r>
          </w:p>
        </w:tc>
      </w:tr>
      <w:tr w:rsidR="00F24946" w14:paraId="221C68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8D6553" w14:textId="77777777" w:rsidR="00F24946" w:rsidRDefault="00613B06">
            <w:pPr>
              <w:pStyle w:val="P68B1DB1-Normal23"/>
              <w:spacing w:after="0"/>
              <w:jc w:val="center"/>
              <w:rPr>
                <w:noProof/>
              </w:rPr>
            </w:pPr>
            <w:r>
              <w:rPr>
                <w:noProof/>
              </w:rPr>
              <w:t>3.13</w:t>
            </w:r>
          </w:p>
        </w:tc>
        <w:tc>
          <w:tcPr>
            <w:tcW w:w="1760" w:type="dxa"/>
            <w:tcBorders>
              <w:top w:val="nil"/>
              <w:left w:val="nil"/>
              <w:bottom w:val="single" w:sz="4" w:space="0" w:color="auto"/>
              <w:right w:val="single" w:sz="4" w:space="0" w:color="auto"/>
            </w:tcBorders>
            <w:shd w:val="clear" w:color="auto" w:fill="C4EFCE"/>
            <w:vAlign w:val="center"/>
            <w:hideMark/>
          </w:tcPr>
          <w:p w14:paraId="7374EBB4" w14:textId="77777777" w:rsidR="00F24946" w:rsidRDefault="00613B06">
            <w:pPr>
              <w:pStyle w:val="P68B1DB1-Normal23"/>
              <w:spacing w:after="0"/>
              <w:jc w:val="center"/>
              <w:rPr>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7834E53"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60C2C2" w14:textId="77777777" w:rsidR="00F24946" w:rsidRDefault="00613B06">
            <w:pPr>
              <w:pStyle w:val="P68B1DB1-Normal23"/>
              <w:spacing w:after="0"/>
              <w:jc w:val="both"/>
              <w:rPr>
                <w:rFonts w:eastAsia="Calibri" w:cs="Calibri"/>
                <w:noProof/>
              </w:rPr>
            </w:pPr>
            <w:r>
              <w:rPr>
                <w:noProof/>
              </w:rPr>
              <w:t>Nova mesta za invalide v centrih za oskrbo, ki podpirajo invalide</w:t>
            </w:r>
          </w:p>
        </w:tc>
      </w:tr>
      <w:tr w:rsidR="00F24946" w14:paraId="4ED34F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F29E92" w14:textId="77777777" w:rsidR="00F24946" w:rsidRDefault="00613B06">
            <w:pPr>
              <w:pStyle w:val="P68B1DB1-Normal23"/>
              <w:spacing w:after="0"/>
              <w:jc w:val="center"/>
              <w:rPr>
                <w:noProof/>
              </w:rPr>
            </w:pPr>
            <w:r>
              <w:rPr>
                <w:noProof/>
              </w:rPr>
              <w:t>3.28</w:t>
            </w:r>
          </w:p>
        </w:tc>
        <w:tc>
          <w:tcPr>
            <w:tcW w:w="1760" w:type="dxa"/>
            <w:tcBorders>
              <w:top w:val="nil"/>
              <w:left w:val="nil"/>
              <w:bottom w:val="single" w:sz="4" w:space="0" w:color="auto"/>
              <w:right w:val="single" w:sz="4" w:space="0" w:color="auto"/>
            </w:tcBorders>
            <w:shd w:val="clear" w:color="auto" w:fill="C4EFCE"/>
            <w:vAlign w:val="center"/>
            <w:hideMark/>
          </w:tcPr>
          <w:p w14:paraId="14BA29A6" w14:textId="77777777" w:rsidR="00F24946" w:rsidRDefault="00613B06">
            <w:pPr>
              <w:pStyle w:val="P68B1DB1-Normal23"/>
              <w:spacing w:after="0"/>
              <w:jc w:val="center"/>
              <w:rPr>
                <w:noProof/>
              </w:rPr>
            </w:pPr>
            <w:r>
              <w:rPr>
                <w:noProof/>
              </w:rPr>
              <w:t>Re-C03-i07-RAA</w:t>
            </w:r>
          </w:p>
        </w:tc>
        <w:tc>
          <w:tcPr>
            <w:tcW w:w="1520" w:type="dxa"/>
            <w:tcBorders>
              <w:top w:val="nil"/>
              <w:left w:val="nil"/>
              <w:bottom w:val="single" w:sz="4" w:space="0" w:color="auto"/>
              <w:right w:val="single" w:sz="4" w:space="0" w:color="auto"/>
            </w:tcBorders>
            <w:shd w:val="clear" w:color="auto" w:fill="C4EFCE"/>
            <w:vAlign w:val="center"/>
            <w:hideMark/>
          </w:tcPr>
          <w:p w14:paraId="44DC7A47" w14:textId="77777777" w:rsidR="00F24946" w:rsidRDefault="00613B06">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4BDFBE" w14:textId="77777777" w:rsidR="00F24946" w:rsidRDefault="00613B06">
            <w:pPr>
              <w:pStyle w:val="P68B1DB1-Normal23"/>
              <w:spacing w:after="0"/>
              <w:jc w:val="both"/>
              <w:rPr>
                <w:rFonts w:eastAsia="Calibri" w:cs="Calibri"/>
                <w:noProof/>
              </w:rPr>
            </w:pPr>
            <w:r>
              <w:rPr>
                <w:noProof/>
              </w:rPr>
              <w:t>Razširjena ali obnovljena mesta v domovih za bivalne domove</w:t>
            </w:r>
          </w:p>
        </w:tc>
      </w:tr>
      <w:tr w:rsidR="00F24946" w14:paraId="528550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A61B90" w14:textId="77777777" w:rsidR="00F24946" w:rsidRDefault="00613B06">
            <w:pPr>
              <w:pStyle w:val="P68B1DB1-Normal23"/>
              <w:spacing w:after="0"/>
              <w:jc w:val="center"/>
              <w:rPr>
                <w:noProof/>
              </w:rPr>
            </w:pPr>
            <w:r>
              <w:rPr>
                <w:noProof/>
              </w:rPr>
              <w:t>3.30</w:t>
            </w:r>
          </w:p>
        </w:tc>
        <w:tc>
          <w:tcPr>
            <w:tcW w:w="1760" w:type="dxa"/>
            <w:tcBorders>
              <w:top w:val="nil"/>
              <w:left w:val="nil"/>
              <w:bottom w:val="single" w:sz="4" w:space="0" w:color="auto"/>
              <w:right w:val="single" w:sz="4" w:space="0" w:color="auto"/>
            </w:tcBorders>
            <w:shd w:val="clear" w:color="auto" w:fill="C4EFCE"/>
            <w:vAlign w:val="center"/>
            <w:hideMark/>
          </w:tcPr>
          <w:p w14:paraId="4E7C355C" w14:textId="77777777" w:rsidR="00F24946" w:rsidRDefault="00613B06">
            <w:pPr>
              <w:pStyle w:val="P68B1DB1-Normal23"/>
              <w:spacing w:after="0"/>
              <w:jc w:val="center"/>
              <w:rPr>
                <w:noProof/>
              </w:rPr>
            </w:pPr>
            <w:r>
              <w:rPr>
                <w:noProof/>
              </w:rPr>
              <w:t>Re-C03-r38</w:t>
            </w:r>
          </w:p>
        </w:tc>
        <w:tc>
          <w:tcPr>
            <w:tcW w:w="1520" w:type="dxa"/>
            <w:tcBorders>
              <w:top w:val="nil"/>
              <w:left w:val="nil"/>
              <w:bottom w:val="single" w:sz="4" w:space="0" w:color="auto"/>
              <w:right w:val="single" w:sz="4" w:space="0" w:color="auto"/>
            </w:tcBorders>
            <w:shd w:val="clear" w:color="auto" w:fill="C4EFCE"/>
            <w:vAlign w:val="center"/>
            <w:hideMark/>
          </w:tcPr>
          <w:p w14:paraId="0E17E04B" w14:textId="77777777" w:rsidR="00F24946" w:rsidRDefault="00613B06">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50456DE" w14:textId="77777777" w:rsidR="00F24946" w:rsidRDefault="00613B06">
            <w:pPr>
              <w:pStyle w:val="P68B1DB1-Normal23"/>
              <w:spacing w:after="0"/>
              <w:jc w:val="both"/>
              <w:rPr>
                <w:rFonts w:eastAsia="Calibri" w:cs="Calibri"/>
                <w:noProof/>
              </w:rPr>
            </w:pPr>
            <w:r>
              <w:rPr>
                <w:noProof/>
              </w:rPr>
              <w:t>Začetek veljavnosti enotne socialne dajatve (v okviru državljanskega sistema socialne zaščite) in zakonika o socialnih dajatvah</w:t>
            </w:r>
          </w:p>
        </w:tc>
      </w:tr>
      <w:tr w:rsidR="00F24946" w14:paraId="3397C6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656E29" w14:textId="77777777" w:rsidR="00F24946" w:rsidRDefault="00613B06">
            <w:pPr>
              <w:pStyle w:val="P68B1DB1-Normal23"/>
              <w:spacing w:after="0"/>
              <w:jc w:val="center"/>
              <w:rPr>
                <w:rFonts w:eastAsia="Calibri" w:cs="Calibri"/>
                <w:noProof/>
              </w:rPr>
            </w:pPr>
            <w:r>
              <w:rPr>
                <w:noProof/>
              </w:rPr>
              <w:t>4.4</w:t>
            </w:r>
          </w:p>
        </w:tc>
        <w:tc>
          <w:tcPr>
            <w:tcW w:w="1760" w:type="dxa"/>
            <w:tcBorders>
              <w:top w:val="nil"/>
              <w:left w:val="nil"/>
              <w:bottom w:val="single" w:sz="4" w:space="0" w:color="auto"/>
              <w:right w:val="single" w:sz="4" w:space="0" w:color="auto"/>
            </w:tcBorders>
            <w:shd w:val="clear" w:color="auto" w:fill="C4EFCE"/>
            <w:vAlign w:val="center"/>
            <w:hideMark/>
          </w:tcPr>
          <w:p w14:paraId="514007D7" w14:textId="77777777" w:rsidR="00F24946" w:rsidRDefault="00613B06">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2079A0F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521FA99" w14:textId="77777777" w:rsidR="00F24946" w:rsidRDefault="00613B06">
            <w:pPr>
              <w:pStyle w:val="P68B1DB1-Normal23"/>
              <w:spacing w:after="0"/>
              <w:jc w:val="both"/>
              <w:rPr>
                <w:rFonts w:eastAsia="Calibri" w:cs="Calibri"/>
                <w:noProof/>
              </w:rPr>
            </w:pPr>
            <w:r>
              <w:rPr>
                <w:noProof/>
              </w:rPr>
              <w:t>Vzpostavitev posodobljene tehnološke infrastrukture za mrežo kulturnih objektov</w:t>
            </w:r>
          </w:p>
        </w:tc>
      </w:tr>
      <w:tr w:rsidR="00F24946" w14:paraId="22480C7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B94759" w14:textId="77777777" w:rsidR="00F24946" w:rsidRDefault="00613B06">
            <w:pPr>
              <w:pStyle w:val="P68B1DB1-Normal23"/>
              <w:spacing w:after="0"/>
              <w:jc w:val="center"/>
              <w:rPr>
                <w:rFonts w:eastAsia="Calibri" w:cs="Calibri"/>
                <w:noProof/>
              </w:rPr>
            </w:pPr>
            <w:r>
              <w:rPr>
                <w:noProof/>
              </w:rPr>
              <w:t>4.8</w:t>
            </w:r>
          </w:p>
        </w:tc>
        <w:tc>
          <w:tcPr>
            <w:tcW w:w="1760" w:type="dxa"/>
            <w:tcBorders>
              <w:top w:val="nil"/>
              <w:left w:val="nil"/>
              <w:bottom w:val="single" w:sz="4" w:space="0" w:color="auto"/>
              <w:right w:val="single" w:sz="4" w:space="0" w:color="auto"/>
            </w:tcBorders>
            <w:shd w:val="clear" w:color="auto" w:fill="C4EFCE"/>
            <w:vAlign w:val="center"/>
            <w:hideMark/>
          </w:tcPr>
          <w:p w14:paraId="3EF31C11" w14:textId="77777777" w:rsidR="00F24946" w:rsidRDefault="00613B06">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0F887FE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9ED46D" w14:textId="77777777" w:rsidR="00F24946" w:rsidRDefault="00613B06">
            <w:pPr>
              <w:pStyle w:val="P68B1DB1-Normal23"/>
              <w:spacing w:after="0"/>
              <w:jc w:val="both"/>
              <w:rPr>
                <w:rFonts w:eastAsia="Calibri" w:cs="Calibri"/>
                <w:noProof/>
              </w:rPr>
            </w:pPr>
            <w:r>
              <w:rPr>
                <w:noProof/>
              </w:rPr>
              <w:t>Končana dela za sanacijo in ohranjanje stavb kulturne dediščine in nacionalnih gledališč</w:t>
            </w:r>
          </w:p>
        </w:tc>
      </w:tr>
      <w:tr w:rsidR="00F24946" w14:paraId="6AE61A9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13649D" w14:textId="77777777" w:rsidR="00F24946" w:rsidRDefault="00613B06">
            <w:pPr>
              <w:pStyle w:val="P68B1DB1-Normal23"/>
              <w:spacing w:after="0"/>
              <w:jc w:val="center"/>
              <w:rPr>
                <w:rFonts w:eastAsia="Calibri" w:cs="Calibri"/>
                <w:noProof/>
              </w:rPr>
            </w:pPr>
            <w:r>
              <w:rPr>
                <w:noProof/>
              </w:rPr>
              <w:t>4.10</w:t>
            </w:r>
          </w:p>
        </w:tc>
        <w:tc>
          <w:tcPr>
            <w:tcW w:w="1760" w:type="dxa"/>
            <w:tcBorders>
              <w:top w:val="nil"/>
              <w:left w:val="nil"/>
              <w:bottom w:val="single" w:sz="4" w:space="0" w:color="auto"/>
              <w:right w:val="single" w:sz="4" w:space="0" w:color="auto"/>
            </w:tcBorders>
            <w:shd w:val="clear" w:color="auto" w:fill="C4EFCE"/>
            <w:vAlign w:val="center"/>
            <w:hideMark/>
          </w:tcPr>
          <w:p w14:paraId="20079FAC" w14:textId="77777777" w:rsidR="00F24946" w:rsidRDefault="00613B06">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5F854BA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B3E1B2" w14:textId="77777777" w:rsidR="00F24946" w:rsidRDefault="00613B06">
            <w:pPr>
              <w:pStyle w:val="P68B1DB1-Normal23"/>
              <w:spacing w:after="0"/>
              <w:jc w:val="both"/>
              <w:rPr>
                <w:rFonts w:eastAsia="Calibri" w:cs="Calibri"/>
                <w:noProof/>
              </w:rPr>
            </w:pPr>
            <w:r>
              <w:rPr>
                <w:noProof/>
              </w:rPr>
              <w:t>Dobava opreme za namestitev nacionalnega loka zvoka in za tehnološko posodobitev javnih laboratorijev</w:t>
            </w:r>
          </w:p>
        </w:tc>
      </w:tr>
      <w:tr w:rsidR="00F24946" w14:paraId="26B43C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970426" w14:textId="77777777" w:rsidR="00F24946" w:rsidRDefault="00613B06">
            <w:pPr>
              <w:pStyle w:val="P68B1DB1-Normal23"/>
              <w:spacing w:after="0"/>
              <w:jc w:val="center"/>
              <w:rPr>
                <w:rFonts w:eastAsia="Calibri" w:cs="Calibri"/>
                <w:noProof/>
              </w:rPr>
            </w:pPr>
            <w:r>
              <w:rPr>
                <w:noProof/>
              </w:rPr>
              <w:t>4.12</w:t>
            </w:r>
          </w:p>
        </w:tc>
        <w:tc>
          <w:tcPr>
            <w:tcW w:w="1760" w:type="dxa"/>
            <w:tcBorders>
              <w:top w:val="nil"/>
              <w:left w:val="nil"/>
              <w:bottom w:val="single" w:sz="4" w:space="0" w:color="auto"/>
              <w:right w:val="single" w:sz="4" w:space="0" w:color="auto"/>
            </w:tcBorders>
            <w:shd w:val="clear" w:color="auto" w:fill="C4EFCE"/>
            <w:vAlign w:val="center"/>
            <w:hideMark/>
          </w:tcPr>
          <w:p w14:paraId="7486F1DB" w14:textId="77777777" w:rsidR="00F24946" w:rsidRDefault="00613B06">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77F94668"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10EFAB2" w14:textId="77777777" w:rsidR="00F24946" w:rsidRDefault="00613B06">
            <w:pPr>
              <w:pStyle w:val="P68B1DB1-Normal23"/>
              <w:spacing w:after="0"/>
              <w:jc w:val="both"/>
              <w:rPr>
                <w:rFonts w:eastAsia="Calibri" w:cs="Calibri"/>
                <w:noProof/>
              </w:rPr>
            </w:pPr>
            <w:r>
              <w:rPr>
                <w:noProof/>
              </w:rPr>
              <w:t>Zaključek gradnje Nacionalnega loka Sounda</w:t>
            </w:r>
          </w:p>
        </w:tc>
      </w:tr>
      <w:tr w:rsidR="00F24946" w14:paraId="2415A55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7B4F29" w14:textId="77777777" w:rsidR="00F24946" w:rsidRDefault="00613B06">
            <w:pPr>
              <w:pStyle w:val="P68B1DB1-Normal23"/>
              <w:spacing w:after="0"/>
              <w:jc w:val="center"/>
              <w:rPr>
                <w:rFonts w:eastAsia="Calibri" w:cs="Calibri"/>
                <w:noProof/>
              </w:rPr>
            </w:pPr>
            <w:r>
              <w:rPr>
                <w:noProof/>
              </w:rPr>
              <w:t>5.36</w:t>
            </w:r>
          </w:p>
        </w:tc>
        <w:tc>
          <w:tcPr>
            <w:tcW w:w="1760" w:type="dxa"/>
            <w:tcBorders>
              <w:top w:val="nil"/>
              <w:left w:val="nil"/>
              <w:bottom w:val="single" w:sz="4" w:space="0" w:color="auto"/>
              <w:right w:val="single" w:sz="4" w:space="0" w:color="auto"/>
            </w:tcBorders>
            <w:shd w:val="clear" w:color="auto" w:fill="C4EFCE"/>
            <w:vAlign w:val="center"/>
            <w:hideMark/>
          </w:tcPr>
          <w:p w14:paraId="7498C044" w14:textId="77777777" w:rsidR="00F24946" w:rsidRDefault="00613B06">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2314F1F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930437" w14:textId="77777777" w:rsidR="00F24946" w:rsidRDefault="00613B06">
            <w:pPr>
              <w:pStyle w:val="P68B1DB1-Normal23"/>
              <w:spacing w:after="0"/>
              <w:jc w:val="both"/>
              <w:rPr>
                <w:rFonts w:eastAsia="Calibri" w:cs="Calibri"/>
                <w:noProof/>
              </w:rPr>
            </w:pPr>
            <w:r>
              <w:rPr>
                <w:noProof/>
              </w:rPr>
              <w:t>Zaključek projektov v okviru programa za raziskave in razvoj v javni upravi in novih tečajev na nacionalni platformi za množične spletne tečaje (NAU)</w:t>
            </w:r>
          </w:p>
        </w:tc>
      </w:tr>
      <w:tr w:rsidR="00F24946" w14:paraId="3F7C91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75FCDC" w14:textId="77777777" w:rsidR="00F24946" w:rsidRDefault="00613B06">
            <w:pPr>
              <w:pStyle w:val="P68B1DB1-Normal23"/>
              <w:spacing w:after="0"/>
              <w:jc w:val="center"/>
              <w:rPr>
                <w:rFonts w:eastAsia="Calibri" w:cs="Calibri"/>
                <w:noProof/>
              </w:rPr>
            </w:pPr>
            <w:r>
              <w:rPr>
                <w:noProof/>
              </w:rPr>
              <w:t>5.38</w:t>
            </w:r>
          </w:p>
        </w:tc>
        <w:tc>
          <w:tcPr>
            <w:tcW w:w="1760" w:type="dxa"/>
            <w:tcBorders>
              <w:top w:val="nil"/>
              <w:left w:val="nil"/>
              <w:bottom w:val="single" w:sz="4" w:space="0" w:color="auto"/>
              <w:right w:val="single" w:sz="4" w:space="0" w:color="auto"/>
            </w:tcBorders>
            <w:shd w:val="clear" w:color="auto" w:fill="C4EFCE"/>
            <w:vAlign w:val="center"/>
            <w:hideMark/>
          </w:tcPr>
          <w:p w14:paraId="62726B79" w14:textId="77777777" w:rsidR="00F24946" w:rsidRDefault="00613B06">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5A91DBF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193B7" w14:textId="18BBE676" w:rsidR="00F24946" w:rsidRDefault="00613B06">
            <w:pPr>
              <w:pStyle w:val="P68B1DB1-Normal23"/>
              <w:spacing w:after="0"/>
              <w:jc w:val="both"/>
              <w:rPr>
                <w:rFonts w:eastAsia="Calibri" w:cs="Calibri"/>
                <w:noProof/>
              </w:rPr>
            </w:pPr>
            <w:r>
              <w:rPr>
                <w:noProof/>
              </w:rPr>
              <w:t>Dokončanje podporne infrastrukture in podatkovnega središča za nacionalni napredni računalniški center</w:t>
            </w:r>
          </w:p>
        </w:tc>
      </w:tr>
      <w:tr w:rsidR="00F24946" w14:paraId="0D66E2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DEE4D5" w14:textId="77777777" w:rsidR="00F24946" w:rsidRDefault="00613B06">
            <w:pPr>
              <w:pStyle w:val="P68B1DB1-Normal23"/>
              <w:spacing w:after="0"/>
              <w:jc w:val="center"/>
              <w:rPr>
                <w:rFonts w:eastAsia="Calibri" w:cs="Calibri"/>
                <w:noProof/>
              </w:rPr>
            </w:pPr>
            <w:r>
              <w:rPr>
                <w:noProof/>
              </w:rPr>
              <w:t>6.19</w:t>
            </w:r>
          </w:p>
        </w:tc>
        <w:tc>
          <w:tcPr>
            <w:tcW w:w="1760" w:type="dxa"/>
            <w:tcBorders>
              <w:top w:val="nil"/>
              <w:left w:val="nil"/>
              <w:bottom w:val="single" w:sz="4" w:space="0" w:color="auto"/>
              <w:right w:val="single" w:sz="4" w:space="0" w:color="auto"/>
            </w:tcBorders>
            <w:shd w:val="clear" w:color="auto" w:fill="C4EFCE"/>
            <w:vAlign w:val="center"/>
            <w:hideMark/>
          </w:tcPr>
          <w:p w14:paraId="09FD7927" w14:textId="77777777" w:rsidR="00F24946" w:rsidRDefault="00613B06">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5C1D825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1F28A3" w14:textId="77777777" w:rsidR="00F24946" w:rsidRDefault="00613B06">
            <w:pPr>
              <w:pStyle w:val="P68B1DB1-Normal23"/>
              <w:spacing w:after="0"/>
              <w:jc w:val="both"/>
              <w:rPr>
                <w:rFonts w:eastAsia="Calibri" w:cs="Calibri"/>
                <w:noProof/>
              </w:rPr>
            </w:pPr>
            <w:r>
              <w:rPr>
                <w:noProof/>
              </w:rPr>
              <w:t>Podpora za pogodbe za nedoločen čas z doktorskimi raziskovalci v okviru FCT-Tenure in podpora raziskovalcem v okviru ERC na Portugalskem</w:t>
            </w:r>
          </w:p>
        </w:tc>
      </w:tr>
      <w:tr w:rsidR="00F24946" w14:paraId="00F72F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1BDB7D" w14:textId="77777777" w:rsidR="00F24946" w:rsidRDefault="00613B06">
            <w:pPr>
              <w:pStyle w:val="P68B1DB1-Normal23"/>
              <w:spacing w:after="0"/>
              <w:jc w:val="center"/>
              <w:rPr>
                <w:rFonts w:eastAsia="Calibri" w:cs="Calibri"/>
                <w:noProof/>
              </w:rPr>
            </w:pPr>
            <w:r>
              <w:rPr>
                <w:noProof/>
              </w:rPr>
              <w:t>6.20</w:t>
            </w:r>
          </w:p>
        </w:tc>
        <w:tc>
          <w:tcPr>
            <w:tcW w:w="1760" w:type="dxa"/>
            <w:tcBorders>
              <w:top w:val="nil"/>
              <w:left w:val="nil"/>
              <w:bottom w:val="single" w:sz="4" w:space="0" w:color="auto"/>
              <w:right w:val="single" w:sz="4" w:space="0" w:color="auto"/>
            </w:tcBorders>
            <w:shd w:val="clear" w:color="auto" w:fill="C4EFCE"/>
            <w:vAlign w:val="center"/>
            <w:hideMark/>
          </w:tcPr>
          <w:p w14:paraId="2AC011E5" w14:textId="77777777" w:rsidR="00F24946" w:rsidRDefault="00613B06">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257B3C9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3D0EBEA" w14:textId="77777777" w:rsidR="00F24946" w:rsidRDefault="00613B06">
            <w:pPr>
              <w:pStyle w:val="P68B1DB1-Normal23"/>
              <w:spacing w:after="0"/>
              <w:jc w:val="both"/>
              <w:rPr>
                <w:rFonts w:eastAsia="Calibri" w:cs="Calibri"/>
                <w:noProof/>
              </w:rPr>
            </w:pPr>
            <w:r>
              <w:rPr>
                <w:noProof/>
              </w:rPr>
              <w:t>Mednarodna partnerstva na področju znanosti, tehnologije in inovacij: Podprta mednarodna partnerstva; Podprti projekti na področju raziskav in inovacij; Podprta mednarodna mobilnost</w:t>
            </w:r>
          </w:p>
        </w:tc>
      </w:tr>
      <w:tr w:rsidR="00F24946" w14:paraId="1808226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D9898C" w14:textId="77777777" w:rsidR="00F24946" w:rsidRDefault="00613B06">
            <w:pPr>
              <w:pStyle w:val="P68B1DB1-Normal23"/>
              <w:spacing w:after="0"/>
              <w:jc w:val="center"/>
              <w:rPr>
                <w:rFonts w:eastAsia="Calibri" w:cs="Calibri"/>
                <w:noProof/>
              </w:rPr>
            </w:pPr>
            <w:r>
              <w:rPr>
                <w:noProof/>
              </w:rPr>
              <w:t>6.21</w:t>
            </w:r>
          </w:p>
        </w:tc>
        <w:tc>
          <w:tcPr>
            <w:tcW w:w="1760" w:type="dxa"/>
            <w:tcBorders>
              <w:top w:val="nil"/>
              <w:left w:val="nil"/>
              <w:bottom w:val="single" w:sz="4" w:space="0" w:color="auto"/>
              <w:right w:val="single" w:sz="4" w:space="0" w:color="auto"/>
            </w:tcBorders>
            <w:shd w:val="clear" w:color="auto" w:fill="C4EFCE"/>
            <w:vAlign w:val="center"/>
            <w:hideMark/>
          </w:tcPr>
          <w:p w14:paraId="257E7C2E" w14:textId="77777777" w:rsidR="00F24946" w:rsidRDefault="00613B06">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006EB82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29BA4A5" w14:textId="2E25EB52" w:rsidR="00F24946" w:rsidRDefault="00613B06">
            <w:pPr>
              <w:pStyle w:val="P68B1DB1-Normal23"/>
              <w:spacing w:after="0"/>
              <w:jc w:val="both"/>
              <w:rPr>
                <w:rFonts w:eastAsia="Calibri" w:cs="Calibri"/>
                <w:noProof/>
              </w:rPr>
            </w:pPr>
            <w:r>
              <w:rPr>
                <w:noProof/>
              </w:rPr>
              <w:t>Tehnološka in digitalna posodobitev kmetijskih ved: Reforma učnih načrtov za kmetijske vede, odprtje kmetijskih šol srednješolcem in preusposabljanje strokovnjakov</w:t>
            </w:r>
          </w:p>
        </w:tc>
      </w:tr>
      <w:tr w:rsidR="00F24946" w14:paraId="2CF11C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1D7A14" w14:textId="77777777" w:rsidR="00F24946" w:rsidRDefault="00613B06">
            <w:pPr>
              <w:pStyle w:val="P68B1DB1-Normal23"/>
              <w:spacing w:after="0"/>
              <w:jc w:val="center"/>
              <w:rPr>
                <w:rFonts w:eastAsia="Calibri" w:cs="Calibri"/>
                <w:noProof/>
              </w:rPr>
            </w:pPr>
            <w:r>
              <w:rPr>
                <w:noProof/>
              </w:rPr>
              <w:t>6.22</w:t>
            </w:r>
          </w:p>
        </w:tc>
        <w:tc>
          <w:tcPr>
            <w:tcW w:w="1760" w:type="dxa"/>
            <w:tcBorders>
              <w:top w:val="nil"/>
              <w:left w:val="nil"/>
              <w:bottom w:val="single" w:sz="4" w:space="0" w:color="auto"/>
              <w:right w:val="single" w:sz="4" w:space="0" w:color="auto"/>
            </w:tcBorders>
            <w:shd w:val="clear" w:color="auto" w:fill="C4EFCE"/>
            <w:vAlign w:val="center"/>
            <w:hideMark/>
          </w:tcPr>
          <w:p w14:paraId="04E119E0" w14:textId="77777777" w:rsidR="00F24946" w:rsidRDefault="00613B06">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4AAA5A3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543139" w14:textId="77777777" w:rsidR="00F24946" w:rsidRDefault="00613B06">
            <w:pPr>
              <w:pStyle w:val="P68B1DB1-Normal23"/>
              <w:spacing w:after="0"/>
              <w:jc w:val="both"/>
              <w:rPr>
                <w:rFonts w:eastAsia="Calibri" w:cs="Calibri"/>
                <w:noProof/>
              </w:rPr>
            </w:pPr>
            <w:r>
              <w:rPr>
                <w:noProof/>
              </w:rPr>
              <w:t>Posodobitev medicine</w:t>
            </w:r>
          </w:p>
        </w:tc>
      </w:tr>
      <w:tr w:rsidR="00F24946" w14:paraId="59F233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DEDDDF" w14:textId="77777777" w:rsidR="00F24946" w:rsidRDefault="00613B06">
            <w:pPr>
              <w:pStyle w:val="P68B1DB1-Normal23"/>
              <w:spacing w:after="0"/>
              <w:jc w:val="center"/>
              <w:rPr>
                <w:rFonts w:eastAsia="Calibri" w:cs="Calibri"/>
                <w:noProof/>
              </w:rPr>
            </w:pPr>
            <w:r>
              <w:rPr>
                <w:noProof/>
              </w:rPr>
              <w:t>6.23</w:t>
            </w:r>
          </w:p>
        </w:tc>
        <w:tc>
          <w:tcPr>
            <w:tcW w:w="1760" w:type="dxa"/>
            <w:tcBorders>
              <w:top w:val="nil"/>
              <w:left w:val="nil"/>
              <w:bottom w:val="single" w:sz="4" w:space="0" w:color="auto"/>
              <w:right w:val="single" w:sz="4" w:space="0" w:color="auto"/>
            </w:tcBorders>
            <w:shd w:val="clear" w:color="auto" w:fill="C4EFCE"/>
            <w:vAlign w:val="center"/>
            <w:hideMark/>
          </w:tcPr>
          <w:p w14:paraId="58F29485" w14:textId="77777777" w:rsidR="00F24946" w:rsidRDefault="00613B06">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6D388A5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20AF4F" w14:textId="77777777" w:rsidR="00F24946" w:rsidRDefault="00613B06">
            <w:pPr>
              <w:pStyle w:val="P68B1DB1-Normal23"/>
              <w:spacing w:after="0"/>
              <w:jc w:val="both"/>
              <w:rPr>
                <w:rFonts w:eastAsia="Calibri" w:cs="Calibri"/>
                <w:noProof/>
              </w:rPr>
            </w:pPr>
            <w:r>
              <w:rPr>
                <w:noProof/>
              </w:rPr>
              <w:t>Krepitev digitalnih znanj in spretnosti</w:t>
            </w:r>
          </w:p>
        </w:tc>
      </w:tr>
      <w:tr w:rsidR="00F24946" w14:paraId="4628545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9D7342" w14:textId="77777777" w:rsidR="00F24946" w:rsidRDefault="00613B06">
            <w:pPr>
              <w:pStyle w:val="P68B1DB1-Normal23"/>
              <w:spacing w:after="0"/>
              <w:jc w:val="center"/>
              <w:rPr>
                <w:rFonts w:eastAsia="Calibri" w:cs="Calibri"/>
                <w:noProof/>
              </w:rPr>
            </w:pPr>
            <w:r>
              <w:rPr>
                <w:noProof/>
              </w:rPr>
              <w:t>6.25</w:t>
            </w:r>
          </w:p>
        </w:tc>
        <w:tc>
          <w:tcPr>
            <w:tcW w:w="1760" w:type="dxa"/>
            <w:tcBorders>
              <w:top w:val="nil"/>
              <w:left w:val="nil"/>
              <w:bottom w:val="single" w:sz="4" w:space="0" w:color="auto"/>
              <w:right w:val="single" w:sz="4" w:space="0" w:color="auto"/>
            </w:tcBorders>
            <w:shd w:val="clear" w:color="auto" w:fill="C4EFCE"/>
            <w:vAlign w:val="center"/>
            <w:hideMark/>
          </w:tcPr>
          <w:p w14:paraId="225B7648" w14:textId="77777777" w:rsidR="00F24946" w:rsidRDefault="00613B06">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29D570B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50E32E" w14:textId="77777777" w:rsidR="00F24946" w:rsidRDefault="00613B06">
            <w:pPr>
              <w:pStyle w:val="P68B1DB1-Normal23"/>
              <w:spacing w:after="0"/>
              <w:jc w:val="both"/>
              <w:rPr>
                <w:rFonts w:eastAsia="Calibri" w:cs="Calibri"/>
                <w:noProof/>
              </w:rPr>
            </w:pPr>
            <w:r>
              <w:rPr>
                <w:noProof/>
              </w:rPr>
              <w:t>Inovacije in pedagoška posodobitev v visokem šolstvu</w:t>
            </w:r>
          </w:p>
        </w:tc>
      </w:tr>
      <w:tr w:rsidR="00F24946" w14:paraId="542E2DD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4389EE5" w14:textId="77777777" w:rsidR="00F24946" w:rsidRDefault="00613B06">
            <w:pPr>
              <w:pStyle w:val="P68B1DB1-Normal23"/>
              <w:spacing w:after="0"/>
              <w:jc w:val="center"/>
              <w:rPr>
                <w:rFonts w:eastAsia="Calibri" w:cs="Calibri"/>
                <w:noProof/>
              </w:rPr>
            </w:pPr>
            <w:r>
              <w:rPr>
                <w:noProof/>
              </w:rPr>
              <w:t>6.27</w:t>
            </w:r>
          </w:p>
        </w:tc>
        <w:tc>
          <w:tcPr>
            <w:tcW w:w="1760" w:type="dxa"/>
            <w:tcBorders>
              <w:top w:val="nil"/>
              <w:left w:val="nil"/>
              <w:bottom w:val="single" w:sz="4" w:space="0" w:color="auto"/>
              <w:right w:val="single" w:sz="4" w:space="0" w:color="auto"/>
            </w:tcBorders>
            <w:shd w:val="clear" w:color="auto" w:fill="C4EFCE"/>
            <w:vAlign w:val="center"/>
            <w:hideMark/>
          </w:tcPr>
          <w:p w14:paraId="5B347262" w14:textId="167A3DA3" w:rsidR="00F24946" w:rsidRDefault="00613B06">
            <w:pPr>
              <w:pStyle w:val="P68B1DB1-Normal23"/>
              <w:spacing w:after="0"/>
              <w:jc w:val="center"/>
              <w:rPr>
                <w:rFonts w:eastAsia="Calibri" w:cs="Calibri"/>
                <w:noProof/>
              </w:rPr>
            </w:pPr>
            <w:r>
              <w:rPr>
                <w:noProof/>
              </w:rPr>
              <w:t>Re-C06-i08-RAM</w:t>
            </w:r>
          </w:p>
        </w:tc>
        <w:tc>
          <w:tcPr>
            <w:tcW w:w="1520" w:type="dxa"/>
            <w:tcBorders>
              <w:top w:val="nil"/>
              <w:left w:val="nil"/>
              <w:bottom w:val="single" w:sz="4" w:space="0" w:color="auto"/>
              <w:right w:val="single" w:sz="4" w:space="0" w:color="auto"/>
            </w:tcBorders>
            <w:shd w:val="clear" w:color="auto" w:fill="C4EFCE"/>
            <w:vAlign w:val="center"/>
            <w:hideMark/>
          </w:tcPr>
          <w:p w14:paraId="0615067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FA626DF" w14:textId="77777777" w:rsidR="00F24946" w:rsidRDefault="00613B06">
            <w:pPr>
              <w:pStyle w:val="P68B1DB1-Normal23"/>
              <w:spacing w:after="0"/>
              <w:jc w:val="both"/>
              <w:rPr>
                <w:rFonts w:eastAsia="Calibri" w:cs="Calibri"/>
                <w:noProof/>
              </w:rPr>
            </w:pPr>
            <w:r>
              <w:rPr>
                <w:noProof/>
              </w:rPr>
              <w:t>Končana dela za razširitev stavbe CITMA</w:t>
            </w:r>
          </w:p>
        </w:tc>
      </w:tr>
      <w:tr w:rsidR="00F24946" w14:paraId="22766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AA0D863" w14:textId="77777777" w:rsidR="00F24946" w:rsidRDefault="00613B06">
            <w:pPr>
              <w:pStyle w:val="P68B1DB1-Normal23"/>
              <w:spacing w:after="0"/>
              <w:jc w:val="center"/>
              <w:rPr>
                <w:rFonts w:eastAsia="Calibri" w:cs="Calibri"/>
                <w:noProof/>
              </w:rPr>
            </w:pPr>
            <w:r>
              <w:rPr>
                <w:noProof/>
              </w:rPr>
              <w:t>7.15</w:t>
            </w:r>
          </w:p>
        </w:tc>
        <w:tc>
          <w:tcPr>
            <w:tcW w:w="1760" w:type="dxa"/>
            <w:tcBorders>
              <w:top w:val="nil"/>
              <w:left w:val="nil"/>
              <w:bottom w:val="single" w:sz="4" w:space="0" w:color="auto"/>
              <w:right w:val="single" w:sz="4" w:space="0" w:color="auto"/>
            </w:tcBorders>
            <w:shd w:val="clear" w:color="auto" w:fill="C4EFCE"/>
            <w:vAlign w:val="center"/>
            <w:hideMark/>
          </w:tcPr>
          <w:p w14:paraId="579A148C" w14:textId="77777777" w:rsidR="00F24946" w:rsidRDefault="00613B06">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4D131CB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4295B7" w14:textId="77777777" w:rsidR="00F24946" w:rsidRDefault="00613B06">
            <w:pPr>
              <w:pStyle w:val="P68B1DB1-Normal23"/>
              <w:spacing w:after="0"/>
              <w:jc w:val="both"/>
              <w:rPr>
                <w:rFonts w:eastAsia="Calibri" w:cs="Calibri"/>
                <w:noProof/>
              </w:rPr>
            </w:pPr>
            <w:r>
              <w:rPr>
                <w:noProof/>
              </w:rPr>
              <w:t>Zgrajene ali obnovljene ceste</w:t>
            </w:r>
          </w:p>
        </w:tc>
      </w:tr>
      <w:tr w:rsidR="00F24946" w14:paraId="718FC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7A7A1F" w14:textId="77777777" w:rsidR="00F24946" w:rsidRDefault="00613B06">
            <w:pPr>
              <w:pStyle w:val="P68B1DB1-Normal23"/>
              <w:spacing w:after="0"/>
              <w:jc w:val="center"/>
              <w:rPr>
                <w:rFonts w:eastAsia="Calibri" w:cs="Calibri"/>
                <w:noProof/>
              </w:rPr>
            </w:pPr>
            <w:r>
              <w:rPr>
                <w:noProof/>
              </w:rPr>
              <w:t>9.2</w:t>
            </w:r>
          </w:p>
        </w:tc>
        <w:tc>
          <w:tcPr>
            <w:tcW w:w="1760" w:type="dxa"/>
            <w:tcBorders>
              <w:top w:val="nil"/>
              <w:left w:val="nil"/>
              <w:bottom w:val="single" w:sz="4" w:space="0" w:color="auto"/>
              <w:right w:val="single" w:sz="4" w:space="0" w:color="auto"/>
            </w:tcBorders>
            <w:shd w:val="clear" w:color="auto" w:fill="C4EFCE"/>
            <w:vAlign w:val="center"/>
            <w:hideMark/>
          </w:tcPr>
          <w:p w14:paraId="59ABCBA1" w14:textId="77777777" w:rsidR="00F24946" w:rsidRDefault="00613B06">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2EAFCD8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96DBA45" w14:textId="77777777" w:rsidR="00F24946" w:rsidRDefault="00613B06">
            <w:pPr>
              <w:pStyle w:val="P68B1DB1-Normal23"/>
              <w:spacing w:after="0"/>
              <w:jc w:val="both"/>
              <w:rPr>
                <w:rFonts w:eastAsia="Calibri" w:cs="Calibri"/>
                <w:noProof/>
              </w:rPr>
            </w:pPr>
            <w:r>
              <w:rPr>
                <w:noProof/>
              </w:rPr>
              <w:t>Dokončanje omrežnih posegov za zmanjšanje izgub vode (SM1)</w:t>
            </w:r>
          </w:p>
        </w:tc>
      </w:tr>
      <w:tr w:rsidR="00F24946" w14:paraId="37AC4E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E10FD" w14:textId="77777777" w:rsidR="00F24946" w:rsidRDefault="00613B06">
            <w:pPr>
              <w:pStyle w:val="P68B1DB1-Normal23"/>
              <w:spacing w:after="0"/>
              <w:jc w:val="center"/>
              <w:rPr>
                <w:rFonts w:eastAsia="Calibri" w:cs="Calibri"/>
                <w:noProof/>
              </w:rPr>
            </w:pPr>
            <w:r>
              <w:rPr>
                <w:noProof/>
              </w:rPr>
              <w:t>9.3</w:t>
            </w:r>
          </w:p>
        </w:tc>
        <w:tc>
          <w:tcPr>
            <w:tcW w:w="1760" w:type="dxa"/>
            <w:tcBorders>
              <w:top w:val="nil"/>
              <w:left w:val="nil"/>
              <w:bottom w:val="single" w:sz="4" w:space="0" w:color="auto"/>
              <w:right w:val="single" w:sz="4" w:space="0" w:color="auto"/>
            </w:tcBorders>
            <w:shd w:val="clear" w:color="auto" w:fill="C4EFCE"/>
            <w:vAlign w:val="center"/>
            <w:hideMark/>
          </w:tcPr>
          <w:p w14:paraId="237E8E0F" w14:textId="77777777" w:rsidR="00F24946" w:rsidRDefault="00613B06">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91C884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A3DEEE" w14:textId="77777777" w:rsidR="00F24946" w:rsidRDefault="00613B06">
            <w:pPr>
              <w:pStyle w:val="P68B1DB1-Normal23"/>
              <w:spacing w:after="0"/>
              <w:jc w:val="both"/>
              <w:rPr>
                <w:rFonts w:eastAsia="Calibri" w:cs="Calibri"/>
                <w:noProof/>
              </w:rPr>
            </w:pPr>
            <w:r>
              <w:rPr>
                <w:noProof/>
              </w:rPr>
              <w:t>Posodobitev zemljišč za skupno vodno-kmetijsko rabo in individualno namakanje (SM2)</w:t>
            </w:r>
          </w:p>
        </w:tc>
      </w:tr>
      <w:tr w:rsidR="00F24946" w14:paraId="6F7B77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5D3E67" w14:textId="77777777" w:rsidR="00F24946" w:rsidRDefault="00613B06">
            <w:pPr>
              <w:pStyle w:val="P68B1DB1-Normal23"/>
              <w:spacing w:after="0"/>
              <w:jc w:val="center"/>
              <w:rPr>
                <w:rFonts w:eastAsia="Calibri" w:cs="Calibri"/>
                <w:noProof/>
              </w:rPr>
            </w:pPr>
            <w:r>
              <w:rPr>
                <w:noProof/>
              </w:rPr>
              <w:t>9.4</w:t>
            </w:r>
          </w:p>
        </w:tc>
        <w:tc>
          <w:tcPr>
            <w:tcW w:w="1760" w:type="dxa"/>
            <w:tcBorders>
              <w:top w:val="nil"/>
              <w:left w:val="nil"/>
              <w:bottom w:val="single" w:sz="4" w:space="0" w:color="auto"/>
              <w:right w:val="single" w:sz="4" w:space="0" w:color="auto"/>
            </w:tcBorders>
            <w:shd w:val="clear" w:color="auto" w:fill="C4EFCE"/>
            <w:vAlign w:val="center"/>
            <w:hideMark/>
          </w:tcPr>
          <w:p w14:paraId="5C2FE0DD" w14:textId="77777777" w:rsidR="00F24946" w:rsidRDefault="00613B06">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33D26A42"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33600" w14:textId="77777777" w:rsidR="00F24946" w:rsidRDefault="00613B06">
            <w:pPr>
              <w:pStyle w:val="P68B1DB1-Normal23"/>
              <w:spacing w:after="0"/>
              <w:jc w:val="both"/>
              <w:rPr>
                <w:rFonts w:eastAsia="Calibri" w:cs="Calibri"/>
                <w:noProof/>
              </w:rPr>
            </w:pPr>
            <w:r>
              <w:rPr>
                <w:noProof/>
              </w:rPr>
              <w:t>Število čistilnih naprav za zagotavljanje proizvodnje in rafiniranja očiščene odpadne vode (SM4)</w:t>
            </w:r>
          </w:p>
        </w:tc>
      </w:tr>
      <w:tr w:rsidR="00F24946" w14:paraId="1D13C9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A5C54B" w14:textId="77777777" w:rsidR="00F24946" w:rsidRDefault="00613B06">
            <w:pPr>
              <w:pStyle w:val="P68B1DB1-Normal23"/>
              <w:spacing w:after="0"/>
              <w:jc w:val="center"/>
              <w:rPr>
                <w:rFonts w:eastAsia="Calibri" w:cs="Calibri"/>
                <w:noProof/>
              </w:rPr>
            </w:pPr>
            <w:r>
              <w:rPr>
                <w:noProof/>
              </w:rPr>
              <w:t>9.6</w:t>
            </w:r>
          </w:p>
        </w:tc>
        <w:tc>
          <w:tcPr>
            <w:tcW w:w="1760" w:type="dxa"/>
            <w:tcBorders>
              <w:top w:val="nil"/>
              <w:left w:val="nil"/>
              <w:bottom w:val="single" w:sz="4" w:space="0" w:color="auto"/>
              <w:right w:val="single" w:sz="4" w:space="0" w:color="auto"/>
            </w:tcBorders>
            <w:shd w:val="clear" w:color="auto" w:fill="C4EFCE"/>
            <w:vAlign w:val="center"/>
            <w:hideMark/>
          </w:tcPr>
          <w:p w14:paraId="688EB844" w14:textId="77777777" w:rsidR="00F24946" w:rsidRDefault="00613B06">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64009CE"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C4FC67" w14:textId="77777777" w:rsidR="00F24946" w:rsidRDefault="00613B06">
            <w:pPr>
              <w:pStyle w:val="P68B1DB1-Normal23"/>
              <w:spacing w:after="0"/>
              <w:jc w:val="both"/>
              <w:rPr>
                <w:rFonts w:eastAsia="Calibri" w:cs="Calibri"/>
                <w:noProof/>
              </w:rPr>
            </w:pPr>
            <w:r>
              <w:rPr>
                <w:noProof/>
              </w:rPr>
              <w:t>Začetek delovanja odvzema na Guadiani, pri čemer se v celoti upoštevajo rezultati in pogoji, določeni v presoji vplivov na okolje (SM5)</w:t>
            </w:r>
          </w:p>
        </w:tc>
      </w:tr>
      <w:tr w:rsidR="00F24946" w14:paraId="00AC9B8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2E6A91" w14:textId="77777777" w:rsidR="00F24946" w:rsidRDefault="00613B06">
            <w:pPr>
              <w:pStyle w:val="P68B1DB1-Normal23"/>
              <w:spacing w:after="0"/>
              <w:jc w:val="center"/>
              <w:rPr>
                <w:rFonts w:eastAsia="Calibri" w:cs="Calibri"/>
                <w:noProof/>
              </w:rPr>
            </w:pPr>
            <w:r>
              <w:rPr>
                <w:noProof/>
              </w:rPr>
              <w:t>9.8</w:t>
            </w:r>
          </w:p>
        </w:tc>
        <w:tc>
          <w:tcPr>
            <w:tcW w:w="1760" w:type="dxa"/>
            <w:tcBorders>
              <w:top w:val="nil"/>
              <w:left w:val="nil"/>
              <w:bottom w:val="single" w:sz="4" w:space="0" w:color="auto"/>
              <w:right w:val="single" w:sz="4" w:space="0" w:color="auto"/>
            </w:tcBorders>
            <w:shd w:val="clear" w:color="auto" w:fill="C4EFCE"/>
            <w:vAlign w:val="center"/>
            <w:hideMark/>
          </w:tcPr>
          <w:p w14:paraId="5EBB0488" w14:textId="77777777" w:rsidR="00F24946" w:rsidRDefault="00613B06">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7A9B6A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4D168C1" w14:textId="0C32D8AF" w:rsidR="00F24946" w:rsidRDefault="00613B06">
            <w:pPr>
              <w:pStyle w:val="P68B1DB1-Normal23"/>
              <w:spacing w:after="0"/>
              <w:jc w:val="both"/>
              <w:rPr>
                <w:rFonts w:eastAsia="Calibri" w:cs="Calibri"/>
                <w:noProof/>
              </w:rPr>
            </w:pPr>
            <w:r>
              <w:rPr>
                <w:noProof/>
              </w:rPr>
              <w:t>Začetek delovanja ukrepa razsoljenja, pri čemer se v celoti upoštevajo rezultati in pogoji, določeni v presoji vplivov na okolje (SM6)</w:t>
            </w:r>
          </w:p>
        </w:tc>
      </w:tr>
      <w:tr w:rsidR="00F24946" w14:paraId="2BDB91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D6E3E7" w14:textId="77777777" w:rsidR="00F24946" w:rsidRDefault="00613B06">
            <w:pPr>
              <w:pStyle w:val="P68B1DB1-Normal23"/>
              <w:spacing w:after="0"/>
              <w:jc w:val="center"/>
              <w:rPr>
                <w:rFonts w:eastAsia="Calibri" w:cs="Calibri"/>
                <w:noProof/>
              </w:rPr>
            </w:pPr>
            <w:r>
              <w:rPr>
                <w:noProof/>
              </w:rPr>
              <w:t>10.10</w:t>
            </w:r>
          </w:p>
        </w:tc>
        <w:tc>
          <w:tcPr>
            <w:tcW w:w="1760" w:type="dxa"/>
            <w:tcBorders>
              <w:top w:val="nil"/>
              <w:left w:val="nil"/>
              <w:bottom w:val="single" w:sz="4" w:space="0" w:color="auto"/>
              <w:right w:val="single" w:sz="4" w:space="0" w:color="auto"/>
            </w:tcBorders>
            <w:shd w:val="clear" w:color="auto" w:fill="C4EFCE"/>
            <w:vAlign w:val="center"/>
            <w:hideMark/>
          </w:tcPr>
          <w:p w14:paraId="66F203A9" w14:textId="77777777" w:rsidR="00F24946" w:rsidRDefault="00613B06">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6D83619A"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44450C5" w14:textId="77777777" w:rsidR="00F24946" w:rsidRDefault="00613B06">
            <w:pPr>
              <w:pStyle w:val="P68B1DB1-Normal23"/>
              <w:spacing w:after="0"/>
              <w:jc w:val="both"/>
              <w:rPr>
                <w:rFonts w:eastAsia="Calibri" w:cs="Calibri"/>
                <w:noProof/>
              </w:rPr>
            </w:pPr>
            <w:r>
              <w:rPr>
                <w:noProof/>
              </w:rPr>
              <w:t xml:space="preserve">Operacionalizacija eksperimentalnega raziskovalnega in razvojnega centra, povezanega z morjem na Azorih (središče MARTEC) </w:t>
            </w:r>
          </w:p>
        </w:tc>
      </w:tr>
      <w:tr w:rsidR="00F24946" w14:paraId="12909A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610000" w14:textId="77777777" w:rsidR="00F24946" w:rsidRDefault="00613B06">
            <w:pPr>
              <w:pStyle w:val="P68B1DB1-Normal23"/>
              <w:spacing w:after="0"/>
              <w:jc w:val="center"/>
              <w:rPr>
                <w:rFonts w:eastAsia="Calibri" w:cs="Calibri"/>
                <w:noProof/>
              </w:rPr>
            </w:pPr>
            <w:r>
              <w:rPr>
                <w:noProof/>
              </w:rPr>
              <w:t>10.11</w:t>
            </w:r>
          </w:p>
        </w:tc>
        <w:tc>
          <w:tcPr>
            <w:tcW w:w="1760" w:type="dxa"/>
            <w:tcBorders>
              <w:top w:val="nil"/>
              <w:left w:val="nil"/>
              <w:bottom w:val="single" w:sz="4" w:space="0" w:color="auto"/>
              <w:right w:val="single" w:sz="4" w:space="0" w:color="auto"/>
            </w:tcBorders>
            <w:shd w:val="clear" w:color="auto" w:fill="C4EFCE"/>
            <w:vAlign w:val="center"/>
            <w:hideMark/>
          </w:tcPr>
          <w:p w14:paraId="2149C41D" w14:textId="77777777" w:rsidR="00F24946" w:rsidRDefault="00613B06">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5F54449"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D495D64" w14:textId="77777777" w:rsidR="00F24946" w:rsidRDefault="00613B06">
            <w:pPr>
              <w:pStyle w:val="P68B1DB1-Normal23"/>
              <w:spacing w:after="0"/>
              <w:jc w:val="both"/>
              <w:rPr>
                <w:rFonts w:eastAsia="Calibri" w:cs="Calibri"/>
                <w:noProof/>
              </w:rPr>
            </w:pPr>
            <w:r>
              <w:rPr>
                <w:noProof/>
              </w:rPr>
              <w:t>Dobava dveh modulov za novo raziskovalno plovilo</w:t>
            </w:r>
          </w:p>
        </w:tc>
      </w:tr>
      <w:tr w:rsidR="00F24946" w14:paraId="58CCDB4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70AF37" w14:textId="77777777" w:rsidR="00F24946" w:rsidRDefault="00613B06">
            <w:pPr>
              <w:pStyle w:val="P68B1DB1-Normal23"/>
              <w:spacing w:after="0"/>
              <w:jc w:val="center"/>
              <w:rPr>
                <w:rFonts w:eastAsia="Calibri" w:cs="Calibri"/>
                <w:noProof/>
              </w:rPr>
            </w:pPr>
            <w:r>
              <w:rPr>
                <w:noProof/>
              </w:rPr>
              <w:t>10.12</w:t>
            </w:r>
          </w:p>
        </w:tc>
        <w:tc>
          <w:tcPr>
            <w:tcW w:w="1760" w:type="dxa"/>
            <w:tcBorders>
              <w:top w:val="nil"/>
              <w:left w:val="nil"/>
              <w:bottom w:val="single" w:sz="4" w:space="0" w:color="auto"/>
              <w:right w:val="single" w:sz="4" w:space="0" w:color="auto"/>
            </w:tcBorders>
            <w:shd w:val="clear" w:color="auto" w:fill="C4EFCE"/>
            <w:vAlign w:val="center"/>
            <w:hideMark/>
          </w:tcPr>
          <w:p w14:paraId="0DFEBA2F" w14:textId="77777777" w:rsidR="00F24946" w:rsidRDefault="00613B06">
            <w:pPr>
              <w:pStyle w:val="P68B1DB1-Normal23"/>
              <w:spacing w:after="0"/>
              <w:jc w:val="center"/>
              <w:rPr>
                <w:rFonts w:eastAsia="Calibri" w:cs="Calibri"/>
                <w:noProof/>
              </w:rPr>
            </w:pPr>
            <w:r>
              <w:rPr>
                <w:noProof/>
              </w:rPr>
              <w:t>TC-C10-i05-RAA</w:t>
            </w:r>
          </w:p>
        </w:tc>
        <w:tc>
          <w:tcPr>
            <w:tcW w:w="1520" w:type="dxa"/>
            <w:tcBorders>
              <w:top w:val="nil"/>
              <w:left w:val="nil"/>
              <w:bottom w:val="single" w:sz="4" w:space="0" w:color="auto"/>
              <w:right w:val="single" w:sz="4" w:space="0" w:color="auto"/>
            </w:tcBorders>
            <w:shd w:val="clear" w:color="auto" w:fill="C4EFCE"/>
            <w:vAlign w:val="center"/>
            <w:hideMark/>
          </w:tcPr>
          <w:p w14:paraId="0039517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F68158" w14:textId="77777777" w:rsidR="00F24946" w:rsidRDefault="00613B06">
            <w:pPr>
              <w:pStyle w:val="P68B1DB1-Normal23"/>
              <w:spacing w:after="0"/>
              <w:jc w:val="both"/>
              <w:rPr>
                <w:rFonts w:eastAsia="Calibri" w:cs="Calibri"/>
                <w:noProof/>
              </w:rPr>
            </w:pPr>
            <w:r>
              <w:rPr>
                <w:noProof/>
              </w:rPr>
              <w:t xml:space="preserve">Zaključek projektov v sektorju ribištva in akvakulture </w:t>
            </w:r>
          </w:p>
        </w:tc>
      </w:tr>
      <w:tr w:rsidR="00F24946" w14:paraId="675CEDE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604C72C" w14:textId="77777777" w:rsidR="00F24946" w:rsidRDefault="00613B06">
            <w:pPr>
              <w:pStyle w:val="P68B1DB1-Normal23"/>
              <w:spacing w:after="0"/>
              <w:jc w:val="center"/>
              <w:rPr>
                <w:rFonts w:eastAsia="Calibri" w:cs="Calibri"/>
                <w:noProof/>
              </w:rPr>
            </w:pPr>
            <w:r>
              <w:rPr>
                <w:noProof/>
              </w:rPr>
              <w:t>10.14</w:t>
            </w:r>
          </w:p>
        </w:tc>
        <w:tc>
          <w:tcPr>
            <w:tcW w:w="1760" w:type="dxa"/>
            <w:tcBorders>
              <w:top w:val="nil"/>
              <w:left w:val="nil"/>
              <w:bottom w:val="single" w:sz="4" w:space="0" w:color="auto"/>
              <w:right w:val="single" w:sz="4" w:space="0" w:color="auto"/>
            </w:tcBorders>
            <w:shd w:val="clear" w:color="auto" w:fill="C4EFCE"/>
            <w:vAlign w:val="center"/>
            <w:hideMark/>
          </w:tcPr>
          <w:p w14:paraId="4059CC69" w14:textId="77777777" w:rsidR="00F24946" w:rsidRDefault="00613B06">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5003A16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6549ECD" w14:textId="77777777" w:rsidR="00F24946" w:rsidRDefault="00613B06">
            <w:pPr>
              <w:pStyle w:val="P68B1DB1-Normal23"/>
              <w:spacing w:after="0"/>
              <w:jc w:val="both"/>
              <w:rPr>
                <w:rFonts w:eastAsia="Calibri" w:cs="Calibri"/>
                <w:noProof/>
              </w:rPr>
            </w:pPr>
            <w:r>
              <w:rPr>
                <w:noProof/>
              </w:rPr>
              <w:t>Dobava energetsko učinkovitega večnamenskega raziskovalnega plovila</w:t>
            </w:r>
          </w:p>
        </w:tc>
      </w:tr>
      <w:tr w:rsidR="00F24946" w14:paraId="782F16D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1F58B5" w14:textId="77777777" w:rsidR="00F24946" w:rsidRDefault="00613B06">
            <w:pPr>
              <w:pStyle w:val="P68B1DB1-Normal23"/>
              <w:spacing w:after="0"/>
              <w:jc w:val="center"/>
              <w:rPr>
                <w:rFonts w:eastAsia="Calibri" w:cs="Calibri"/>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149B14E3" w14:textId="77777777" w:rsidR="00F24946" w:rsidRDefault="00613B06">
            <w:pPr>
              <w:pStyle w:val="P68B1DB1-Normal23"/>
              <w:spacing w:after="0"/>
              <w:jc w:val="center"/>
              <w:rPr>
                <w:rFonts w:eastAsia="Calibri" w:cs="Calibri"/>
                <w:noProof/>
              </w:rPr>
            </w:pPr>
            <w:r>
              <w:rPr>
                <w:noProof/>
              </w:rPr>
              <w:t>TC-C14-i01</w:t>
            </w:r>
          </w:p>
        </w:tc>
        <w:tc>
          <w:tcPr>
            <w:tcW w:w="1520" w:type="dxa"/>
            <w:tcBorders>
              <w:top w:val="nil"/>
              <w:left w:val="nil"/>
              <w:bottom w:val="single" w:sz="4" w:space="0" w:color="auto"/>
              <w:right w:val="single" w:sz="4" w:space="0" w:color="auto"/>
            </w:tcBorders>
            <w:shd w:val="clear" w:color="auto" w:fill="C4EFCE"/>
            <w:vAlign w:val="center"/>
            <w:hideMark/>
          </w:tcPr>
          <w:p w14:paraId="1C7D092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3D40777" w14:textId="77777777" w:rsidR="00F24946" w:rsidRDefault="00613B06">
            <w:pPr>
              <w:pStyle w:val="P68B1DB1-Normal23"/>
              <w:spacing w:after="0"/>
              <w:jc w:val="both"/>
              <w:rPr>
                <w:rFonts w:eastAsia="Calibri" w:cs="Calibri"/>
                <w:noProof/>
              </w:rPr>
            </w:pPr>
            <w:r>
              <w:rPr>
                <w:noProof/>
              </w:rPr>
              <w:t>Dodatna zmogljivost za proizvodnjo obnovljivega vodika in obnovljivega plina</w:t>
            </w:r>
          </w:p>
        </w:tc>
      </w:tr>
      <w:tr w:rsidR="00F24946" w14:paraId="6E3719A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C92FF" w14:textId="77777777" w:rsidR="00F24946" w:rsidRDefault="00613B06">
            <w:pPr>
              <w:pStyle w:val="P68B1DB1-Normal23"/>
              <w:spacing w:after="0"/>
              <w:jc w:val="center"/>
              <w:rPr>
                <w:rFonts w:eastAsia="Calibri" w:cs="Calibri"/>
                <w:noProof/>
              </w:rPr>
            </w:pPr>
            <w:r>
              <w:rPr>
                <w:noProof/>
              </w:rPr>
              <w:t>14.11</w:t>
            </w:r>
          </w:p>
        </w:tc>
        <w:tc>
          <w:tcPr>
            <w:tcW w:w="1760" w:type="dxa"/>
            <w:tcBorders>
              <w:top w:val="nil"/>
              <w:left w:val="nil"/>
              <w:bottom w:val="single" w:sz="4" w:space="0" w:color="auto"/>
              <w:right w:val="single" w:sz="4" w:space="0" w:color="auto"/>
            </w:tcBorders>
            <w:shd w:val="clear" w:color="auto" w:fill="C4EFCE"/>
            <w:vAlign w:val="center"/>
            <w:hideMark/>
          </w:tcPr>
          <w:p w14:paraId="48F00665" w14:textId="77777777" w:rsidR="00F24946" w:rsidRDefault="00613B06">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3B322EA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F348DF8" w14:textId="77777777" w:rsidR="00F24946" w:rsidRDefault="00613B06">
            <w:pPr>
              <w:pStyle w:val="P68B1DB1-Normal23"/>
              <w:spacing w:after="0"/>
              <w:jc w:val="both"/>
              <w:rPr>
                <w:rFonts w:eastAsia="Calibri" w:cs="Calibri"/>
                <w:noProof/>
              </w:rPr>
            </w:pPr>
            <w:r>
              <w:rPr>
                <w:noProof/>
              </w:rPr>
              <w:t>Dodatna in obnovljena inštalirana geotermalna proizvodna zmogljivost</w:t>
            </w:r>
          </w:p>
        </w:tc>
      </w:tr>
      <w:tr w:rsidR="00F24946" w14:paraId="5FD819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F8B68" w14:textId="77777777" w:rsidR="00F24946" w:rsidRDefault="00613B06">
            <w:pPr>
              <w:pStyle w:val="P68B1DB1-Normal23"/>
              <w:spacing w:after="0"/>
              <w:jc w:val="center"/>
              <w:rPr>
                <w:rFonts w:eastAsia="Calibri" w:cs="Calibri"/>
                <w:noProof/>
              </w:rPr>
            </w:pPr>
            <w:r>
              <w:rPr>
                <w:noProof/>
              </w:rPr>
              <w:t>14.13</w:t>
            </w:r>
          </w:p>
        </w:tc>
        <w:tc>
          <w:tcPr>
            <w:tcW w:w="1760" w:type="dxa"/>
            <w:tcBorders>
              <w:top w:val="nil"/>
              <w:left w:val="nil"/>
              <w:bottom w:val="single" w:sz="4" w:space="0" w:color="auto"/>
              <w:right w:val="single" w:sz="4" w:space="0" w:color="auto"/>
            </w:tcBorders>
            <w:shd w:val="clear" w:color="auto" w:fill="C4EFCE"/>
            <w:vAlign w:val="center"/>
            <w:hideMark/>
          </w:tcPr>
          <w:p w14:paraId="64F40519" w14:textId="77777777" w:rsidR="00F24946" w:rsidRDefault="00613B06">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007474A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AB61EA" w14:textId="77777777" w:rsidR="00F24946" w:rsidRDefault="00613B06">
            <w:pPr>
              <w:pStyle w:val="P68B1DB1-Normal23"/>
              <w:spacing w:after="0"/>
              <w:jc w:val="both"/>
              <w:rPr>
                <w:rFonts w:eastAsia="Calibri" w:cs="Calibri"/>
                <w:noProof/>
              </w:rPr>
            </w:pPr>
            <w:r>
              <w:rPr>
                <w:noProof/>
              </w:rPr>
              <w:t>Novi baterijski sistemi za shranjevanje energije in sistemi upravljanja z energijo v ARA</w:t>
            </w:r>
          </w:p>
        </w:tc>
      </w:tr>
      <w:tr w:rsidR="00F24946" w14:paraId="3D2D7C2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5885B6" w14:textId="77777777" w:rsidR="00F24946" w:rsidRDefault="00613B06">
            <w:pPr>
              <w:pStyle w:val="P68B1DB1-Normal23"/>
              <w:spacing w:after="0"/>
              <w:jc w:val="center"/>
              <w:rPr>
                <w:rFonts w:eastAsia="Calibri" w:cs="Calibri"/>
                <w:noProof/>
              </w:rPr>
            </w:pPr>
            <w:r>
              <w:rPr>
                <w:noProof/>
              </w:rPr>
              <w:t>15.3</w:t>
            </w:r>
          </w:p>
        </w:tc>
        <w:tc>
          <w:tcPr>
            <w:tcW w:w="1760" w:type="dxa"/>
            <w:tcBorders>
              <w:top w:val="nil"/>
              <w:left w:val="nil"/>
              <w:bottom w:val="single" w:sz="4" w:space="0" w:color="auto"/>
              <w:right w:val="single" w:sz="4" w:space="0" w:color="auto"/>
            </w:tcBorders>
            <w:shd w:val="clear" w:color="auto" w:fill="C4EFCE"/>
            <w:vAlign w:val="center"/>
            <w:hideMark/>
          </w:tcPr>
          <w:p w14:paraId="5F0E4652" w14:textId="77777777" w:rsidR="00F24946" w:rsidRDefault="00613B06">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41ACA24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D9D0D7" w14:textId="77777777" w:rsidR="00F24946" w:rsidRDefault="00613B06">
            <w:pPr>
              <w:pStyle w:val="P68B1DB1-Normal23"/>
              <w:spacing w:after="0"/>
              <w:jc w:val="both"/>
              <w:rPr>
                <w:rFonts w:eastAsia="Calibri" w:cs="Calibri"/>
                <w:noProof/>
              </w:rPr>
            </w:pPr>
            <w:r>
              <w:rPr>
                <w:noProof/>
              </w:rPr>
              <w:t>Dokončana širitev lizbonskega omrežja Metro</w:t>
            </w:r>
          </w:p>
        </w:tc>
      </w:tr>
      <w:tr w:rsidR="00F24946" w14:paraId="7EB0F83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501D3C5" w14:textId="77777777" w:rsidR="00F24946" w:rsidRDefault="00613B06">
            <w:pPr>
              <w:pStyle w:val="P68B1DB1-Normal23"/>
              <w:spacing w:after="0"/>
              <w:jc w:val="center"/>
              <w:rPr>
                <w:rFonts w:eastAsia="Calibri" w:cs="Calibri"/>
                <w:noProof/>
              </w:rPr>
            </w:pPr>
            <w:r>
              <w:rPr>
                <w:noProof/>
              </w:rPr>
              <w:t>15.6</w:t>
            </w:r>
          </w:p>
        </w:tc>
        <w:tc>
          <w:tcPr>
            <w:tcW w:w="1760" w:type="dxa"/>
            <w:tcBorders>
              <w:top w:val="nil"/>
              <w:left w:val="nil"/>
              <w:bottom w:val="single" w:sz="4" w:space="0" w:color="auto"/>
              <w:right w:val="single" w:sz="4" w:space="0" w:color="auto"/>
            </w:tcBorders>
            <w:shd w:val="clear" w:color="auto" w:fill="C4EFCE"/>
            <w:vAlign w:val="center"/>
            <w:hideMark/>
          </w:tcPr>
          <w:p w14:paraId="0225E4FE" w14:textId="77777777" w:rsidR="00F24946" w:rsidRDefault="00613B06">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02CE8F2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955E14C" w14:textId="77777777" w:rsidR="00F24946" w:rsidRDefault="00613B06">
            <w:pPr>
              <w:pStyle w:val="P68B1DB1-Normal23"/>
              <w:spacing w:after="0"/>
              <w:jc w:val="both"/>
              <w:rPr>
                <w:rFonts w:eastAsia="Calibri" w:cs="Calibri"/>
                <w:noProof/>
              </w:rPr>
            </w:pPr>
            <w:r>
              <w:rPr>
                <w:noProof/>
              </w:rPr>
              <w:t>Dokončana širitev omrežja podzemne železnice Porto</w:t>
            </w:r>
          </w:p>
        </w:tc>
      </w:tr>
      <w:tr w:rsidR="00F24946" w14:paraId="312282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2E7552" w14:textId="77777777" w:rsidR="00F24946" w:rsidRDefault="00613B06">
            <w:pPr>
              <w:pStyle w:val="P68B1DB1-Normal23"/>
              <w:spacing w:after="0"/>
              <w:jc w:val="center"/>
              <w:rPr>
                <w:rFonts w:eastAsia="Calibri" w:cs="Calibri"/>
                <w:noProof/>
              </w:rPr>
            </w:pPr>
            <w:r>
              <w:rPr>
                <w:noProof/>
              </w:rPr>
              <w:t>15.16</w:t>
            </w:r>
          </w:p>
        </w:tc>
        <w:tc>
          <w:tcPr>
            <w:tcW w:w="1760" w:type="dxa"/>
            <w:tcBorders>
              <w:top w:val="nil"/>
              <w:left w:val="nil"/>
              <w:bottom w:val="single" w:sz="4" w:space="0" w:color="auto"/>
              <w:right w:val="single" w:sz="4" w:space="0" w:color="auto"/>
            </w:tcBorders>
            <w:shd w:val="clear" w:color="auto" w:fill="C4EFCE"/>
            <w:vAlign w:val="center"/>
            <w:hideMark/>
          </w:tcPr>
          <w:p w14:paraId="1F57BF01" w14:textId="77777777" w:rsidR="00F24946" w:rsidRDefault="00613B06">
            <w:pPr>
              <w:pStyle w:val="P68B1DB1-Normal23"/>
              <w:spacing w:after="0"/>
              <w:jc w:val="center"/>
              <w:rPr>
                <w:rFonts w:eastAsia="Calibri" w:cs="Calibri"/>
                <w:noProof/>
              </w:rPr>
            </w:pPr>
            <w:r>
              <w:rPr>
                <w:noProof/>
              </w:rPr>
              <w:t>TC-C15-i06</w:t>
            </w:r>
          </w:p>
        </w:tc>
        <w:tc>
          <w:tcPr>
            <w:tcW w:w="1520" w:type="dxa"/>
            <w:tcBorders>
              <w:top w:val="nil"/>
              <w:left w:val="nil"/>
              <w:bottom w:val="single" w:sz="4" w:space="0" w:color="auto"/>
              <w:right w:val="single" w:sz="4" w:space="0" w:color="auto"/>
            </w:tcBorders>
            <w:shd w:val="clear" w:color="auto" w:fill="C4EFCE"/>
            <w:vAlign w:val="center"/>
            <w:hideMark/>
          </w:tcPr>
          <w:p w14:paraId="044758A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2045CC" w14:textId="77777777" w:rsidR="00F24946" w:rsidRDefault="00613B06">
            <w:pPr>
              <w:pStyle w:val="P68B1DB1-Normal23"/>
              <w:spacing w:after="0"/>
              <w:jc w:val="both"/>
              <w:rPr>
                <w:rFonts w:eastAsia="Calibri" w:cs="Calibri"/>
                <w:noProof/>
              </w:rPr>
            </w:pPr>
            <w:r>
              <w:rPr>
                <w:noProof/>
              </w:rPr>
              <w:t>Železniške proge z zamenjanimi sistemi elektronske signalizacije</w:t>
            </w:r>
          </w:p>
        </w:tc>
      </w:tr>
      <w:tr w:rsidR="00F24946" w14:paraId="702497F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52F7C6" w14:textId="525B27D9" w:rsidR="00F24946" w:rsidRDefault="00613B06">
            <w:pPr>
              <w:pStyle w:val="P68B1DB1-Normal23"/>
              <w:spacing w:after="0"/>
              <w:jc w:val="center"/>
              <w:rPr>
                <w:rFonts w:eastAsia="Calibri" w:cs="Calibri"/>
                <w:noProof/>
              </w:rPr>
            </w:pPr>
            <w:r>
              <w:rPr>
                <w:noProof/>
              </w:rPr>
              <w:t>16.18</w:t>
            </w:r>
          </w:p>
        </w:tc>
        <w:tc>
          <w:tcPr>
            <w:tcW w:w="1760" w:type="dxa"/>
            <w:tcBorders>
              <w:top w:val="nil"/>
              <w:left w:val="nil"/>
              <w:bottom w:val="single" w:sz="4" w:space="0" w:color="auto"/>
              <w:right w:val="single" w:sz="4" w:space="0" w:color="auto"/>
            </w:tcBorders>
            <w:shd w:val="clear" w:color="auto" w:fill="C4EFCE"/>
            <w:vAlign w:val="center"/>
          </w:tcPr>
          <w:p w14:paraId="1DF82366" w14:textId="0E1489C0" w:rsidR="00F24946" w:rsidRDefault="00613B06">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tcPr>
          <w:p w14:paraId="5372C9EF" w14:textId="44F53D0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5B9B368" w14:textId="0F330AD1" w:rsidR="00F24946" w:rsidRDefault="00613B06">
            <w:pPr>
              <w:pStyle w:val="P68B1DB1-Normal23"/>
              <w:spacing w:after="0"/>
              <w:jc w:val="both"/>
              <w:rPr>
                <w:rFonts w:eastAsia="Calibri" w:cs="Calibri"/>
                <w:noProof/>
              </w:rPr>
            </w:pPr>
            <w:r>
              <w:rPr>
                <w:noProof/>
              </w:rPr>
              <w:t>Število projektov, podprtih v okviru sistema spodbud za digitalni prehod podjetij</w:t>
            </w:r>
          </w:p>
        </w:tc>
      </w:tr>
      <w:tr w:rsidR="00F24946" w14:paraId="51C61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E69F07" w14:textId="77777777" w:rsidR="00F24946" w:rsidRDefault="00613B06">
            <w:pPr>
              <w:pStyle w:val="P68B1DB1-Normal23"/>
              <w:spacing w:after="0"/>
              <w:jc w:val="center"/>
              <w:rPr>
                <w:rFonts w:eastAsia="Calibri" w:cs="Calibri"/>
                <w:noProof/>
              </w:rPr>
            </w:pPr>
            <w:r>
              <w:rPr>
                <w:noProof/>
              </w:rPr>
              <w:t>16.19</w:t>
            </w:r>
          </w:p>
        </w:tc>
        <w:tc>
          <w:tcPr>
            <w:tcW w:w="1760" w:type="dxa"/>
            <w:tcBorders>
              <w:top w:val="nil"/>
              <w:left w:val="nil"/>
              <w:bottom w:val="single" w:sz="4" w:space="0" w:color="auto"/>
              <w:right w:val="single" w:sz="4" w:space="0" w:color="auto"/>
            </w:tcBorders>
            <w:shd w:val="clear" w:color="auto" w:fill="C4EFCE"/>
            <w:vAlign w:val="center"/>
            <w:hideMark/>
          </w:tcPr>
          <w:p w14:paraId="116F9920" w14:textId="147B6CDA" w:rsidR="00F24946" w:rsidRDefault="00613B06">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hideMark/>
          </w:tcPr>
          <w:p w14:paraId="01522257"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FC228C" w14:textId="77777777" w:rsidR="00F24946" w:rsidRDefault="00613B06">
            <w:pPr>
              <w:pStyle w:val="P68B1DB1-Normal23"/>
              <w:spacing w:after="0"/>
              <w:jc w:val="both"/>
              <w:rPr>
                <w:rFonts w:eastAsia="Calibri" w:cs="Calibri"/>
                <w:noProof/>
              </w:rPr>
            </w:pPr>
            <w:r>
              <w:rPr>
                <w:noProof/>
              </w:rPr>
              <w:t>Znanstveni in tehnološki parki, razširjeni ali opremljeni</w:t>
            </w:r>
          </w:p>
        </w:tc>
      </w:tr>
      <w:tr w:rsidR="00F24946" w14:paraId="2CA2E8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8D8219" w14:textId="77777777" w:rsidR="00F24946" w:rsidRDefault="00613B06">
            <w:pPr>
              <w:pStyle w:val="P68B1DB1-Normal23"/>
              <w:spacing w:after="0"/>
              <w:jc w:val="center"/>
              <w:rPr>
                <w:rFonts w:eastAsia="Calibri" w:cs="Calibri"/>
                <w:noProof/>
              </w:rPr>
            </w:pPr>
            <w:r>
              <w:rPr>
                <w:noProof/>
              </w:rPr>
              <w:t>17.13</w:t>
            </w:r>
          </w:p>
        </w:tc>
        <w:tc>
          <w:tcPr>
            <w:tcW w:w="1760" w:type="dxa"/>
            <w:tcBorders>
              <w:top w:val="nil"/>
              <w:left w:val="nil"/>
              <w:bottom w:val="single" w:sz="4" w:space="0" w:color="auto"/>
              <w:right w:val="single" w:sz="4" w:space="0" w:color="auto"/>
            </w:tcBorders>
            <w:shd w:val="clear" w:color="auto" w:fill="C4EFCE"/>
            <w:vAlign w:val="center"/>
            <w:hideMark/>
          </w:tcPr>
          <w:p w14:paraId="27C4D240" w14:textId="77777777" w:rsidR="00F24946" w:rsidRDefault="00613B06">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44C29A9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8B0AB27" w14:textId="77777777" w:rsidR="00F24946" w:rsidRDefault="00613B06">
            <w:pPr>
              <w:pStyle w:val="P68B1DB1-Normal23"/>
              <w:spacing w:after="0"/>
              <w:jc w:val="both"/>
              <w:rPr>
                <w:rFonts w:eastAsia="Calibri" w:cs="Calibri"/>
                <w:noProof/>
              </w:rPr>
            </w:pPr>
            <w:r>
              <w:rPr>
                <w:noProof/>
              </w:rPr>
              <w:t>Zaključek izvajanja Sistema de Gestão de Património Imobiliário Público (SIGPIP) in posodobitve informacijskih sistemov za vozila v državni lasti</w:t>
            </w:r>
          </w:p>
        </w:tc>
      </w:tr>
      <w:tr w:rsidR="00F24946" w14:paraId="17F0D9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B9E321" w14:textId="77777777" w:rsidR="00F24946" w:rsidRDefault="00613B06">
            <w:pPr>
              <w:pStyle w:val="P68B1DB1-Normal23"/>
              <w:spacing w:after="0"/>
              <w:jc w:val="center"/>
              <w:rPr>
                <w:rFonts w:eastAsia="Calibri" w:cs="Calibri"/>
                <w:noProof/>
              </w:rPr>
            </w:pPr>
            <w:r>
              <w:rPr>
                <w:noProof/>
              </w:rPr>
              <w:t>17.25</w:t>
            </w:r>
          </w:p>
        </w:tc>
        <w:tc>
          <w:tcPr>
            <w:tcW w:w="1760" w:type="dxa"/>
            <w:tcBorders>
              <w:top w:val="nil"/>
              <w:left w:val="nil"/>
              <w:bottom w:val="single" w:sz="4" w:space="0" w:color="auto"/>
              <w:right w:val="single" w:sz="4" w:space="0" w:color="auto"/>
            </w:tcBorders>
            <w:shd w:val="clear" w:color="auto" w:fill="C4EFCE"/>
            <w:vAlign w:val="center"/>
            <w:hideMark/>
          </w:tcPr>
          <w:p w14:paraId="764B0F33" w14:textId="482904A7" w:rsidR="00F24946" w:rsidRDefault="00613B06">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389309C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BEB9645" w14:textId="77777777" w:rsidR="00F24946" w:rsidRDefault="00613B06">
            <w:pPr>
              <w:pStyle w:val="P68B1DB1-Normal23"/>
              <w:spacing w:after="0"/>
              <w:jc w:val="both"/>
              <w:rPr>
                <w:rFonts w:eastAsia="Calibri" w:cs="Calibri"/>
                <w:noProof/>
              </w:rPr>
            </w:pPr>
            <w:r>
              <w:rPr>
                <w:noProof/>
              </w:rPr>
              <w:t>Začetek veljavnosti pravnega akta o davkih – ugodnosti</w:t>
            </w:r>
          </w:p>
        </w:tc>
      </w:tr>
      <w:tr w:rsidR="00F24946" w14:paraId="3C4237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E7A1BE" w14:textId="77777777" w:rsidR="00F24946" w:rsidRDefault="00613B06">
            <w:pPr>
              <w:pStyle w:val="P68B1DB1-Normal23"/>
              <w:spacing w:after="0"/>
              <w:jc w:val="center"/>
              <w:rPr>
                <w:rFonts w:eastAsia="Calibri" w:cs="Calibri"/>
                <w:noProof/>
              </w:rPr>
            </w:pPr>
            <w:r>
              <w:rPr>
                <w:noProof/>
              </w:rPr>
              <w:t>19.2</w:t>
            </w:r>
          </w:p>
        </w:tc>
        <w:tc>
          <w:tcPr>
            <w:tcW w:w="1760" w:type="dxa"/>
            <w:tcBorders>
              <w:top w:val="nil"/>
              <w:left w:val="nil"/>
              <w:bottom w:val="single" w:sz="4" w:space="0" w:color="auto"/>
              <w:right w:val="single" w:sz="4" w:space="0" w:color="auto"/>
            </w:tcBorders>
            <w:shd w:val="clear" w:color="auto" w:fill="C4EFCE"/>
            <w:vAlign w:val="center"/>
            <w:hideMark/>
          </w:tcPr>
          <w:p w14:paraId="0A34BFE8" w14:textId="77777777" w:rsidR="00F24946" w:rsidRDefault="00613B06">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24B2DE8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0ECFAE" w14:textId="77777777" w:rsidR="00F24946" w:rsidRDefault="00613B06">
            <w:pPr>
              <w:pStyle w:val="P68B1DB1-Normal23"/>
              <w:spacing w:after="0"/>
              <w:jc w:val="both"/>
              <w:rPr>
                <w:rFonts w:eastAsia="Calibri" w:cs="Calibri"/>
                <w:noProof/>
              </w:rPr>
            </w:pPr>
            <w:r>
              <w:rPr>
                <w:noProof/>
              </w:rPr>
              <w:t>Javne storitve, ki so na voljo na poenostavljen in skladen način prek različnih kanalov</w:t>
            </w:r>
          </w:p>
        </w:tc>
      </w:tr>
      <w:tr w:rsidR="00F24946" w14:paraId="30CE9A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60BB9A" w14:textId="77777777" w:rsidR="00F24946" w:rsidRDefault="00613B06">
            <w:pPr>
              <w:pStyle w:val="P68B1DB1-Normal23"/>
              <w:spacing w:after="0"/>
              <w:jc w:val="center"/>
              <w:rPr>
                <w:rFonts w:eastAsia="Calibri" w:cs="Calibri"/>
                <w:noProof/>
              </w:rPr>
            </w:pPr>
            <w:r>
              <w:rPr>
                <w:noProof/>
              </w:rPr>
              <w:t>19.3</w:t>
            </w:r>
          </w:p>
        </w:tc>
        <w:tc>
          <w:tcPr>
            <w:tcW w:w="1760" w:type="dxa"/>
            <w:tcBorders>
              <w:top w:val="nil"/>
              <w:left w:val="nil"/>
              <w:bottom w:val="single" w:sz="4" w:space="0" w:color="auto"/>
              <w:right w:val="single" w:sz="4" w:space="0" w:color="auto"/>
            </w:tcBorders>
            <w:shd w:val="clear" w:color="auto" w:fill="C4EFCE"/>
            <w:vAlign w:val="center"/>
            <w:hideMark/>
          </w:tcPr>
          <w:p w14:paraId="4109E567" w14:textId="77777777" w:rsidR="00F24946" w:rsidRDefault="00613B06">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33B26DD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F2BDD1D" w14:textId="77777777" w:rsidR="00F24946" w:rsidRDefault="00613B06">
            <w:pPr>
              <w:pStyle w:val="P68B1DB1-Normal23"/>
              <w:spacing w:after="0"/>
              <w:jc w:val="both"/>
              <w:rPr>
                <w:rFonts w:eastAsia="Calibri" w:cs="Calibri"/>
                <w:noProof/>
              </w:rPr>
            </w:pPr>
            <w:r>
              <w:rPr>
                <w:noProof/>
              </w:rPr>
              <w:t>Vzpostavljen nov model konzularnega upravljanja</w:t>
            </w:r>
          </w:p>
        </w:tc>
      </w:tr>
      <w:tr w:rsidR="00F24946" w14:paraId="33DF1D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172D3C" w14:textId="77777777" w:rsidR="00F24946" w:rsidRDefault="00613B06">
            <w:pPr>
              <w:pStyle w:val="P68B1DB1-Normal23"/>
              <w:spacing w:after="0"/>
              <w:jc w:val="center"/>
              <w:rPr>
                <w:rFonts w:eastAsia="Calibri" w:cs="Calibri"/>
                <w:noProof/>
              </w:rPr>
            </w:pPr>
            <w:r>
              <w:rPr>
                <w:noProof/>
              </w:rPr>
              <w:t>19.5</w:t>
            </w:r>
          </w:p>
        </w:tc>
        <w:tc>
          <w:tcPr>
            <w:tcW w:w="1760" w:type="dxa"/>
            <w:tcBorders>
              <w:top w:val="nil"/>
              <w:left w:val="nil"/>
              <w:bottom w:val="single" w:sz="4" w:space="0" w:color="auto"/>
              <w:right w:val="single" w:sz="4" w:space="0" w:color="auto"/>
            </w:tcBorders>
            <w:shd w:val="clear" w:color="auto" w:fill="C4EFCE"/>
            <w:vAlign w:val="center"/>
            <w:hideMark/>
          </w:tcPr>
          <w:p w14:paraId="712F0553" w14:textId="77777777" w:rsidR="00F24946" w:rsidRDefault="00613B06">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33EC39A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6C0A98" w14:textId="77777777" w:rsidR="00F24946" w:rsidRDefault="00613B06">
            <w:pPr>
              <w:pStyle w:val="P68B1DB1-Normal23"/>
              <w:spacing w:after="0"/>
              <w:jc w:val="both"/>
              <w:rPr>
                <w:rFonts w:eastAsia="Calibri" w:cs="Calibri"/>
                <w:noProof/>
              </w:rPr>
            </w:pPr>
            <w:r>
              <w:rPr>
                <w:noProof/>
              </w:rPr>
              <w:t>Javne storitve, ki so varno dostopne z elektronsko identiteto in spoštujejo načelo „samo enkrat“</w:t>
            </w:r>
          </w:p>
        </w:tc>
      </w:tr>
      <w:tr w:rsidR="00F24946" w14:paraId="1C29A3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8208A8" w14:textId="77777777" w:rsidR="00F24946" w:rsidRDefault="00613B06">
            <w:pPr>
              <w:pStyle w:val="P68B1DB1-Normal23"/>
              <w:spacing w:after="0"/>
              <w:jc w:val="center"/>
              <w:rPr>
                <w:rFonts w:eastAsia="Calibri" w:cs="Calibri"/>
                <w:noProof/>
              </w:rPr>
            </w:pPr>
            <w:r>
              <w:rPr>
                <w:noProof/>
              </w:rPr>
              <w:t>19.6</w:t>
            </w:r>
          </w:p>
        </w:tc>
        <w:tc>
          <w:tcPr>
            <w:tcW w:w="1760" w:type="dxa"/>
            <w:tcBorders>
              <w:top w:val="nil"/>
              <w:left w:val="nil"/>
              <w:bottom w:val="single" w:sz="4" w:space="0" w:color="auto"/>
              <w:right w:val="single" w:sz="4" w:space="0" w:color="auto"/>
            </w:tcBorders>
            <w:shd w:val="clear" w:color="auto" w:fill="C4EFCE"/>
            <w:vAlign w:val="center"/>
            <w:hideMark/>
          </w:tcPr>
          <w:p w14:paraId="4492DF36" w14:textId="77777777" w:rsidR="00F24946" w:rsidRDefault="00613B06">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5189EDB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7149D1" w14:textId="77777777" w:rsidR="00F24946" w:rsidRDefault="00613B06">
            <w:pPr>
              <w:pStyle w:val="P68B1DB1-Normal23"/>
              <w:spacing w:after="0"/>
              <w:jc w:val="both"/>
              <w:rPr>
                <w:rFonts w:eastAsia="Calibri" w:cs="Calibri"/>
                <w:noProof/>
              </w:rPr>
            </w:pPr>
            <w:r>
              <w:rPr>
                <w:noProof/>
              </w:rPr>
              <w:t>Teritorialna informacijska infrastruktura</w:t>
            </w:r>
          </w:p>
        </w:tc>
      </w:tr>
      <w:tr w:rsidR="00F24946" w14:paraId="30AE8A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7537A4" w14:textId="77777777" w:rsidR="00F24946" w:rsidRDefault="00613B06">
            <w:pPr>
              <w:pStyle w:val="P68B1DB1-Normal23"/>
              <w:spacing w:after="0"/>
              <w:jc w:val="center"/>
              <w:rPr>
                <w:rFonts w:eastAsia="Calibri" w:cs="Calibri"/>
                <w:noProof/>
              </w:rPr>
            </w:pPr>
            <w:r>
              <w:rPr>
                <w:noProof/>
              </w:rPr>
              <w:t>19.7</w:t>
            </w:r>
          </w:p>
        </w:tc>
        <w:tc>
          <w:tcPr>
            <w:tcW w:w="1760" w:type="dxa"/>
            <w:tcBorders>
              <w:top w:val="nil"/>
              <w:left w:val="nil"/>
              <w:bottom w:val="single" w:sz="4" w:space="0" w:color="auto"/>
              <w:right w:val="single" w:sz="4" w:space="0" w:color="auto"/>
            </w:tcBorders>
            <w:shd w:val="clear" w:color="auto" w:fill="C4EFCE"/>
            <w:vAlign w:val="center"/>
            <w:hideMark/>
          </w:tcPr>
          <w:p w14:paraId="1FE43E03" w14:textId="77777777" w:rsidR="00F24946" w:rsidRDefault="00613B06">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122BABBF"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6869C5" w14:textId="77777777" w:rsidR="00F24946" w:rsidRDefault="00613B06">
            <w:pPr>
              <w:pStyle w:val="P68B1DB1-Normal23"/>
              <w:spacing w:after="0"/>
              <w:jc w:val="both"/>
              <w:rPr>
                <w:rFonts w:eastAsia="Calibri" w:cs="Calibri"/>
                <w:noProof/>
              </w:rPr>
            </w:pPr>
            <w:r>
              <w:rPr>
                <w:noProof/>
              </w:rPr>
              <w:t>Usposabljanje strokovnjakov za IT za krepitev zmogljivosti na področju kibernetske varnosti in informacijske varnosti</w:t>
            </w:r>
          </w:p>
        </w:tc>
      </w:tr>
      <w:tr w:rsidR="00F24946" w14:paraId="1999A62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47034" w14:textId="77777777" w:rsidR="00F24946" w:rsidRDefault="00613B06">
            <w:pPr>
              <w:pStyle w:val="P68B1DB1-Normal23"/>
              <w:spacing w:after="0"/>
              <w:jc w:val="center"/>
              <w:rPr>
                <w:rFonts w:eastAsia="Calibri" w:cs="Calibri"/>
                <w:noProof/>
              </w:rPr>
            </w:pPr>
            <w:r>
              <w:rPr>
                <w:noProof/>
              </w:rPr>
              <w:t>19.8</w:t>
            </w:r>
          </w:p>
        </w:tc>
        <w:tc>
          <w:tcPr>
            <w:tcW w:w="1760" w:type="dxa"/>
            <w:tcBorders>
              <w:top w:val="nil"/>
              <w:left w:val="nil"/>
              <w:bottom w:val="single" w:sz="4" w:space="0" w:color="auto"/>
              <w:right w:val="single" w:sz="4" w:space="0" w:color="auto"/>
            </w:tcBorders>
            <w:shd w:val="clear" w:color="auto" w:fill="C4EFCE"/>
            <w:vAlign w:val="center"/>
            <w:hideMark/>
          </w:tcPr>
          <w:p w14:paraId="32214705" w14:textId="77777777" w:rsidR="00F24946" w:rsidRDefault="00613B06">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41AE534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BD70B5" w14:textId="77777777" w:rsidR="00F24946" w:rsidRDefault="00613B06">
            <w:pPr>
              <w:pStyle w:val="P68B1DB1-Normal23"/>
              <w:spacing w:after="0"/>
              <w:jc w:val="both"/>
              <w:rPr>
                <w:rFonts w:eastAsia="Calibri" w:cs="Calibri"/>
                <w:noProof/>
              </w:rPr>
            </w:pPr>
            <w:r>
              <w:rPr>
                <w:noProof/>
              </w:rPr>
              <w:t>Sprejetje portugalske kriptografske rešitve s strani javnih organov</w:t>
            </w:r>
          </w:p>
        </w:tc>
      </w:tr>
      <w:tr w:rsidR="00F24946" w14:paraId="441991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87C3D7" w14:textId="77777777" w:rsidR="00F24946" w:rsidRDefault="00613B06">
            <w:pPr>
              <w:pStyle w:val="P68B1DB1-Normal23"/>
              <w:spacing w:after="0"/>
              <w:jc w:val="center"/>
              <w:rPr>
                <w:rFonts w:eastAsia="Calibri" w:cs="Calibri"/>
                <w:noProof/>
              </w:rPr>
            </w:pPr>
            <w:r>
              <w:rPr>
                <w:noProof/>
              </w:rPr>
              <w:t>19.9</w:t>
            </w:r>
          </w:p>
        </w:tc>
        <w:tc>
          <w:tcPr>
            <w:tcW w:w="1760" w:type="dxa"/>
            <w:tcBorders>
              <w:top w:val="nil"/>
              <w:left w:val="nil"/>
              <w:bottom w:val="single" w:sz="4" w:space="0" w:color="auto"/>
              <w:right w:val="single" w:sz="4" w:space="0" w:color="auto"/>
            </w:tcBorders>
            <w:shd w:val="clear" w:color="auto" w:fill="C4EFCE"/>
            <w:vAlign w:val="center"/>
            <w:hideMark/>
          </w:tcPr>
          <w:p w14:paraId="1170E640" w14:textId="77777777" w:rsidR="00F24946" w:rsidRDefault="00613B06">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333DE23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1D38D1" w14:textId="77777777" w:rsidR="00F24946" w:rsidRDefault="00613B06">
            <w:pPr>
              <w:pStyle w:val="P68B1DB1-Normal23"/>
              <w:spacing w:after="0"/>
              <w:jc w:val="both"/>
              <w:rPr>
                <w:rFonts w:eastAsia="Calibri" w:cs="Calibri"/>
                <w:noProof/>
              </w:rPr>
            </w:pPr>
            <w:r>
              <w:rPr>
                <w:noProof/>
              </w:rPr>
              <w:t>Izvajanje nacionalnega okvira za kibernetsko varnost</w:t>
            </w:r>
          </w:p>
        </w:tc>
      </w:tr>
      <w:tr w:rsidR="00F24946" w14:paraId="07AB23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DD90FD" w14:textId="77777777" w:rsidR="00F24946" w:rsidRDefault="00613B06">
            <w:pPr>
              <w:pStyle w:val="P68B1DB1-Normal23"/>
              <w:spacing w:after="0"/>
              <w:jc w:val="center"/>
              <w:rPr>
                <w:rFonts w:eastAsia="Calibri" w:cs="Calibri"/>
                <w:noProof/>
              </w:rPr>
            </w:pPr>
            <w:r>
              <w:rPr>
                <w:noProof/>
              </w:rPr>
              <w:t>19.10</w:t>
            </w:r>
          </w:p>
        </w:tc>
        <w:tc>
          <w:tcPr>
            <w:tcW w:w="1760" w:type="dxa"/>
            <w:tcBorders>
              <w:top w:val="nil"/>
              <w:left w:val="nil"/>
              <w:bottom w:val="single" w:sz="4" w:space="0" w:color="auto"/>
              <w:right w:val="single" w:sz="4" w:space="0" w:color="auto"/>
            </w:tcBorders>
            <w:shd w:val="clear" w:color="auto" w:fill="C4EFCE"/>
            <w:vAlign w:val="center"/>
            <w:hideMark/>
          </w:tcPr>
          <w:p w14:paraId="060FEC6A" w14:textId="77777777" w:rsidR="00F24946" w:rsidRDefault="00613B06">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2BED625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E1A606" w14:textId="77777777" w:rsidR="00F24946" w:rsidRDefault="00613B06">
            <w:pPr>
              <w:pStyle w:val="P68B1DB1-Normal23"/>
              <w:spacing w:after="0"/>
              <w:jc w:val="both"/>
              <w:rPr>
                <w:rFonts w:eastAsia="Calibri" w:cs="Calibri"/>
                <w:noProof/>
              </w:rPr>
            </w:pPr>
            <w:r>
              <w:rPr>
                <w:noProof/>
              </w:rPr>
              <w:t>Zaključek gradnje organov za kibernetsko varnost in informacijsko varnost</w:t>
            </w:r>
          </w:p>
        </w:tc>
      </w:tr>
      <w:tr w:rsidR="00F24946" w14:paraId="760DEC5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8D01BA" w14:textId="77777777" w:rsidR="00F24946" w:rsidRDefault="00613B06">
            <w:pPr>
              <w:pStyle w:val="P68B1DB1-Normal23"/>
              <w:spacing w:after="0"/>
              <w:jc w:val="center"/>
              <w:rPr>
                <w:rFonts w:eastAsia="Calibri" w:cs="Calibri"/>
                <w:noProof/>
              </w:rPr>
            </w:pPr>
            <w:r>
              <w:rPr>
                <w:noProof/>
              </w:rPr>
              <w:t>19.15</w:t>
            </w:r>
          </w:p>
        </w:tc>
        <w:tc>
          <w:tcPr>
            <w:tcW w:w="1760" w:type="dxa"/>
            <w:tcBorders>
              <w:top w:val="nil"/>
              <w:left w:val="nil"/>
              <w:bottom w:val="single" w:sz="4" w:space="0" w:color="auto"/>
              <w:right w:val="single" w:sz="4" w:space="0" w:color="auto"/>
            </w:tcBorders>
            <w:shd w:val="clear" w:color="auto" w:fill="C4EFCE"/>
            <w:vAlign w:val="center"/>
            <w:hideMark/>
          </w:tcPr>
          <w:p w14:paraId="7B8807DF" w14:textId="77777777" w:rsidR="00F24946" w:rsidRDefault="00613B06">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2CA2E4E8"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0346B88" w14:textId="77777777" w:rsidR="00F24946" w:rsidRDefault="00613B06">
            <w:pPr>
              <w:pStyle w:val="P68B1DB1-Normal23"/>
              <w:spacing w:after="0"/>
              <w:jc w:val="both"/>
              <w:rPr>
                <w:rFonts w:eastAsia="Calibri" w:cs="Calibri"/>
                <w:noProof/>
              </w:rPr>
            </w:pPr>
            <w:r>
              <w:rPr>
                <w:noProof/>
              </w:rPr>
              <w:t>Okrepitev vladnega centra za upravljanje informacijskih omrežij (RING)</w:t>
            </w:r>
          </w:p>
        </w:tc>
      </w:tr>
      <w:tr w:rsidR="00F24946" w14:paraId="792CC6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2FA3D7" w14:textId="77777777" w:rsidR="00F24946" w:rsidRDefault="00613B06">
            <w:pPr>
              <w:pStyle w:val="P68B1DB1-Normal23"/>
              <w:spacing w:after="0"/>
              <w:jc w:val="center"/>
              <w:rPr>
                <w:rFonts w:eastAsia="Calibri" w:cs="Calibri"/>
                <w:noProof/>
              </w:rPr>
            </w:pPr>
            <w:r>
              <w:rPr>
                <w:noProof/>
              </w:rPr>
              <w:t>19.21</w:t>
            </w:r>
          </w:p>
        </w:tc>
        <w:tc>
          <w:tcPr>
            <w:tcW w:w="1760" w:type="dxa"/>
            <w:tcBorders>
              <w:top w:val="nil"/>
              <w:left w:val="nil"/>
              <w:bottom w:val="single" w:sz="4" w:space="0" w:color="auto"/>
              <w:right w:val="single" w:sz="4" w:space="0" w:color="auto"/>
            </w:tcBorders>
            <w:shd w:val="clear" w:color="auto" w:fill="C4EFCE"/>
            <w:vAlign w:val="center"/>
            <w:hideMark/>
          </w:tcPr>
          <w:p w14:paraId="31AD2AD3" w14:textId="77777777" w:rsidR="00F24946" w:rsidRDefault="00613B06">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5B50B19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B934D6" w14:textId="77777777" w:rsidR="00F24946" w:rsidRDefault="00613B06">
            <w:pPr>
              <w:pStyle w:val="P68B1DB1-Normal23"/>
              <w:spacing w:after="0"/>
              <w:jc w:val="both"/>
              <w:rPr>
                <w:rFonts w:eastAsia="Calibri" w:cs="Calibri"/>
                <w:noProof/>
              </w:rPr>
            </w:pPr>
            <w:r>
              <w:rPr>
                <w:noProof/>
              </w:rPr>
              <w:t>Usposabljanje zaposlenih v javni upravi</w:t>
            </w:r>
          </w:p>
        </w:tc>
      </w:tr>
      <w:tr w:rsidR="00F24946" w14:paraId="4D1F4A1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D407EF" w14:textId="77777777" w:rsidR="00F24946" w:rsidRDefault="00613B06">
            <w:pPr>
              <w:pStyle w:val="P68B1DB1-Normal23"/>
              <w:spacing w:after="0"/>
              <w:jc w:val="center"/>
              <w:rPr>
                <w:rFonts w:eastAsia="Calibri" w:cs="Calibri"/>
                <w:noProof/>
              </w:rPr>
            </w:pPr>
            <w:r>
              <w:rPr>
                <w:noProof/>
              </w:rPr>
              <w:t>19.26</w:t>
            </w:r>
          </w:p>
        </w:tc>
        <w:tc>
          <w:tcPr>
            <w:tcW w:w="1760" w:type="dxa"/>
            <w:tcBorders>
              <w:top w:val="nil"/>
              <w:left w:val="nil"/>
              <w:bottom w:val="single" w:sz="4" w:space="0" w:color="auto"/>
              <w:right w:val="single" w:sz="4" w:space="0" w:color="auto"/>
            </w:tcBorders>
            <w:shd w:val="clear" w:color="auto" w:fill="C4EFCE"/>
            <w:vAlign w:val="center"/>
            <w:hideMark/>
          </w:tcPr>
          <w:p w14:paraId="724124BA" w14:textId="77777777" w:rsidR="00F24946" w:rsidRDefault="00613B06">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482AE9A8"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52B610" w14:textId="0A982997" w:rsidR="00F24946" w:rsidRDefault="00613B06">
            <w:pPr>
              <w:pStyle w:val="P68B1DB1-Normal23"/>
              <w:spacing w:after="0"/>
              <w:jc w:val="both"/>
              <w:rPr>
                <w:rFonts w:eastAsia="Calibri" w:cs="Calibri"/>
                <w:noProof/>
              </w:rPr>
            </w:pPr>
            <w:r>
              <w:rPr>
                <w:noProof/>
              </w:rPr>
              <w:t>Lojas do Cidadão in Espaços cidadão</w:t>
            </w:r>
          </w:p>
        </w:tc>
      </w:tr>
      <w:tr w:rsidR="00F24946" w14:paraId="0A6C160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46A6318" w14:textId="77777777" w:rsidR="00F24946" w:rsidRDefault="00613B06">
            <w:pPr>
              <w:pStyle w:val="P68B1DB1-Normal23"/>
              <w:spacing w:after="0"/>
              <w:jc w:val="center"/>
              <w:rPr>
                <w:rFonts w:eastAsia="Calibri" w:cs="Calibri"/>
                <w:noProof/>
              </w:rPr>
            </w:pPr>
            <w:r>
              <w:rPr>
                <w:noProof/>
              </w:rPr>
              <w:t>19.35</w:t>
            </w:r>
          </w:p>
        </w:tc>
        <w:tc>
          <w:tcPr>
            <w:tcW w:w="1760" w:type="dxa"/>
            <w:tcBorders>
              <w:top w:val="nil"/>
              <w:left w:val="nil"/>
              <w:bottom w:val="single" w:sz="4" w:space="0" w:color="auto"/>
              <w:right w:val="single" w:sz="4" w:space="0" w:color="auto"/>
            </w:tcBorders>
            <w:shd w:val="clear" w:color="auto" w:fill="C4EFCE"/>
            <w:vAlign w:val="center"/>
            <w:hideMark/>
          </w:tcPr>
          <w:p w14:paraId="40686A88" w14:textId="77777777" w:rsidR="00F24946" w:rsidRDefault="00613B06">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00CBC2F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0261BB" w14:textId="77777777" w:rsidR="00F24946" w:rsidRDefault="00613B06">
            <w:pPr>
              <w:pStyle w:val="P68B1DB1-Normal23"/>
              <w:spacing w:after="0"/>
              <w:jc w:val="both"/>
              <w:rPr>
                <w:rFonts w:eastAsia="Calibri" w:cs="Calibri"/>
                <w:noProof/>
              </w:rPr>
            </w:pPr>
            <w:r>
              <w:rPr>
                <w:noProof/>
              </w:rPr>
              <w:t>Inteligentna ozemlja: Platforme za upravljanje mest, digitalni dvojčki in pregledna plošča javne politike</w:t>
            </w:r>
          </w:p>
        </w:tc>
      </w:tr>
      <w:tr w:rsidR="00F24946" w14:paraId="680F3C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9600BD" w14:textId="77777777" w:rsidR="00F24946" w:rsidRDefault="00613B06">
            <w:pPr>
              <w:pStyle w:val="P68B1DB1-Normal23"/>
              <w:spacing w:after="0"/>
              <w:jc w:val="center"/>
              <w:rPr>
                <w:rFonts w:eastAsia="Calibri" w:cs="Calibri"/>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8A75452" w14:textId="77777777" w:rsidR="00F24946" w:rsidRDefault="00613B06">
            <w:pPr>
              <w:pStyle w:val="P68B1DB1-Normal23"/>
              <w:spacing w:after="0"/>
              <w:jc w:val="center"/>
              <w:rPr>
                <w:rFonts w:eastAsia="Calibri" w:cs="Calibri"/>
                <w:noProof/>
              </w:rPr>
            </w:pPr>
            <w:r>
              <w:rPr>
                <w:noProof/>
              </w:rPr>
              <w:t>RP-C21-i01</w:t>
            </w:r>
          </w:p>
        </w:tc>
        <w:tc>
          <w:tcPr>
            <w:tcW w:w="1520" w:type="dxa"/>
            <w:tcBorders>
              <w:top w:val="nil"/>
              <w:left w:val="nil"/>
              <w:bottom w:val="single" w:sz="4" w:space="0" w:color="auto"/>
              <w:right w:val="single" w:sz="4" w:space="0" w:color="auto"/>
            </w:tcBorders>
            <w:shd w:val="clear" w:color="auto" w:fill="C4EFCE"/>
            <w:vAlign w:val="center"/>
            <w:hideMark/>
          </w:tcPr>
          <w:p w14:paraId="765AC78B"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A62612" w14:textId="77777777" w:rsidR="00F24946" w:rsidRDefault="00613B06">
            <w:pPr>
              <w:pStyle w:val="P68B1DB1-Normal23"/>
              <w:spacing w:after="0"/>
              <w:jc w:val="both"/>
              <w:rPr>
                <w:rFonts w:eastAsia="Calibri" w:cs="Calibri"/>
                <w:noProof/>
              </w:rPr>
            </w:pPr>
            <w:r>
              <w:rPr>
                <w:noProof/>
              </w:rPr>
              <w:t>Finančna podpora poenostavljenim projektom za razogljičenje industrije</w:t>
            </w:r>
          </w:p>
        </w:tc>
      </w:tr>
      <w:tr w:rsidR="00F24946" w14:paraId="0AB05DD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98C020" w14:textId="77777777" w:rsidR="00F24946" w:rsidRDefault="00613B06">
            <w:pPr>
              <w:pStyle w:val="P68B1DB1-Normal23"/>
              <w:spacing w:after="0"/>
              <w:jc w:val="center"/>
              <w:rPr>
                <w:rFonts w:eastAsia="Calibri" w:cs="Calibri"/>
                <w:noProof/>
              </w:rPr>
            </w:pPr>
            <w:r>
              <w:rPr>
                <w:noProof/>
              </w:rPr>
              <w:t>21.4</w:t>
            </w:r>
          </w:p>
        </w:tc>
        <w:tc>
          <w:tcPr>
            <w:tcW w:w="1760" w:type="dxa"/>
            <w:tcBorders>
              <w:top w:val="nil"/>
              <w:left w:val="nil"/>
              <w:bottom w:val="single" w:sz="4" w:space="0" w:color="auto"/>
              <w:right w:val="single" w:sz="4" w:space="0" w:color="auto"/>
            </w:tcBorders>
            <w:shd w:val="clear" w:color="auto" w:fill="C4EFCE"/>
            <w:vAlign w:val="center"/>
            <w:hideMark/>
          </w:tcPr>
          <w:p w14:paraId="1E0F5355" w14:textId="77777777" w:rsidR="00F24946" w:rsidRDefault="00613B06">
            <w:pPr>
              <w:pStyle w:val="P68B1DB1-Normal23"/>
              <w:spacing w:after="0"/>
              <w:jc w:val="center"/>
              <w:rPr>
                <w:rFonts w:eastAsia="Calibri" w:cs="Calibri"/>
                <w:noProof/>
              </w:rPr>
            </w:pPr>
            <w:r>
              <w:rPr>
                <w:noProof/>
              </w:rPr>
              <w:t>RP-C21-i03</w:t>
            </w:r>
          </w:p>
        </w:tc>
        <w:tc>
          <w:tcPr>
            <w:tcW w:w="1520" w:type="dxa"/>
            <w:tcBorders>
              <w:top w:val="nil"/>
              <w:left w:val="nil"/>
              <w:bottom w:val="single" w:sz="4" w:space="0" w:color="auto"/>
              <w:right w:val="single" w:sz="4" w:space="0" w:color="auto"/>
            </w:tcBorders>
            <w:shd w:val="clear" w:color="auto" w:fill="C4EFCE"/>
            <w:vAlign w:val="center"/>
            <w:hideMark/>
          </w:tcPr>
          <w:p w14:paraId="4CFCB73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0CF8C5" w14:textId="77777777" w:rsidR="00F24946" w:rsidRDefault="00613B06">
            <w:pPr>
              <w:pStyle w:val="P68B1DB1-Normal23"/>
              <w:spacing w:after="0"/>
              <w:jc w:val="both"/>
              <w:rPr>
                <w:rFonts w:eastAsia="Calibri" w:cs="Calibri"/>
                <w:noProof/>
              </w:rPr>
            </w:pPr>
            <w:r>
              <w:rPr>
                <w:noProof/>
              </w:rPr>
              <w:t>Energijska prenova storitvenih stavb</w:t>
            </w:r>
          </w:p>
        </w:tc>
      </w:tr>
      <w:tr w:rsidR="00F24946" w14:paraId="7AE3C13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0D6E8E" w14:textId="77777777" w:rsidR="00F24946" w:rsidRDefault="00613B06">
            <w:pPr>
              <w:pStyle w:val="P68B1DB1-Normal23"/>
              <w:spacing w:after="0"/>
              <w:jc w:val="center"/>
              <w:rPr>
                <w:rFonts w:eastAsia="Calibri" w:cs="Calibri"/>
                <w:noProof/>
              </w:rPr>
            </w:pPr>
            <w:r>
              <w:rPr>
                <w:noProof/>
              </w:rPr>
              <w:t>21.13</w:t>
            </w:r>
          </w:p>
        </w:tc>
        <w:tc>
          <w:tcPr>
            <w:tcW w:w="1760" w:type="dxa"/>
            <w:tcBorders>
              <w:top w:val="nil"/>
              <w:left w:val="nil"/>
              <w:bottom w:val="single" w:sz="4" w:space="0" w:color="auto"/>
              <w:right w:val="single" w:sz="4" w:space="0" w:color="auto"/>
            </w:tcBorders>
            <w:shd w:val="clear" w:color="auto" w:fill="C4EFCE"/>
            <w:vAlign w:val="center"/>
            <w:hideMark/>
          </w:tcPr>
          <w:p w14:paraId="3D5708D0" w14:textId="77777777" w:rsidR="00F24946" w:rsidRDefault="00613B06">
            <w:pPr>
              <w:pStyle w:val="P68B1DB1-Normal23"/>
              <w:spacing w:after="0"/>
              <w:jc w:val="center"/>
              <w:rPr>
                <w:rFonts w:eastAsia="Calibri" w:cs="Calibri"/>
                <w:noProof/>
              </w:rPr>
            </w:pPr>
            <w:r>
              <w:rPr>
                <w:noProof/>
              </w:rPr>
              <w:t>RP-C21-i05</w:t>
            </w:r>
          </w:p>
        </w:tc>
        <w:tc>
          <w:tcPr>
            <w:tcW w:w="1520" w:type="dxa"/>
            <w:tcBorders>
              <w:top w:val="nil"/>
              <w:left w:val="nil"/>
              <w:bottom w:val="single" w:sz="4" w:space="0" w:color="auto"/>
              <w:right w:val="single" w:sz="4" w:space="0" w:color="auto"/>
            </w:tcBorders>
            <w:shd w:val="clear" w:color="auto" w:fill="C4EFCE"/>
            <w:vAlign w:val="center"/>
            <w:hideMark/>
          </w:tcPr>
          <w:p w14:paraId="4EF9FB7D"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731C1C6" w14:textId="77777777" w:rsidR="00F24946" w:rsidRDefault="00613B06">
            <w:pPr>
              <w:pStyle w:val="P68B1DB1-Normal23"/>
              <w:spacing w:after="0"/>
              <w:jc w:val="both"/>
              <w:rPr>
                <w:rFonts w:eastAsia="Calibri" w:cs="Calibri"/>
                <w:noProof/>
              </w:rPr>
            </w:pPr>
            <w:r>
              <w:rPr>
                <w:noProof/>
              </w:rPr>
              <w:t>Zaključek petih industrijskih projektov na področju strateških tehnologij za podnebni prehod</w:t>
            </w:r>
          </w:p>
        </w:tc>
      </w:tr>
      <w:tr w:rsidR="00F24946" w14:paraId="46B66D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773CBC" w14:textId="77777777" w:rsidR="00F24946" w:rsidRDefault="00613B06">
            <w:pPr>
              <w:pStyle w:val="P68B1DB1-Normal23"/>
              <w:spacing w:after="0"/>
              <w:jc w:val="center"/>
              <w:rPr>
                <w:rFonts w:eastAsia="Calibri" w:cs="Calibri"/>
                <w:noProof/>
              </w:rPr>
            </w:pPr>
            <w:r>
              <w:rPr>
                <w:noProof/>
              </w:rPr>
              <w:t>21.25</w:t>
            </w:r>
          </w:p>
        </w:tc>
        <w:tc>
          <w:tcPr>
            <w:tcW w:w="1760" w:type="dxa"/>
            <w:tcBorders>
              <w:top w:val="nil"/>
              <w:left w:val="nil"/>
              <w:bottom w:val="single" w:sz="4" w:space="0" w:color="auto"/>
              <w:right w:val="single" w:sz="4" w:space="0" w:color="auto"/>
            </w:tcBorders>
            <w:shd w:val="clear" w:color="auto" w:fill="C4EFCE"/>
            <w:vAlign w:val="center"/>
            <w:hideMark/>
          </w:tcPr>
          <w:p w14:paraId="0F61BA2A" w14:textId="0F7A2382" w:rsidR="00F24946" w:rsidRDefault="00613B06">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332F83C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DF0458" w14:textId="77777777" w:rsidR="00F24946" w:rsidRDefault="00613B06">
            <w:pPr>
              <w:pStyle w:val="P68B1DB1-Normal23"/>
              <w:spacing w:after="0"/>
              <w:jc w:val="both"/>
              <w:rPr>
                <w:rFonts w:eastAsia="Calibri" w:cs="Calibri"/>
                <w:noProof/>
              </w:rPr>
            </w:pPr>
            <w:r>
              <w:rPr>
                <w:noProof/>
              </w:rPr>
              <w:t>Dodatna zmogljivost za proizvodnjo obnovljivega vodika in obnovljivega plina</w:t>
            </w:r>
          </w:p>
        </w:tc>
      </w:tr>
      <w:tr w:rsidR="00F24946" w14:paraId="7AE9352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8FBC31" w14:textId="77777777" w:rsidR="00F24946" w:rsidRDefault="00613B06">
            <w:pPr>
              <w:pStyle w:val="P68B1DB1-Normal23"/>
              <w:spacing w:after="0"/>
              <w:jc w:val="center"/>
              <w:rPr>
                <w:rFonts w:eastAsia="Calibri" w:cs="Calibri"/>
                <w:noProof/>
              </w:rPr>
            </w:pPr>
            <w:r>
              <w:rPr>
                <w:noProof/>
              </w:rPr>
              <w:t>21.27</w:t>
            </w:r>
          </w:p>
        </w:tc>
        <w:tc>
          <w:tcPr>
            <w:tcW w:w="1760" w:type="dxa"/>
            <w:tcBorders>
              <w:top w:val="nil"/>
              <w:left w:val="nil"/>
              <w:bottom w:val="single" w:sz="4" w:space="0" w:color="auto"/>
              <w:right w:val="single" w:sz="4" w:space="0" w:color="auto"/>
            </w:tcBorders>
            <w:shd w:val="clear" w:color="auto" w:fill="C4EFCE"/>
            <w:vAlign w:val="center"/>
            <w:hideMark/>
          </w:tcPr>
          <w:p w14:paraId="28339159" w14:textId="7DD243E3" w:rsidR="00F24946" w:rsidRDefault="00613B06">
            <w:pPr>
              <w:pStyle w:val="P68B1DB1-Normal23"/>
              <w:spacing w:after="0"/>
              <w:jc w:val="center"/>
              <w:rPr>
                <w:rFonts w:eastAsia="Calibri" w:cs="Calibri"/>
                <w:noProof/>
              </w:rPr>
            </w:pPr>
            <w:r>
              <w:rPr>
                <w:noProof/>
              </w:rPr>
              <w:t>RP-C21-i07</w:t>
            </w:r>
          </w:p>
        </w:tc>
        <w:tc>
          <w:tcPr>
            <w:tcW w:w="1520" w:type="dxa"/>
            <w:tcBorders>
              <w:top w:val="nil"/>
              <w:left w:val="nil"/>
              <w:bottom w:val="single" w:sz="4" w:space="0" w:color="auto"/>
              <w:right w:val="single" w:sz="4" w:space="0" w:color="auto"/>
            </w:tcBorders>
            <w:shd w:val="clear" w:color="auto" w:fill="C4EFCE"/>
            <w:vAlign w:val="center"/>
            <w:hideMark/>
          </w:tcPr>
          <w:p w14:paraId="5D5BCC3C"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5B70FE3" w14:textId="2301AE6C" w:rsidR="00F24946" w:rsidRDefault="00613B06">
            <w:pPr>
              <w:pStyle w:val="P68B1DB1-Normal23"/>
              <w:spacing w:after="0"/>
              <w:jc w:val="both"/>
              <w:rPr>
                <w:rFonts w:eastAsia="Calibri" w:cs="Calibri"/>
                <w:noProof/>
              </w:rPr>
            </w:pPr>
            <w:r>
              <w:rPr>
                <w:noProof/>
              </w:rPr>
              <w:t>Zaključek tehničnih študij za vetrno energijo na morju</w:t>
            </w:r>
          </w:p>
        </w:tc>
      </w:tr>
      <w:tr w:rsidR="00F24946" w14:paraId="407BDDC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A81FA2" w14:textId="77777777" w:rsidR="00F24946" w:rsidRDefault="00613B06">
            <w:pPr>
              <w:pStyle w:val="P68B1DB1-Normal23"/>
              <w:spacing w:after="0"/>
              <w:jc w:val="center"/>
              <w:rPr>
                <w:rFonts w:eastAsia="Calibri" w:cs="Calibri"/>
                <w:noProof/>
              </w:rPr>
            </w:pPr>
            <w:r>
              <w:rPr>
                <w:noProof/>
              </w:rPr>
              <w:t>21.33</w:t>
            </w:r>
          </w:p>
        </w:tc>
        <w:tc>
          <w:tcPr>
            <w:tcW w:w="1760" w:type="dxa"/>
            <w:tcBorders>
              <w:top w:val="nil"/>
              <w:left w:val="nil"/>
              <w:bottom w:val="single" w:sz="4" w:space="0" w:color="auto"/>
              <w:right w:val="single" w:sz="4" w:space="0" w:color="auto"/>
            </w:tcBorders>
            <w:shd w:val="clear" w:color="auto" w:fill="C4EFCE"/>
            <w:vAlign w:val="center"/>
            <w:hideMark/>
          </w:tcPr>
          <w:p w14:paraId="4FD27260" w14:textId="4C1DF387" w:rsidR="00F24946" w:rsidRDefault="00613B06">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7AB5A0"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96926B" w14:textId="77777777" w:rsidR="00F24946" w:rsidRDefault="00613B06">
            <w:pPr>
              <w:pStyle w:val="P68B1DB1-Normal23"/>
              <w:spacing w:after="0"/>
              <w:jc w:val="both"/>
              <w:rPr>
                <w:rFonts w:eastAsia="Calibri" w:cs="Calibri"/>
                <w:noProof/>
              </w:rPr>
            </w:pPr>
            <w:r>
              <w:rPr>
                <w:noProof/>
              </w:rPr>
              <w:t>Povečanje inštalirane zmogljivosti obratov za proizvodnjo energije iz obnovljivih virov za lastno porabo in povečanje inštalirane zmogljivosti shranjevanja za lastno porabo</w:t>
            </w:r>
          </w:p>
        </w:tc>
      </w:tr>
      <w:tr w:rsidR="00F24946" w14:paraId="40AE930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AF8CD86" w14:textId="77777777" w:rsidR="00F24946" w:rsidRDefault="00613B06">
            <w:pPr>
              <w:pStyle w:val="P68B1DB1-Normal23"/>
              <w:spacing w:after="0"/>
              <w:jc w:val="center"/>
              <w:rPr>
                <w:rFonts w:eastAsia="Calibri" w:cs="Calibri"/>
                <w:noProof/>
              </w:rPr>
            </w:pPr>
            <w:r>
              <w:rPr>
                <w:noProof/>
              </w:rPr>
              <w:t>21.36</w:t>
            </w:r>
          </w:p>
        </w:tc>
        <w:tc>
          <w:tcPr>
            <w:tcW w:w="1760" w:type="dxa"/>
            <w:tcBorders>
              <w:top w:val="nil"/>
              <w:left w:val="nil"/>
              <w:bottom w:val="single" w:sz="4" w:space="0" w:color="auto"/>
              <w:right w:val="single" w:sz="4" w:space="0" w:color="auto"/>
            </w:tcBorders>
            <w:shd w:val="clear" w:color="auto" w:fill="C4EFCE"/>
            <w:vAlign w:val="center"/>
            <w:hideMark/>
          </w:tcPr>
          <w:p w14:paraId="65F17587" w14:textId="24D99CE2" w:rsidR="00F24946" w:rsidRDefault="00613B06">
            <w:pPr>
              <w:pStyle w:val="P68B1DB1-Normal23"/>
              <w:spacing w:after="0"/>
              <w:jc w:val="center"/>
              <w:rPr>
                <w:rFonts w:eastAsia="Calibri" w:cs="Calibri"/>
                <w:noProof/>
              </w:rPr>
            </w:pPr>
            <w:r>
              <w:rPr>
                <w:noProof/>
              </w:rPr>
              <w:t>RP-C21-i12</w:t>
            </w:r>
          </w:p>
        </w:tc>
        <w:tc>
          <w:tcPr>
            <w:tcW w:w="1520" w:type="dxa"/>
            <w:tcBorders>
              <w:top w:val="nil"/>
              <w:left w:val="nil"/>
              <w:bottom w:val="single" w:sz="4" w:space="0" w:color="auto"/>
              <w:right w:val="single" w:sz="4" w:space="0" w:color="auto"/>
            </w:tcBorders>
            <w:shd w:val="clear" w:color="auto" w:fill="C4EFCE"/>
            <w:vAlign w:val="center"/>
            <w:hideMark/>
          </w:tcPr>
          <w:p w14:paraId="7B36B2F3"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7C1E97" w14:textId="77777777" w:rsidR="00F24946" w:rsidRDefault="00613B06">
            <w:pPr>
              <w:pStyle w:val="P68B1DB1-Normal23"/>
              <w:spacing w:after="0"/>
              <w:jc w:val="both"/>
              <w:rPr>
                <w:rFonts w:eastAsia="Calibri" w:cs="Calibri"/>
                <w:noProof/>
              </w:rPr>
            </w:pPr>
            <w:r>
              <w:rPr>
                <w:noProof/>
              </w:rPr>
              <w:t>Nakup novih brezemisijskih avtobusov (električnih ali vodikovih) za javni prevoz</w:t>
            </w:r>
          </w:p>
        </w:tc>
      </w:tr>
      <w:tr w:rsidR="00F24946" w14:paraId="4BDD8A3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4C0782" w14:textId="77777777" w:rsidR="00F24946" w:rsidRDefault="00613B06">
            <w:pPr>
              <w:pStyle w:val="P68B1DB1-Normal23"/>
              <w:spacing w:after="0"/>
              <w:jc w:val="center"/>
              <w:rPr>
                <w:rFonts w:eastAsia="Calibri" w:cs="Calibri"/>
                <w:noProof/>
              </w:rPr>
            </w:pPr>
            <w:r>
              <w:rPr>
                <w:noProof/>
              </w:rPr>
              <w:t>21.37</w:t>
            </w:r>
          </w:p>
        </w:tc>
        <w:tc>
          <w:tcPr>
            <w:tcW w:w="1760" w:type="dxa"/>
            <w:tcBorders>
              <w:top w:val="nil"/>
              <w:left w:val="nil"/>
              <w:bottom w:val="single" w:sz="4" w:space="0" w:color="auto"/>
              <w:right w:val="single" w:sz="4" w:space="0" w:color="auto"/>
            </w:tcBorders>
            <w:shd w:val="clear" w:color="auto" w:fill="C4EFCE"/>
            <w:vAlign w:val="center"/>
            <w:hideMark/>
          </w:tcPr>
          <w:p w14:paraId="73C8B906" w14:textId="298D8B93" w:rsidR="00F24946" w:rsidRDefault="00613B06">
            <w:pPr>
              <w:pStyle w:val="P68B1DB1-Normal23"/>
              <w:spacing w:after="0"/>
              <w:jc w:val="center"/>
              <w:rPr>
                <w:rFonts w:eastAsia="Calibri" w:cs="Calibri"/>
                <w:noProof/>
              </w:rPr>
            </w:pPr>
            <w:r>
              <w:rPr>
                <w:noProof/>
              </w:rPr>
              <w:t>RP-C21-i13-RAM</w:t>
            </w:r>
          </w:p>
        </w:tc>
        <w:tc>
          <w:tcPr>
            <w:tcW w:w="1520" w:type="dxa"/>
            <w:tcBorders>
              <w:top w:val="nil"/>
              <w:left w:val="nil"/>
              <w:bottom w:val="single" w:sz="4" w:space="0" w:color="auto"/>
              <w:right w:val="single" w:sz="4" w:space="0" w:color="auto"/>
            </w:tcBorders>
            <w:shd w:val="clear" w:color="auto" w:fill="C4EFCE"/>
            <w:vAlign w:val="center"/>
            <w:hideMark/>
          </w:tcPr>
          <w:p w14:paraId="766F213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05A8643" w14:textId="77777777" w:rsidR="00F24946" w:rsidRDefault="00613B06">
            <w:pPr>
              <w:pStyle w:val="P68B1DB1-Normal23"/>
              <w:spacing w:after="0"/>
              <w:jc w:val="both"/>
              <w:rPr>
                <w:rFonts w:eastAsia="Calibri" w:cs="Calibri"/>
                <w:noProof/>
              </w:rPr>
            </w:pPr>
            <w:r>
              <w:rPr>
                <w:noProof/>
              </w:rPr>
              <w:t>Nakup novih brezemisijskih avtobusov (električnih ali vodikovih) za javni prevoz in turistične storitve ter nakup električnih avtomobilov, ki nadomeščajo razrezana vozila</w:t>
            </w:r>
          </w:p>
        </w:tc>
      </w:tr>
      <w:tr w:rsidR="00F24946" w14:paraId="5FC25D8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0D0E18" w14:textId="77777777" w:rsidR="00F24946" w:rsidRDefault="00613B06">
            <w:pPr>
              <w:pStyle w:val="P68B1DB1-Normal23"/>
              <w:spacing w:after="0"/>
              <w:jc w:val="center"/>
              <w:rPr>
                <w:rFonts w:eastAsia="Calibri" w:cs="Calibri"/>
                <w:noProof/>
              </w:rPr>
            </w:pPr>
            <w:r>
              <w:rPr>
                <w:noProof/>
              </w:rPr>
              <w:t>21.39</w:t>
            </w:r>
          </w:p>
        </w:tc>
        <w:tc>
          <w:tcPr>
            <w:tcW w:w="1760" w:type="dxa"/>
            <w:tcBorders>
              <w:top w:val="nil"/>
              <w:left w:val="nil"/>
              <w:bottom w:val="single" w:sz="4" w:space="0" w:color="auto"/>
              <w:right w:val="single" w:sz="4" w:space="0" w:color="auto"/>
            </w:tcBorders>
            <w:shd w:val="clear" w:color="auto" w:fill="C4EFCE"/>
            <w:vAlign w:val="center"/>
            <w:hideMark/>
          </w:tcPr>
          <w:p w14:paraId="48E27095" w14:textId="5DA60FB6" w:rsidR="00F24946" w:rsidRDefault="00613B06">
            <w:pPr>
              <w:pStyle w:val="P68B1DB1-Normal23"/>
              <w:spacing w:after="0"/>
              <w:jc w:val="center"/>
              <w:rPr>
                <w:rFonts w:eastAsia="Calibri" w:cs="Calibri"/>
                <w:noProof/>
              </w:rPr>
            </w:pPr>
            <w:r>
              <w:rPr>
                <w:noProof/>
              </w:rPr>
              <w:t>RP-C21-i14</w:t>
            </w:r>
          </w:p>
        </w:tc>
        <w:tc>
          <w:tcPr>
            <w:tcW w:w="1520" w:type="dxa"/>
            <w:tcBorders>
              <w:top w:val="nil"/>
              <w:left w:val="nil"/>
              <w:bottom w:val="single" w:sz="4" w:space="0" w:color="auto"/>
              <w:right w:val="single" w:sz="4" w:space="0" w:color="auto"/>
            </w:tcBorders>
            <w:shd w:val="clear" w:color="auto" w:fill="C4EFCE"/>
            <w:vAlign w:val="center"/>
            <w:hideMark/>
          </w:tcPr>
          <w:p w14:paraId="3205D102"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2FFB24" w14:textId="77777777" w:rsidR="00F24946" w:rsidRDefault="00613B06">
            <w:pPr>
              <w:pStyle w:val="P68B1DB1-Normal23"/>
              <w:spacing w:after="0"/>
              <w:jc w:val="both"/>
              <w:rPr>
                <w:rFonts w:eastAsia="Calibri" w:cs="Calibri"/>
                <w:noProof/>
              </w:rPr>
            </w:pPr>
            <w:r>
              <w:rPr>
                <w:noProof/>
              </w:rPr>
              <w:t>Gradnja dveh avtobusnih linij za hitri tranzit v Bragi</w:t>
            </w:r>
          </w:p>
        </w:tc>
      </w:tr>
      <w:tr w:rsidR="00F24946" w14:paraId="3E530F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E8A1E5E" w14:textId="77777777" w:rsidR="00F24946" w:rsidRDefault="00613B06">
            <w:pPr>
              <w:pStyle w:val="P68B1DB1-Normal23"/>
              <w:spacing w:after="0"/>
              <w:jc w:val="center"/>
              <w:rPr>
                <w:rFonts w:eastAsia="Calibri" w:cs="Calibri"/>
                <w:noProof/>
              </w:rPr>
            </w:pPr>
            <w:r>
              <w:rPr>
                <w:noProof/>
              </w:rPr>
              <w:t>21.43</w:t>
            </w:r>
          </w:p>
        </w:tc>
        <w:tc>
          <w:tcPr>
            <w:tcW w:w="1760" w:type="dxa"/>
            <w:tcBorders>
              <w:top w:val="nil"/>
              <w:left w:val="nil"/>
              <w:bottom w:val="single" w:sz="4" w:space="0" w:color="auto"/>
              <w:right w:val="single" w:sz="4" w:space="0" w:color="auto"/>
            </w:tcBorders>
            <w:shd w:val="clear" w:color="auto" w:fill="C4EFCE"/>
            <w:vAlign w:val="center"/>
            <w:hideMark/>
          </w:tcPr>
          <w:p w14:paraId="53BBC354" w14:textId="6D59C203" w:rsidR="00F24946" w:rsidRDefault="00613B06">
            <w:pPr>
              <w:pStyle w:val="P68B1DB1-Normal23"/>
              <w:spacing w:after="0"/>
              <w:jc w:val="center"/>
              <w:rPr>
                <w:rFonts w:eastAsia="Calibri" w:cs="Calibri"/>
                <w:noProof/>
              </w:rPr>
            </w:pPr>
            <w:r>
              <w:rPr>
                <w:noProof/>
              </w:rPr>
              <w:t>RP-C21-i16</w:t>
            </w:r>
          </w:p>
        </w:tc>
        <w:tc>
          <w:tcPr>
            <w:tcW w:w="1520" w:type="dxa"/>
            <w:tcBorders>
              <w:top w:val="nil"/>
              <w:left w:val="nil"/>
              <w:bottom w:val="single" w:sz="4" w:space="0" w:color="auto"/>
              <w:right w:val="single" w:sz="4" w:space="0" w:color="auto"/>
            </w:tcBorders>
            <w:shd w:val="clear" w:color="auto" w:fill="C4EFCE"/>
            <w:vAlign w:val="center"/>
            <w:hideMark/>
          </w:tcPr>
          <w:p w14:paraId="65415CC8"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915ABF" w14:textId="42D35AB7" w:rsidR="00F24946" w:rsidRDefault="00613B06">
            <w:pPr>
              <w:pStyle w:val="P68B1DB1-Normal23"/>
              <w:spacing w:after="0"/>
              <w:jc w:val="both"/>
              <w:rPr>
                <w:rFonts w:eastAsia="Calibri" w:cs="Calibri"/>
                <w:noProof/>
              </w:rPr>
            </w:pPr>
            <w:r>
              <w:rPr>
                <w:noProof/>
              </w:rPr>
              <w:t>Izgradnja žičnice</w:t>
            </w:r>
          </w:p>
        </w:tc>
      </w:tr>
      <w:tr w:rsidR="00F24946" w14:paraId="69534CE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75525F" w14:textId="77777777" w:rsidR="00F24946" w:rsidRDefault="00F24946">
            <w:pPr>
              <w:spacing w:after="0"/>
              <w:jc w:val="center"/>
              <w:rPr>
                <w:rFonts w:ascii="Calibri" w:eastAsia="Calibri"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hideMark/>
          </w:tcPr>
          <w:p w14:paraId="16E5C887" w14:textId="77777777" w:rsidR="00F24946" w:rsidRDefault="00F24946">
            <w:pPr>
              <w:spacing w:after="0"/>
              <w:jc w:val="center"/>
              <w:rPr>
                <w:rFonts w:ascii="Calibri" w:eastAsia="Calibri" w:hAnsi="Calibri" w:cs="Calibri"/>
                <w:noProof/>
                <w:sz w:val="16"/>
              </w:rPr>
            </w:pPr>
          </w:p>
        </w:tc>
        <w:tc>
          <w:tcPr>
            <w:tcW w:w="1520" w:type="dxa"/>
            <w:tcBorders>
              <w:top w:val="nil"/>
              <w:left w:val="nil"/>
              <w:bottom w:val="single" w:sz="4" w:space="0" w:color="auto"/>
              <w:right w:val="single" w:sz="4" w:space="0" w:color="auto"/>
            </w:tcBorders>
            <w:shd w:val="clear" w:color="auto" w:fill="C4EFCE"/>
            <w:vAlign w:val="center"/>
            <w:hideMark/>
          </w:tcPr>
          <w:p w14:paraId="084A977F"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nil"/>
              <w:left w:val="nil"/>
              <w:bottom w:val="single" w:sz="4" w:space="0" w:color="auto"/>
              <w:right w:val="single" w:sz="4" w:space="0" w:color="auto"/>
            </w:tcBorders>
            <w:shd w:val="clear" w:color="auto" w:fill="C4EFCE"/>
            <w:vAlign w:val="center"/>
            <w:hideMark/>
          </w:tcPr>
          <w:p w14:paraId="30A29C4F" w14:textId="5D4F15E5" w:rsidR="00F24946" w:rsidRDefault="00613B06">
            <w:pPr>
              <w:pStyle w:val="P68B1DB1-Normal25"/>
              <w:spacing w:after="0" w:line="240" w:lineRule="auto"/>
              <w:jc w:val="center"/>
              <w:rPr>
                <w:rFonts w:cs="Calibri"/>
                <w:noProof/>
              </w:rPr>
            </w:pPr>
            <w:r>
              <w:rPr>
                <w:noProof/>
              </w:rPr>
              <w:t xml:space="preserve"> 2 030 690 350 EUR </w:t>
            </w:r>
          </w:p>
        </w:tc>
      </w:tr>
    </w:tbl>
    <w:p w14:paraId="4422C564" w14:textId="77777777" w:rsidR="00F24946" w:rsidRDefault="00F24946">
      <w:pPr>
        <w:keepNext/>
        <w:spacing w:before="40" w:after="0" w:line="259" w:lineRule="auto"/>
        <w:ind w:left="360"/>
        <w:jc w:val="both"/>
        <w:outlineLvl w:val="1"/>
        <w:rPr>
          <w:rFonts w:ascii="Times New Roman" w:eastAsiaTheme="majorEastAsia" w:hAnsi="Times New Roman" w:cs="Times New Roman"/>
          <w:b/>
          <w:noProof/>
          <w:sz w:val="24"/>
          <w:u w:val="single"/>
        </w:rPr>
      </w:pPr>
    </w:p>
    <w:p w14:paraId="118A5FEC" w14:textId="77777777" w:rsidR="00F24946" w:rsidRDefault="00613B06">
      <w:pPr>
        <w:pStyle w:val="P68B1DB1-Normal3"/>
        <w:keepNext/>
        <w:numPr>
          <w:ilvl w:val="0"/>
          <w:numId w:val="19"/>
        </w:numPr>
        <w:spacing w:before="40" w:after="0" w:line="259" w:lineRule="auto"/>
        <w:jc w:val="both"/>
        <w:outlineLvl w:val="1"/>
        <w:rPr>
          <w:rFonts w:eastAsiaTheme="majorEastAsia" w:cs="Times New Roman"/>
          <w:noProof/>
        </w:rPr>
      </w:pPr>
      <w:r>
        <w:rPr>
          <w:noProof/>
        </w:rPr>
        <w:t xml:space="preserve">Posojilo </w:t>
      </w:r>
    </w:p>
    <w:p w14:paraId="6BCD5950" w14:textId="77777777" w:rsidR="00F24946" w:rsidRDefault="00613B06">
      <w:pPr>
        <w:pStyle w:val="P68B1DB1-Normal4"/>
        <w:keepNext/>
        <w:spacing w:before="40" w:after="0" w:line="259" w:lineRule="auto"/>
        <w:jc w:val="both"/>
        <w:rPr>
          <w:rFonts w:eastAsiaTheme="minorEastAsia" w:cs="Times New Roman"/>
          <w:noProof/>
        </w:rPr>
      </w:pPr>
      <w:r>
        <w:rPr>
          <w:noProof/>
        </w:rPr>
        <w:t>Obroki iz člena 3(2) se organizirajo na naslednji način:</w:t>
      </w:r>
    </w:p>
    <w:p w14:paraId="3FE85171" w14:textId="77777777" w:rsidR="00F24946" w:rsidRDefault="00F24946">
      <w:pPr>
        <w:keepNext/>
        <w:spacing w:after="160" w:line="259" w:lineRule="auto"/>
        <w:ind w:left="360"/>
        <w:contextualSpacing/>
        <w:jc w:val="both"/>
        <w:rPr>
          <w:rFonts w:ascii="Times New Roman" w:eastAsiaTheme="minorEastAsia" w:hAnsi="Times New Roman" w:cs="Times New Roman"/>
          <w:noProof/>
          <w:sz w:val="24"/>
        </w:rPr>
      </w:pPr>
    </w:p>
    <w:p w14:paraId="4E892DCC"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Prvi zahtevek za plačilo (podpora za posojilo):</w:t>
      </w:r>
    </w:p>
    <w:p w14:paraId="7FAECB77"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074834ED" w14:textId="77777777">
        <w:trPr>
          <w:trHeight w:val="509"/>
          <w:tblHeader/>
        </w:trPr>
        <w:tc>
          <w:tcPr>
            <w:tcW w:w="1200" w:type="dxa"/>
            <w:vMerge w:val="restart"/>
            <w:shd w:val="clear" w:color="auto" w:fill="BDD7EE"/>
            <w:vAlign w:val="center"/>
            <w:hideMark/>
          </w:tcPr>
          <w:p w14:paraId="6FC084B2"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47AF933B"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35B00DEF"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3E1358F3"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69B5D785" w14:textId="77777777">
        <w:trPr>
          <w:trHeight w:val="509"/>
        </w:trPr>
        <w:tc>
          <w:tcPr>
            <w:tcW w:w="1200" w:type="dxa"/>
            <w:vMerge/>
            <w:vAlign w:val="center"/>
            <w:hideMark/>
          </w:tcPr>
          <w:p w14:paraId="782328FC"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77E830EC"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21A9C4CC"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08EF91B7" w14:textId="77777777" w:rsidR="00F24946" w:rsidRDefault="00F24946">
            <w:pPr>
              <w:spacing w:after="0" w:line="240" w:lineRule="auto"/>
              <w:rPr>
                <w:rFonts w:ascii="Times New Roman" w:eastAsia="Times New Roman" w:hAnsi="Times New Roman" w:cs="Times New Roman"/>
                <w:noProof/>
                <w:sz w:val="20"/>
              </w:rPr>
            </w:pPr>
          </w:p>
        </w:tc>
      </w:tr>
      <w:tr w:rsidR="00F24946" w14:paraId="231581F7" w14:textId="77777777">
        <w:trPr>
          <w:trHeight w:val="440"/>
        </w:trPr>
        <w:tc>
          <w:tcPr>
            <w:tcW w:w="1200" w:type="dxa"/>
            <w:shd w:val="clear" w:color="auto" w:fill="C4EFCE"/>
            <w:vAlign w:val="center"/>
            <w:hideMark/>
          </w:tcPr>
          <w:p w14:paraId="0019F272" w14:textId="77777777" w:rsidR="00F24946" w:rsidRDefault="00613B06">
            <w:pPr>
              <w:pStyle w:val="P68B1DB1-Normal23"/>
              <w:spacing w:after="0" w:line="240" w:lineRule="auto"/>
              <w:jc w:val="center"/>
              <w:rPr>
                <w:rFonts w:eastAsia="Times New Roman" w:cs="Calibri"/>
                <w:noProof/>
              </w:rPr>
            </w:pPr>
            <w:r>
              <w:rPr>
                <w:noProof/>
              </w:rPr>
              <w:t>5.23</w:t>
            </w:r>
          </w:p>
        </w:tc>
        <w:tc>
          <w:tcPr>
            <w:tcW w:w="1760" w:type="dxa"/>
            <w:shd w:val="clear" w:color="auto" w:fill="C4EFCE"/>
            <w:vAlign w:val="center"/>
            <w:hideMark/>
          </w:tcPr>
          <w:p w14:paraId="7E76ACD1" w14:textId="77777777" w:rsidR="00F24946" w:rsidRDefault="00613B06">
            <w:pPr>
              <w:pStyle w:val="P68B1DB1-Normal23"/>
              <w:spacing w:after="0" w:line="240" w:lineRule="auto"/>
              <w:jc w:val="center"/>
              <w:rPr>
                <w:rFonts w:eastAsia="Times New Roman" w:cs="Calibri"/>
                <w:noProof/>
              </w:rPr>
            </w:pPr>
            <w:r>
              <w:rPr>
                <w:noProof/>
              </w:rPr>
              <w:t>Re-C05-r10 </w:t>
            </w:r>
          </w:p>
        </w:tc>
        <w:tc>
          <w:tcPr>
            <w:tcW w:w="1520" w:type="dxa"/>
            <w:shd w:val="clear" w:color="auto" w:fill="C4EFCE"/>
            <w:vAlign w:val="center"/>
            <w:hideMark/>
          </w:tcPr>
          <w:p w14:paraId="29D0D0FA"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AEDE275" w14:textId="77777777" w:rsidR="00F24946" w:rsidRDefault="00613B06">
            <w:pPr>
              <w:pStyle w:val="P68B1DB1-Normal23"/>
              <w:spacing w:after="0" w:line="240" w:lineRule="auto"/>
              <w:jc w:val="both"/>
              <w:rPr>
                <w:rFonts w:eastAsia="Times New Roman" w:cs="Calibri"/>
                <w:noProof/>
              </w:rPr>
            </w:pPr>
            <w:r>
              <w:rPr>
                <w:noProof/>
              </w:rPr>
              <w:t>Začetek veljavnosti uredbe o določitvi dejavnosti in statuta Banco Português de Fomento (BPF)</w:t>
            </w:r>
          </w:p>
        </w:tc>
      </w:tr>
      <w:tr w:rsidR="00F24946" w14:paraId="31564C75" w14:textId="77777777">
        <w:trPr>
          <w:trHeight w:val="440"/>
        </w:trPr>
        <w:tc>
          <w:tcPr>
            <w:tcW w:w="1200" w:type="dxa"/>
            <w:shd w:val="clear" w:color="auto" w:fill="C4EFCE"/>
            <w:vAlign w:val="center"/>
            <w:hideMark/>
          </w:tcPr>
          <w:p w14:paraId="0B27A3F2" w14:textId="77777777" w:rsidR="00F24946" w:rsidRDefault="00613B06">
            <w:pPr>
              <w:pStyle w:val="P68B1DB1-Normal23"/>
              <w:spacing w:after="0" w:line="240" w:lineRule="auto"/>
              <w:jc w:val="center"/>
              <w:rPr>
                <w:rFonts w:eastAsia="Times New Roman" w:cs="Calibri"/>
                <w:noProof/>
              </w:rPr>
            </w:pPr>
            <w:r>
              <w:rPr>
                <w:noProof/>
              </w:rPr>
              <w:t>5.27</w:t>
            </w:r>
          </w:p>
        </w:tc>
        <w:tc>
          <w:tcPr>
            <w:tcW w:w="1760" w:type="dxa"/>
            <w:shd w:val="clear" w:color="auto" w:fill="C4EFCE"/>
            <w:vAlign w:val="center"/>
            <w:hideMark/>
          </w:tcPr>
          <w:p w14:paraId="0AC92BC5" w14:textId="77777777" w:rsidR="00F24946" w:rsidRDefault="00613B06">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62A0E886"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52055337" w14:textId="77777777" w:rsidR="00F24946" w:rsidRDefault="00613B06">
            <w:pPr>
              <w:pStyle w:val="P68B1DB1-Normal23"/>
              <w:spacing w:after="0" w:line="240" w:lineRule="auto"/>
              <w:jc w:val="both"/>
              <w:rPr>
                <w:rFonts w:eastAsia="Times New Roman" w:cs="Calibri"/>
                <w:noProof/>
              </w:rPr>
            </w:pPr>
            <w:r>
              <w:rPr>
                <w:noProof/>
              </w:rPr>
              <w:t xml:space="preserve">Začetek veljavnosti zakonske uredbe, ki ureja ukrep kapitalizacije BPF </w:t>
            </w:r>
          </w:p>
        </w:tc>
      </w:tr>
      <w:tr w:rsidR="00F24946" w14:paraId="5DC5E664" w14:textId="77777777">
        <w:trPr>
          <w:trHeight w:val="440"/>
        </w:trPr>
        <w:tc>
          <w:tcPr>
            <w:tcW w:w="1200" w:type="dxa"/>
            <w:shd w:val="clear" w:color="auto" w:fill="C4EFCE"/>
            <w:vAlign w:val="center"/>
            <w:hideMark/>
          </w:tcPr>
          <w:p w14:paraId="56BFF86C" w14:textId="77777777" w:rsidR="00F24946" w:rsidRDefault="00613B06">
            <w:pPr>
              <w:pStyle w:val="P68B1DB1-Normal23"/>
              <w:spacing w:after="0" w:line="240" w:lineRule="auto"/>
              <w:jc w:val="center"/>
              <w:rPr>
                <w:rFonts w:eastAsia="Times New Roman" w:cs="Calibri"/>
                <w:noProof/>
              </w:rPr>
            </w:pPr>
            <w:r>
              <w:rPr>
                <w:noProof/>
              </w:rPr>
              <w:t>5.28</w:t>
            </w:r>
          </w:p>
        </w:tc>
        <w:tc>
          <w:tcPr>
            <w:tcW w:w="1760" w:type="dxa"/>
            <w:shd w:val="clear" w:color="auto" w:fill="C4EFCE"/>
            <w:vAlign w:val="center"/>
            <w:hideMark/>
          </w:tcPr>
          <w:p w14:paraId="1DAA31DC" w14:textId="77777777" w:rsidR="00F24946" w:rsidRDefault="00613B06">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25478A9B"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49D334D" w14:textId="77777777" w:rsidR="00F24946" w:rsidRDefault="00613B06">
            <w:pPr>
              <w:pStyle w:val="P68B1DB1-Normal23"/>
              <w:spacing w:after="0" w:line="240" w:lineRule="auto"/>
              <w:jc w:val="both"/>
              <w:rPr>
                <w:rFonts w:eastAsia="Times New Roman" w:cs="Calibri"/>
                <w:noProof/>
              </w:rPr>
            </w:pPr>
            <w:r>
              <w:rPr>
                <w:noProof/>
              </w:rPr>
              <w:t>Razvoj naložbene politike (kapitalizacija) in sprejetje s strani upravljavca vozila</w:t>
            </w:r>
          </w:p>
        </w:tc>
      </w:tr>
      <w:tr w:rsidR="00F24946" w14:paraId="3FD88BF5" w14:textId="77777777">
        <w:trPr>
          <w:trHeight w:val="440"/>
        </w:trPr>
        <w:tc>
          <w:tcPr>
            <w:tcW w:w="1200" w:type="dxa"/>
            <w:shd w:val="clear" w:color="auto" w:fill="C4EFCE"/>
            <w:vAlign w:val="center"/>
            <w:hideMark/>
          </w:tcPr>
          <w:p w14:paraId="0C2466DE"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B8B12A3"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156D5B3"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0B510FD1" w14:textId="63EA3829" w:rsidR="00F24946" w:rsidRDefault="00613B06">
            <w:pPr>
              <w:pStyle w:val="P68B1DB1-Normal25"/>
              <w:spacing w:after="0" w:line="240" w:lineRule="auto"/>
              <w:jc w:val="center"/>
              <w:rPr>
                <w:rFonts w:cs="Calibri"/>
                <w:noProof/>
              </w:rPr>
            </w:pPr>
            <w:r>
              <w:rPr>
                <w:noProof/>
              </w:rPr>
              <w:t xml:space="preserve">700 000 000 EUR </w:t>
            </w:r>
          </w:p>
        </w:tc>
      </w:tr>
    </w:tbl>
    <w:p w14:paraId="717E1755" w14:textId="77777777" w:rsidR="00F24946" w:rsidRDefault="00F24946">
      <w:pPr>
        <w:keepNext/>
        <w:spacing w:after="160" w:line="259" w:lineRule="auto"/>
        <w:contextualSpacing/>
        <w:jc w:val="both"/>
        <w:rPr>
          <w:rFonts w:ascii="Times New Roman" w:eastAsiaTheme="minorEastAsia" w:hAnsi="Times New Roman" w:cs="Times New Roman"/>
          <w:noProof/>
          <w:sz w:val="24"/>
        </w:rPr>
      </w:pPr>
    </w:p>
    <w:p w14:paraId="0D521636" w14:textId="77777777" w:rsidR="00F24946" w:rsidRDefault="00F24946">
      <w:pPr>
        <w:keepNext/>
        <w:spacing w:after="160" w:line="259" w:lineRule="auto"/>
        <w:contextualSpacing/>
        <w:jc w:val="both"/>
        <w:rPr>
          <w:rFonts w:ascii="Times New Roman" w:eastAsiaTheme="minorEastAsia" w:hAnsi="Times New Roman" w:cs="Times New Roman"/>
          <w:noProof/>
          <w:sz w:val="24"/>
        </w:rPr>
      </w:pPr>
    </w:p>
    <w:p w14:paraId="212AD2B0"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Drugi zahtevek za plačilo (podpora za posojilo): </w:t>
      </w:r>
    </w:p>
    <w:p w14:paraId="02E15ED7"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0EB2FB8A" w14:textId="77777777">
        <w:trPr>
          <w:trHeight w:val="509"/>
        </w:trPr>
        <w:tc>
          <w:tcPr>
            <w:tcW w:w="1200" w:type="dxa"/>
            <w:vMerge w:val="restart"/>
            <w:shd w:val="clear" w:color="auto" w:fill="BDD7EE"/>
            <w:vAlign w:val="center"/>
            <w:hideMark/>
          </w:tcPr>
          <w:p w14:paraId="1B001ABA"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6E0E0306"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2A96E987"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7A89ACB1"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23B562DF" w14:textId="77777777">
        <w:trPr>
          <w:trHeight w:val="509"/>
        </w:trPr>
        <w:tc>
          <w:tcPr>
            <w:tcW w:w="1200" w:type="dxa"/>
            <w:vMerge/>
            <w:vAlign w:val="center"/>
            <w:hideMark/>
          </w:tcPr>
          <w:p w14:paraId="03688CB7"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5CEB0911"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3FC7C10B"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6D45A41A" w14:textId="77777777" w:rsidR="00F24946" w:rsidRDefault="00F24946">
            <w:pPr>
              <w:spacing w:after="0" w:line="240" w:lineRule="auto"/>
              <w:rPr>
                <w:rFonts w:ascii="Times New Roman" w:eastAsia="Times New Roman" w:hAnsi="Times New Roman" w:cs="Times New Roman"/>
                <w:noProof/>
                <w:sz w:val="20"/>
              </w:rPr>
            </w:pPr>
          </w:p>
        </w:tc>
      </w:tr>
      <w:tr w:rsidR="00F24946" w14:paraId="1570ABB6" w14:textId="77777777">
        <w:trPr>
          <w:trHeight w:val="440"/>
        </w:trPr>
        <w:tc>
          <w:tcPr>
            <w:tcW w:w="1200" w:type="dxa"/>
            <w:shd w:val="clear" w:color="auto" w:fill="C4EFCE"/>
            <w:vAlign w:val="center"/>
            <w:hideMark/>
          </w:tcPr>
          <w:p w14:paraId="009ECE5F" w14:textId="77777777" w:rsidR="00F24946" w:rsidRDefault="00613B06">
            <w:pPr>
              <w:pStyle w:val="P68B1DB1-Normal23"/>
              <w:spacing w:after="0" w:line="240" w:lineRule="auto"/>
              <w:jc w:val="center"/>
              <w:rPr>
                <w:rFonts w:eastAsia="Times New Roman" w:cs="Calibri"/>
                <w:noProof/>
              </w:rPr>
            </w:pPr>
            <w:r>
              <w:rPr>
                <w:noProof/>
              </w:rPr>
              <w:t>5.30</w:t>
            </w:r>
          </w:p>
        </w:tc>
        <w:tc>
          <w:tcPr>
            <w:tcW w:w="1760" w:type="dxa"/>
            <w:shd w:val="clear" w:color="auto" w:fill="C4EFCE"/>
            <w:vAlign w:val="center"/>
            <w:hideMark/>
          </w:tcPr>
          <w:p w14:paraId="675FBF51" w14:textId="77777777" w:rsidR="00F24946" w:rsidRDefault="00613B06">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5F3B7817"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077B04B8" w14:textId="77777777" w:rsidR="00F24946" w:rsidRDefault="00613B06">
            <w:pPr>
              <w:pStyle w:val="P68B1DB1-Normal23"/>
              <w:spacing w:after="0" w:line="240" w:lineRule="auto"/>
              <w:jc w:val="both"/>
              <w:rPr>
                <w:rFonts w:eastAsia="Times New Roman" w:cs="Calibri"/>
                <w:noProof/>
              </w:rPr>
            </w:pPr>
            <w:r>
              <w:rPr>
                <w:noProof/>
              </w:rPr>
              <w:t>Obvestilo Evropski komisiji o uspešnem sprejetju stebrne ocene za BPF</w:t>
            </w:r>
          </w:p>
        </w:tc>
      </w:tr>
      <w:tr w:rsidR="00F24946" w14:paraId="4F63CB2A" w14:textId="77777777">
        <w:trPr>
          <w:trHeight w:val="440"/>
        </w:trPr>
        <w:tc>
          <w:tcPr>
            <w:tcW w:w="1200" w:type="dxa"/>
            <w:shd w:val="clear" w:color="auto" w:fill="C4EFCE"/>
            <w:vAlign w:val="center"/>
            <w:hideMark/>
          </w:tcPr>
          <w:p w14:paraId="1E7826AF" w14:textId="77777777" w:rsidR="00F24946" w:rsidRDefault="00613B06">
            <w:pPr>
              <w:pStyle w:val="P68B1DB1-Normal23"/>
              <w:spacing w:after="0" w:line="240" w:lineRule="auto"/>
              <w:jc w:val="center"/>
              <w:rPr>
                <w:rFonts w:eastAsia="Times New Roman" w:cs="Calibri"/>
                <w:noProof/>
              </w:rPr>
            </w:pPr>
            <w:r>
              <w:rPr>
                <w:noProof/>
              </w:rPr>
              <w:t>5.31</w:t>
            </w:r>
          </w:p>
        </w:tc>
        <w:tc>
          <w:tcPr>
            <w:tcW w:w="1760" w:type="dxa"/>
            <w:shd w:val="clear" w:color="auto" w:fill="C4EFCE"/>
            <w:vAlign w:val="center"/>
            <w:hideMark/>
          </w:tcPr>
          <w:p w14:paraId="0270B895" w14:textId="77777777" w:rsidR="00F24946" w:rsidRDefault="00613B06">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3965D7AA" w14:textId="77777777" w:rsidR="00F24946" w:rsidRDefault="00613B06">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130F5CB2" w14:textId="77777777" w:rsidR="00F24946" w:rsidRDefault="00613B06">
            <w:pPr>
              <w:pStyle w:val="P68B1DB1-Normal23"/>
              <w:spacing w:after="0" w:line="240" w:lineRule="auto"/>
              <w:jc w:val="both"/>
              <w:rPr>
                <w:rFonts w:eastAsia="Times New Roman" w:cs="Calibri"/>
                <w:noProof/>
              </w:rPr>
            </w:pPr>
            <w:r>
              <w:rPr>
                <w:noProof/>
              </w:rPr>
              <w:t>Kapitalski transfer v višini 250 000 000 EUR s portugalske vlade na BPF in sprejetje naložbene politike za BPF</w:t>
            </w:r>
          </w:p>
        </w:tc>
      </w:tr>
      <w:tr w:rsidR="00F24946" w14:paraId="5DF0FC8C" w14:textId="77777777">
        <w:trPr>
          <w:trHeight w:val="440"/>
        </w:trPr>
        <w:tc>
          <w:tcPr>
            <w:tcW w:w="1200" w:type="dxa"/>
            <w:shd w:val="clear" w:color="auto" w:fill="C4EFCE"/>
            <w:vAlign w:val="center"/>
            <w:hideMark/>
          </w:tcPr>
          <w:p w14:paraId="4275F46E"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422F0890"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216845AB"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3845844B" w14:textId="3DC80B07" w:rsidR="00F24946" w:rsidRDefault="00613B06">
            <w:pPr>
              <w:pStyle w:val="P68B1DB1-Normal25"/>
              <w:spacing w:after="0" w:line="240" w:lineRule="auto"/>
              <w:jc w:val="center"/>
              <w:rPr>
                <w:rFonts w:cs="Calibri"/>
                <w:noProof/>
              </w:rPr>
            </w:pPr>
            <w:r>
              <w:rPr>
                <w:noProof/>
              </w:rPr>
              <w:t xml:space="preserve">125 000 000 EUR </w:t>
            </w:r>
          </w:p>
        </w:tc>
      </w:tr>
    </w:tbl>
    <w:p w14:paraId="011575C2"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2F53405C"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27D8DBB2"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Tretji zahtevek za plačilo (podpora za posojilo): </w:t>
      </w:r>
    </w:p>
    <w:p w14:paraId="45710B93"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56F1D039" w14:textId="77777777">
        <w:trPr>
          <w:trHeight w:val="509"/>
          <w:tblHeader/>
        </w:trPr>
        <w:tc>
          <w:tcPr>
            <w:tcW w:w="1200" w:type="dxa"/>
            <w:vMerge w:val="restart"/>
            <w:shd w:val="clear" w:color="auto" w:fill="BDD7EE"/>
            <w:vAlign w:val="center"/>
            <w:hideMark/>
          </w:tcPr>
          <w:p w14:paraId="1CD5E8AC" w14:textId="77777777" w:rsidR="00F24946" w:rsidRDefault="00613B06">
            <w:pPr>
              <w:pStyle w:val="P68B1DB1-Normal22"/>
              <w:keepNext/>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554BDD9C" w14:textId="77777777" w:rsidR="00F24946" w:rsidRDefault="00613B06">
            <w:pPr>
              <w:pStyle w:val="P68B1DB1-Normal22"/>
              <w:keepNext/>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5A817C51" w14:textId="77777777" w:rsidR="00F24946" w:rsidRDefault="00613B06">
            <w:pPr>
              <w:pStyle w:val="P68B1DB1-Normal22"/>
              <w:keepNext/>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348B16AE" w14:textId="77777777" w:rsidR="00F24946" w:rsidRDefault="00613B06">
            <w:pPr>
              <w:pStyle w:val="P68B1DB1-Normal22"/>
              <w:keepNext/>
              <w:spacing w:after="0" w:line="240" w:lineRule="auto"/>
              <w:jc w:val="center"/>
              <w:rPr>
                <w:rFonts w:eastAsia="Times New Roman" w:cs="Times New Roman"/>
                <w:noProof/>
              </w:rPr>
            </w:pPr>
            <w:r>
              <w:rPr>
                <w:noProof/>
              </w:rPr>
              <w:t>Ime</w:t>
            </w:r>
          </w:p>
        </w:tc>
      </w:tr>
      <w:tr w:rsidR="00F24946" w14:paraId="54C48B88" w14:textId="77777777">
        <w:trPr>
          <w:trHeight w:val="509"/>
          <w:tblHeader/>
        </w:trPr>
        <w:tc>
          <w:tcPr>
            <w:tcW w:w="1200" w:type="dxa"/>
            <w:vMerge/>
            <w:vAlign w:val="center"/>
            <w:hideMark/>
          </w:tcPr>
          <w:p w14:paraId="15CE11B2"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1D899E3A"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4387D244"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4C9A4136" w14:textId="77777777" w:rsidR="00F24946" w:rsidRDefault="00F24946">
            <w:pPr>
              <w:spacing w:after="0" w:line="240" w:lineRule="auto"/>
              <w:rPr>
                <w:rFonts w:ascii="Times New Roman" w:eastAsia="Times New Roman" w:hAnsi="Times New Roman" w:cs="Times New Roman"/>
                <w:noProof/>
                <w:sz w:val="20"/>
              </w:rPr>
            </w:pPr>
          </w:p>
        </w:tc>
      </w:tr>
      <w:tr w:rsidR="00F24946" w14:paraId="30E391F9" w14:textId="77777777">
        <w:trPr>
          <w:trHeight w:val="440"/>
        </w:trPr>
        <w:tc>
          <w:tcPr>
            <w:tcW w:w="1200" w:type="dxa"/>
            <w:shd w:val="clear" w:color="auto" w:fill="C4EFCE"/>
            <w:vAlign w:val="center"/>
          </w:tcPr>
          <w:p w14:paraId="1329D539" w14:textId="77777777" w:rsidR="00F24946" w:rsidRDefault="00613B06">
            <w:pPr>
              <w:pStyle w:val="P68B1DB1-Normal23"/>
              <w:spacing w:after="0"/>
              <w:jc w:val="center"/>
              <w:rPr>
                <w:noProof/>
              </w:rPr>
            </w:pPr>
            <w:r>
              <w:rPr>
                <w:noProof/>
              </w:rPr>
              <w:t>2.20</w:t>
            </w:r>
          </w:p>
        </w:tc>
        <w:tc>
          <w:tcPr>
            <w:tcW w:w="1760" w:type="dxa"/>
            <w:shd w:val="clear" w:color="auto" w:fill="C4EFCE"/>
            <w:vAlign w:val="center"/>
          </w:tcPr>
          <w:p w14:paraId="46E5A600" w14:textId="77777777" w:rsidR="00F24946" w:rsidRDefault="00613B06">
            <w:pPr>
              <w:pStyle w:val="P68B1DB1-Normal23"/>
              <w:spacing w:after="0"/>
              <w:jc w:val="center"/>
              <w:rPr>
                <w:noProof/>
              </w:rPr>
            </w:pPr>
            <w:r>
              <w:rPr>
                <w:noProof/>
              </w:rPr>
              <w:t>Re-C02-i05</w:t>
            </w:r>
          </w:p>
        </w:tc>
        <w:tc>
          <w:tcPr>
            <w:tcW w:w="1520" w:type="dxa"/>
            <w:shd w:val="clear" w:color="auto" w:fill="C4EFCE"/>
            <w:vAlign w:val="center"/>
          </w:tcPr>
          <w:p w14:paraId="731E33FA" w14:textId="77777777" w:rsidR="00F24946" w:rsidRDefault="00613B06">
            <w:pPr>
              <w:pStyle w:val="P68B1DB1-Normal23"/>
              <w:spacing w:after="0"/>
              <w:jc w:val="center"/>
              <w:rPr>
                <w:noProof/>
              </w:rPr>
            </w:pPr>
            <w:r>
              <w:rPr>
                <w:noProof/>
              </w:rPr>
              <w:t>T</w:t>
            </w:r>
          </w:p>
        </w:tc>
        <w:tc>
          <w:tcPr>
            <w:tcW w:w="5060" w:type="dxa"/>
            <w:shd w:val="clear" w:color="auto" w:fill="C4EFCE"/>
            <w:vAlign w:val="center"/>
          </w:tcPr>
          <w:p w14:paraId="68BCDFD3" w14:textId="77777777" w:rsidR="00F24946" w:rsidRDefault="00613B06">
            <w:pPr>
              <w:pStyle w:val="P68B1DB1-Normal23"/>
              <w:spacing w:after="0"/>
              <w:jc w:val="both"/>
              <w:rPr>
                <w:noProof/>
              </w:rPr>
            </w:pPr>
            <w:r>
              <w:rPr>
                <w:noProof/>
              </w:rPr>
              <w:t>Cenovno dostopna javna stanovanja – stanovanja z začetnim delom (zgrajena z visoko energijsko učinkovitostjo ali sanirana z izboljšano energijsko učinkovitostjo)</w:t>
            </w:r>
          </w:p>
        </w:tc>
      </w:tr>
      <w:tr w:rsidR="00F24946" w14:paraId="74203895" w14:textId="77777777">
        <w:trPr>
          <w:trHeight w:val="440"/>
        </w:trPr>
        <w:tc>
          <w:tcPr>
            <w:tcW w:w="1200" w:type="dxa"/>
            <w:shd w:val="clear" w:color="auto" w:fill="C4EFCE"/>
            <w:vAlign w:val="center"/>
            <w:hideMark/>
          </w:tcPr>
          <w:p w14:paraId="2563BBA6" w14:textId="77777777" w:rsidR="00F24946" w:rsidRDefault="00613B06">
            <w:pPr>
              <w:pStyle w:val="P68B1DB1-Normal23"/>
              <w:spacing w:after="0"/>
              <w:jc w:val="center"/>
              <w:rPr>
                <w:noProof/>
              </w:rPr>
            </w:pPr>
            <w:r>
              <w:rPr>
                <w:noProof/>
              </w:rPr>
              <w:t>2.25</w:t>
            </w:r>
          </w:p>
        </w:tc>
        <w:tc>
          <w:tcPr>
            <w:tcW w:w="1760" w:type="dxa"/>
            <w:shd w:val="clear" w:color="auto" w:fill="C4EFCE"/>
            <w:vAlign w:val="center"/>
            <w:hideMark/>
          </w:tcPr>
          <w:p w14:paraId="7E22A000" w14:textId="77777777" w:rsidR="00F24946" w:rsidRDefault="00613B06">
            <w:pPr>
              <w:pStyle w:val="P68B1DB1-Normal23"/>
              <w:spacing w:after="0"/>
              <w:jc w:val="center"/>
              <w:rPr>
                <w:noProof/>
              </w:rPr>
            </w:pPr>
            <w:r>
              <w:rPr>
                <w:noProof/>
              </w:rPr>
              <w:t>Re-C02-i06</w:t>
            </w:r>
          </w:p>
        </w:tc>
        <w:tc>
          <w:tcPr>
            <w:tcW w:w="1520" w:type="dxa"/>
            <w:shd w:val="clear" w:color="auto" w:fill="C4EFCE"/>
            <w:vAlign w:val="center"/>
            <w:hideMark/>
          </w:tcPr>
          <w:p w14:paraId="116111E5" w14:textId="77777777" w:rsidR="00F24946" w:rsidRDefault="00613B06">
            <w:pPr>
              <w:pStyle w:val="P68B1DB1-Normal23"/>
              <w:spacing w:after="0"/>
              <w:jc w:val="center"/>
              <w:rPr>
                <w:noProof/>
              </w:rPr>
            </w:pPr>
            <w:r>
              <w:rPr>
                <w:noProof/>
              </w:rPr>
              <w:t>T</w:t>
            </w:r>
          </w:p>
        </w:tc>
        <w:tc>
          <w:tcPr>
            <w:tcW w:w="5060" w:type="dxa"/>
            <w:shd w:val="clear" w:color="auto" w:fill="C4EFCE"/>
            <w:vAlign w:val="center"/>
            <w:hideMark/>
          </w:tcPr>
          <w:p w14:paraId="53F83543" w14:textId="77777777" w:rsidR="00F24946" w:rsidRDefault="00613B06">
            <w:pPr>
              <w:pStyle w:val="P68B1DB1-Normal23"/>
              <w:spacing w:after="0"/>
              <w:jc w:val="both"/>
              <w:rPr>
                <w:noProof/>
              </w:rPr>
            </w:pPr>
            <w:r>
              <w:rPr>
                <w:noProof/>
              </w:rPr>
              <w:t>Študentska nastanitev po dostopnih cenah – število študentskih nastanitvenih mest z objavljenimi razpisi</w:t>
            </w:r>
          </w:p>
        </w:tc>
      </w:tr>
      <w:tr w:rsidR="00F24946" w14:paraId="30722990" w14:textId="77777777">
        <w:trPr>
          <w:trHeight w:val="440"/>
        </w:trPr>
        <w:tc>
          <w:tcPr>
            <w:tcW w:w="1200" w:type="dxa"/>
            <w:shd w:val="clear" w:color="auto" w:fill="C4EFCE"/>
            <w:vAlign w:val="center"/>
            <w:hideMark/>
          </w:tcPr>
          <w:p w14:paraId="1327A5E4" w14:textId="77777777" w:rsidR="00F24946" w:rsidRDefault="00613B06">
            <w:pPr>
              <w:pStyle w:val="P68B1DB1-Normal23"/>
              <w:spacing w:after="0"/>
              <w:jc w:val="center"/>
              <w:rPr>
                <w:noProof/>
              </w:rPr>
            </w:pPr>
            <w:r>
              <w:rPr>
                <w:noProof/>
              </w:rPr>
              <w:t>5.24</w:t>
            </w:r>
          </w:p>
        </w:tc>
        <w:tc>
          <w:tcPr>
            <w:tcW w:w="1760" w:type="dxa"/>
            <w:shd w:val="clear" w:color="auto" w:fill="C4EFCE"/>
            <w:vAlign w:val="center"/>
            <w:hideMark/>
          </w:tcPr>
          <w:p w14:paraId="7313D5BF" w14:textId="77777777" w:rsidR="00F24946" w:rsidRDefault="00613B06">
            <w:pPr>
              <w:pStyle w:val="P68B1DB1-Normal23"/>
              <w:spacing w:after="0"/>
              <w:jc w:val="center"/>
              <w:rPr>
                <w:noProof/>
              </w:rPr>
            </w:pPr>
            <w:r>
              <w:rPr>
                <w:noProof/>
              </w:rPr>
              <w:t xml:space="preserve"> Re-C05-r13</w:t>
            </w:r>
          </w:p>
        </w:tc>
        <w:tc>
          <w:tcPr>
            <w:tcW w:w="1520" w:type="dxa"/>
            <w:shd w:val="clear" w:color="auto" w:fill="C4EFCE"/>
            <w:vAlign w:val="center"/>
            <w:hideMark/>
          </w:tcPr>
          <w:p w14:paraId="5AFBE9E2"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D4879B7" w14:textId="77777777" w:rsidR="00F24946" w:rsidRDefault="00613B06">
            <w:pPr>
              <w:pStyle w:val="P68B1DB1-Normal23"/>
              <w:spacing w:after="0"/>
              <w:jc w:val="both"/>
              <w:rPr>
                <w:noProof/>
              </w:rPr>
            </w:pPr>
            <w:r>
              <w:rPr>
                <w:noProof/>
              </w:rPr>
              <w:t>Začetek veljavnosti revizije pravnega okvira za kolektivne naložbene podjeme</w:t>
            </w:r>
          </w:p>
        </w:tc>
      </w:tr>
      <w:tr w:rsidR="00F24946" w14:paraId="37C006F7" w14:textId="77777777">
        <w:trPr>
          <w:trHeight w:val="440"/>
        </w:trPr>
        <w:tc>
          <w:tcPr>
            <w:tcW w:w="1200" w:type="dxa"/>
            <w:shd w:val="clear" w:color="auto" w:fill="C4EFCE"/>
            <w:vAlign w:val="center"/>
            <w:hideMark/>
          </w:tcPr>
          <w:p w14:paraId="26B1491D" w14:textId="77777777" w:rsidR="00F24946" w:rsidRDefault="00613B06">
            <w:pPr>
              <w:pStyle w:val="P68B1DB1-Normal23"/>
              <w:spacing w:after="0"/>
              <w:jc w:val="center"/>
              <w:rPr>
                <w:noProof/>
              </w:rPr>
            </w:pPr>
            <w:r>
              <w:rPr>
                <w:noProof/>
              </w:rPr>
              <w:t>5.25</w:t>
            </w:r>
          </w:p>
        </w:tc>
        <w:tc>
          <w:tcPr>
            <w:tcW w:w="1760" w:type="dxa"/>
            <w:shd w:val="clear" w:color="auto" w:fill="C4EFCE"/>
            <w:vAlign w:val="center"/>
            <w:hideMark/>
          </w:tcPr>
          <w:p w14:paraId="7A4EA22B" w14:textId="77777777" w:rsidR="00F24946" w:rsidRDefault="00613B06">
            <w:pPr>
              <w:pStyle w:val="P68B1DB1-Normal23"/>
              <w:spacing w:after="0"/>
              <w:jc w:val="center"/>
              <w:rPr>
                <w:noProof/>
              </w:rPr>
            </w:pPr>
            <w:r>
              <w:rPr>
                <w:noProof/>
              </w:rPr>
              <w:t xml:space="preserve"> Re-C05-r13</w:t>
            </w:r>
          </w:p>
        </w:tc>
        <w:tc>
          <w:tcPr>
            <w:tcW w:w="1520" w:type="dxa"/>
            <w:shd w:val="clear" w:color="auto" w:fill="C4EFCE"/>
            <w:vAlign w:val="center"/>
            <w:hideMark/>
          </w:tcPr>
          <w:p w14:paraId="35B03426"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43CD5844" w14:textId="77777777" w:rsidR="00F24946" w:rsidRDefault="00613B06">
            <w:pPr>
              <w:pStyle w:val="P68B1DB1-Normal23"/>
              <w:spacing w:after="0"/>
              <w:jc w:val="both"/>
              <w:rPr>
                <w:noProof/>
              </w:rPr>
            </w:pPr>
            <w:r>
              <w:rPr>
                <w:noProof/>
              </w:rPr>
              <w:t>Začetek veljavnosti revizije Zakona o vrednostnih papirjih</w:t>
            </w:r>
          </w:p>
        </w:tc>
      </w:tr>
      <w:tr w:rsidR="00F24946" w14:paraId="3107CF2B" w14:textId="77777777">
        <w:trPr>
          <w:trHeight w:val="440"/>
        </w:trPr>
        <w:tc>
          <w:tcPr>
            <w:tcW w:w="1200" w:type="dxa"/>
            <w:shd w:val="clear" w:color="auto" w:fill="C4EFCE"/>
            <w:vAlign w:val="center"/>
            <w:hideMark/>
          </w:tcPr>
          <w:p w14:paraId="5CD7F889" w14:textId="77777777" w:rsidR="00F24946" w:rsidRDefault="00613B06">
            <w:pPr>
              <w:pStyle w:val="P68B1DB1-Normal23"/>
              <w:spacing w:after="0"/>
              <w:jc w:val="center"/>
              <w:rPr>
                <w:noProof/>
              </w:rPr>
            </w:pPr>
            <w:r>
              <w:rPr>
                <w:noProof/>
              </w:rPr>
              <w:t>7.9</w:t>
            </w:r>
          </w:p>
        </w:tc>
        <w:tc>
          <w:tcPr>
            <w:tcW w:w="1760" w:type="dxa"/>
            <w:shd w:val="clear" w:color="auto" w:fill="C4EFCE"/>
            <w:vAlign w:val="center"/>
            <w:hideMark/>
          </w:tcPr>
          <w:p w14:paraId="6466928F" w14:textId="77777777" w:rsidR="00F24946" w:rsidRDefault="00613B06">
            <w:pPr>
              <w:pStyle w:val="P68B1DB1-Normal23"/>
              <w:spacing w:after="0"/>
              <w:jc w:val="center"/>
              <w:rPr>
                <w:noProof/>
              </w:rPr>
            </w:pPr>
            <w:r>
              <w:rPr>
                <w:noProof/>
              </w:rPr>
              <w:t xml:space="preserve">Re-C07-i03 </w:t>
            </w:r>
          </w:p>
        </w:tc>
        <w:tc>
          <w:tcPr>
            <w:tcW w:w="1520" w:type="dxa"/>
            <w:shd w:val="clear" w:color="auto" w:fill="C4EFCE"/>
            <w:vAlign w:val="center"/>
            <w:hideMark/>
          </w:tcPr>
          <w:p w14:paraId="4E115C47" w14:textId="77777777" w:rsidR="00F24946" w:rsidRDefault="00613B06">
            <w:pPr>
              <w:pStyle w:val="P68B1DB1-Normal23"/>
              <w:spacing w:after="0"/>
              <w:jc w:val="center"/>
              <w:rPr>
                <w:noProof/>
              </w:rPr>
            </w:pPr>
            <w:r>
              <w:rPr>
                <w:noProof/>
              </w:rPr>
              <w:t>M</w:t>
            </w:r>
          </w:p>
        </w:tc>
        <w:tc>
          <w:tcPr>
            <w:tcW w:w="5060" w:type="dxa"/>
            <w:shd w:val="clear" w:color="auto" w:fill="C4EFCE"/>
            <w:vAlign w:val="center"/>
            <w:hideMark/>
          </w:tcPr>
          <w:p w14:paraId="0B0DF1F4" w14:textId="77777777" w:rsidR="00F24946" w:rsidRDefault="00613B06">
            <w:pPr>
              <w:pStyle w:val="P68B1DB1-Normal23"/>
              <w:spacing w:after="0"/>
              <w:jc w:val="both"/>
              <w:rPr>
                <w:noProof/>
              </w:rPr>
            </w:pPr>
            <w:r>
              <w:rPr>
                <w:noProof/>
              </w:rPr>
              <w:t>Zaključena prva presoja vplivov na okolje</w:t>
            </w:r>
          </w:p>
        </w:tc>
      </w:tr>
      <w:tr w:rsidR="00F24946" w14:paraId="652BE136" w14:textId="77777777">
        <w:trPr>
          <w:trHeight w:val="440"/>
        </w:trPr>
        <w:tc>
          <w:tcPr>
            <w:tcW w:w="1200" w:type="dxa"/>
            <w:shd w:val="clear" w:color="auto" w:fill="C4EFCE"/>
            <w:vAlign w:val="center"/>
            <w:hideMark/>
          </w:tcPr>
          <w:p w14:paraId="13A380F0"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02962246"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4AD9BEA"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23433A9A" w14:textId="7B7D6100" w:rsidR="00F24946" w:rsidRDefault="00613B06">
            <w:pPr>
              <w:pStyle w:val="P68B1DB1-Normal25"/>
              <w:spacing w:after="0" w:line="240" w:lineRule="auto"/>
              <w:jc w:val="center"/>
              <w:rPr>
                <w:rFonts w:cs="Calibri"/>
                <w:noProof/>
              </w:rPr>
            </w:pPr>
            <w:r>
              <w:rPr>
                <w:noProof/>
              </w:rPr>
              <w:t xml:space="preserve"> 379 431 726 EUR</w:t>
            </w:r>
          </w:p>
        </w:tc>
      </w:tr>
    </w:tbl>
    <w:p w14:paraId="5F6BC874"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44F6034D"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2CE96FCC"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Četrti zahtevek za plačilo (podpora za posojilo): </w:t>
      </w:r>
    </w:p>
    <w:p w14:paraId="1272C240"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238EAFDB" w14:textId="77777777">
        <w:trPr>
          <w:trHeight w:val="1018"/>
        </w:trPr>
        <w:tc>
          <w:tcPr>
            <w:tcW w:w="1200" w:type="dxa"/>
            <w:shd w:val="clear" w:color="auto" w:fill="BDD7EE"/>
            <w:vAlign w:val="center"/>
            <w:hideMark/>
          </w:tcPr>
          <w:p w14:paraId="5792BC42"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shd w:val="clear" w:color="auto" w:fill="BDD7EE"/>
            <w:vAlign w:val="center"/>
            <w:hideMark/>
          </w:tcPr>
          <w:p w14:paraId="334D13DB"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shd w:val="clear" w:color="auto" w:fill="BDD7EE"/>
            <w:vAlign w:val="center"/>
            <w:hideMark/>
          </w:tcPr>
          <w:p w14:paraId="2EFF9745"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shd w:val="clear" w:color="auto" w:fill="BDD7EE"/>
            <w:vAlign w:val="center"/>
            <w:hideMark/>
          </w:tcPr>
          <w:p w14:paraId="1E5AFC53"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2B0F91C7" w14:textId="77777777">
        <w:trPr>
          <w:trHeight w:val="440"/>
        </w:trPr>
        <w:tc>
          <w:tcPr>
            <w:tcW w:w="1200" w:type="dxa"/>
            <w:shd w:val="clear" w:color="auto" w:fill="C4EFCE"/>
            <w:vAlign w:val="center"/>
            <w:hideMark/>
          </w:tcPr>
          <w:p w14:paraId="33FD24C6" w14:textId="77777777" w:rsidR="00F24946" w:rsidRDefault="00613B06">
            <w:pPr>
              <w:pStyle w:val="P68B1DB1-Normal23"/>
              <w:spacing w:after="0"/>
              <w:jc w:val="center"/>
              <w:rPr>
                <w:rFonts w:eastAsia="Calibri" w:cs="Calibri"/>
                <w:noProof/>
              </w:rPr>
            </w:pPr>
            <w:r>
              <w:rPr>
                <w:noProof/>
              </w:rPr>
              <w:t>5.44</w:t>
            </w:r>
          </w:p>
        </w:tc>
        <w:tc>
          <w:tcPr>
            <w:tcW w:w="1760" w:type="dxa"/>
            <w:shd w:val="clear" w:color="auto" w:fill="C4EFCE"/>
            <w:vAlign w:val="center"/>
            <w:hideMark/>
          </w:tcPr>
          <w:p w14:paraId="11788CF6" w14:textId="77777777" w:rsidR="00F24946" w:rsidRDefault="00613B06">
            <w:pPr>
              <w:pStyle w:val="P68B1DB1-Normal23"/>
              <w:spacing w:after="0"/>
              <w:jc w:val="center"/>
              <w:rPr>
                <w:rFonts w:eastAsia="Calibri" w:cs="Calibri"/>
                <w:noProof/>
              </w:rPr>
            </w:pPr>
            <w:r>
              <w:rPr>
                <w:noProof/>
              </w:rPr>
              <w:t xml:space="preserve">Re-C05-i11 </w:t>
            </w:r>
          </w:p>
        </w:tc>
        <w:tc>
          <w:tcPr>
            <w:tcW w:w="1520" w:type="dxa"/>
            <w:shd w:val="clear" w:color="auto" w:fill="C4EFCE"/>
            <w:vAlign w:val="center"/>
            <w:hideMark/>
          </w:tcPr>
          <w:p w14:paraId="58C4625A"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0FDFE40" w14:textId="77777777" w:rsidR="00F24946" w:rsidRDefault="00613B06">
            <w:pPr>
              <w:pStyle w:val="P68B1DB1-Normal23"/>
              <w:spacing w:after="0"/>
              <w:jc w:val="both"/>
              <w:rPr>
                <w:rFonts w:eastAsia="Calibri" w:cs="Calibri"/>
                <w:noProof/>
              </w:rPr>
            </w:pPr>
            <w:r>
              <w:rPr>
                <w:noProof/>
              </w:rPr>
              <w:t>Sklepanje pogodb za razvoj novih proizvodov, procesov ali storitev na ustreznih strateških področjih (programi inovacij).</w:t>
            </w:r>
          </w:p>
        </w:tc>
      </w:tr>
      <w:tr w:rsidR="00F24946" w14:paraId="7151D914" w14:textId="77777777">
        <w:trPr>
          <w:trHeight w:val="440"/>
        </w:trPr>
        <w:tc>
          <w:tcPr>
            <w:tcW w:w="1200" w:type="dxa"/>
            <w:shd w:val="clear" w:color="auto" w:fill="C4EFCE"/>
            <w:vAlign w:val="center"/>
            <w:hideMark/>
          </w:tcPr>
          <w:p w14:paraId="0F583F70" w14:textId="77777777" w:rsidR="00F24946" w:rsidRDefault="00613B06">
            <w:pPr>
              <w:pStyle w:val="P68B1DB1-Normal23"/>
              <w:spacing w:after="0"/>
              <w:jc w:val="center"/>
              <w:rPr>
                <w:rFonts w:eastAsia="Calibri" w:cs="Calibri"/>
                <w:noProof/>
              </w:rPr>
            </w:pPr>
            <w:r>
              <w:rPr>
                <w:noProof/>
              </w:rPr>
              <w:t>7.11</w:t>
            </w:r>
          </w:p>
        </w:tc>
        <w:tc>
          <w:tcPr>
            <w:tcW w:w="1760" w:type="dxa"/>
            <w:shd w:val="clear" w:color="auto" w:fill="C4EFCE"/>
            <w:vAlign w:val="center"/>
            <w:hideMark/>
          </w:tcPr>
          <w:p w14:paraId="478656E2" w14:textId="77777777" w:rsidR="00F24946" w:rsidRDefault="00613B06">
            <w:pPr>
              <w:pStyle w:val="P68B1DB1-Normal23"/>
              <w:spacing w:after="0"/>
              <w:jc w:val="center"/>
              <w:rPr>
                <w:rFonts w:eastAsia="Calibri" w:cs="Calibri"/>
                <w:noProof/>
              </w:rPr>
            </w:pPr>
            <w:r>
              <w:rPr>
                <w:noProof/>
              </w:rPr>
              <w:t xml:space="preserve">Re-C07-i04  </w:t>
            </w:r>
          </w:p>
        </w:tc>
        <w:tc>
          <w:tcPr>
            <w:tcW w:w="1520" w:type="dxa"/>
            <w:shd w:val="clear" w:color="auto" w:fill="C4EFCE"/>
            <w:vAlign w:val="center"/>
            <w:hideMark/>
          </w:tcPr>
          <w:p w14:paraId="07BFFE39"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B8891E4" w14:textId="77777777" w:rsidR="00F24946" w:rsidRDefault="00613B06">
            <w:pPr>
              <w:pStyle w:val="P68B1DB1-Normal23"/>
              <w:spacing w:after="0"/>
              <w:jc w:val="both"/>
              <w:rPr>
                <w:rFonts w:eastAsia="Calibri" w:cs="Calibri"/>
                <w:noProof/>
              </w:rPr>
            </w:pPr>
            <w:r>
              <w:rPr>
                <w:noProof/>
              </w:rPr>
              <w:t>Podpisana pogodba za 10 cestnih projektov</w:t>
            </w:r>
          </w:p>
        </w:tc>
      </w:tr>
      <w:tr w:rsidR="00F24946" w14:paraId="2C020E91" w14:textId="77777777">
        <w:trPr>
          <w:trHeight w:val="440"/>
        </w:trPr>
        <w:tc>
          <w:tcPr>
            <w:tcW w:w="1200" w:type="dxa"/>
            <w:shd w:val="clear" w:color="auto" w:fill="C4EFCE"/>
            <w:vAlign w:val="center"/>
            <w:hideMark/>
          </w:tcPr>
          <w:p w14:paraId="6C01BAD7"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1969BD93"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089A606F"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2572465C" w14:textId="22F74E77" w:rsidR="00F24946" w:rsidRDefault="00613B06">
            <w:pPr>
              <w:pStyle w:val="P68B1DB1-Normal25"/>
              <w:spacing w:after="0" w:line="240" w:lineRule="auto"/>
              <w:jc w:val="center"/>
              <w:rPr>
                <w:rFonts w:cs="Calibri"/>
                <w:noProof/>
              </w:rPr>
            </w:pPr>
            <w:r>
              <w:rPr>
                <w:noProof/>
              </w:rPr>
              <w:t xml:space="preserve">235 337 423 EUR </w:t>
            </w:r>
          </w:p>
        </w:tc>
      </w:tr>
    </w:tbl>
    <w:p w14:paraId="1848AD6B"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Peti zahtevek za plačilo (podpora za posojilo): </w:t>
      </w:r>
    </w:p>
    <w:p w14:paraId="3731A29C"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0A22D6D8" w14:textId="77777777">
        <w:trPr>
          <w:trHeight w:val="509"/>
        </w:trPr>
        <w:tc>
          <w:tcPr>
            <w:tcW w:w="1200" w:type="dxa"/>
            <w:vMerge w:val="restart"/>
            <w:shd w:val="clear" w:color="auto" w:fill="BDD7EE"/>
            <w:vAlign w:val="center"/>
            <w:hideMark/>
          </w:tcPr>
          <w:p w14:paraId="0638121E"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301BBB67"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32F1223B"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67BAF3AB"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655C06D0" w14:textId="77777777">
        <w:trPr>
          <w:trHeight w:val="509"/>
        </w:trPr>
        <w:tc>
          <w:tcPr>
            <w:tcW w:w="1200" w:type="dxa"/>
            <w:vMerge/>
            <w:vAlign w:val="center"/>
            <w:hideMark/>
          </w:tcPr>
          <w:p w14:paraId="7598C946"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016E741A"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0568ABB1"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1B8F5928" w14:textId="77777777" w:rsidR="00F24946" w:rsidRDefault="00F24946">
            <w:pPr>
              <w:spacing w:after="0" w:line="240" w:lineRule="auto"/>
              <w:rPr>
                <w:rFonts w:ascii="Times New Roman" w:eastAsia="Times New Roman" w:hAnsi="Times New Roman" w:cs="Times New Roman"/>
                <w:noProof/>
                <w:sz w:val="20"/>
              </w:rPr>
            </w:pPr>
          </w:p>
        </w:tc>
      </w:tr>
      <w:tr w:rsidR="00F24946" w14:paraId="31A58DED" w14:textId="77777777">
        <w:trPr>
          <w:trHeight w:val="440"/>
        </w:trPr>
        <w:tc>
          <w:tcPr>
            <w:tcW w:w="1200" w:type="dxa"/>
            <w:shd w:val="clear" w:color="auto" w:fill="C4EFCE"/>
            <w:vAlign w:val="center"/>
            <w:hideMark/>
          </w:tcPr>
          <w:p w14:paraId="167E4BB8" w14:textId="77777777" w:rsidR="00F24946" w:rsidRDefault="00613B06">
            <w:pPr>
              <w:pStyle w:val="P68B1DB1-Normal23"/>
              <w:spacing w:after="0"/>
              <w:jc w:val="center"/>
              <w:rPr>
                <w:rFonts w:eastAsia="Calibri" w:cs="Calibri"/>
                <w:noProof/>
              </w:rPr>
            </w:pPr>
            <w:r>
              <w:rPr>
                <w:noProof/>
              </w:rPr>
              <w:t>5.26</w:t>
            </w:r>
          </w:p>
        </w:tc>
        <w:tc>
          <w:tcPr>
            <w:tcW w:w="1760" w:type="dxa"/>
            <w:shd w:val="clear" w:color="auto" w:fill="C4EFCE"/>
            <w:vAlign w:val="center"/>
            <w:hideMark/>
          </w:tcPr>
          <w:p w14:paraId="062B8E17" w14:textId="77777777" w:rsidR="00F24946" w:rsidRDefault="00613B06">
            <w:pPr>
              <w:pStyle w:val="P68B1DB1-Normal23"/>
              <w:spacing w:after="0"/>
              <w:jc w:val="center"/>
              <w:rPr>
                <w:rFonts w:eastAsia="Calibri" w:cs="Calibri"/>
                <w:noProof/>
              </w:rPr>
            </w:pPr>
            <w:r>
              <w:rPr>
                <w:noProof/>
              </w:rPr>
              <w:t>Re-C05-r13</w:t>
            </w:r>
          </w:p>
        </w:tc>
        <w:tc>
          <w:tcPr>
            <w:tcW w:w="1520" w:type="dxa"/>
            <w:shd w:val="clear" w:color="auto" w:fill="C4EFCE"/>
            <w:vAlign w:val="center"/>
            <w:hideMark/>
          </w:tcPr>
          <w:p w14:paraId="4FF6BD54"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7CA2977" w14:textId="77777777" w:rsidR="00F24946" w:rsidRDefault="00613B06">
            <w:pPr>
              <w:pStyle w:val="P68B1DB1-Normal23"/>
              <w:spacing w:after="0"/>
              <w:jc w:val="both"/>
              <w:rPr>
                <w:rFonts w:eastAsia="Calibri" w:cs="Calibri"/>
                <w:noProof/>
              </w:rPr>
            </w:pPr>
            <w:r>
              <w:rPr>
                <w:noProof/>
              </w:rPr>
              <w:t>Razvoj kapitalskih trgov – začetek veljavnosti zakonodaje</w:t>
            </w:r>
          </w:p>
        </w:tc>
      </w:tr>
      <w:tr w:rsidR="00F24946" w14:paraId="71DDD36A" w14:textId="77777777">
        <w:trPr>
          <w:trHeight w:val="440"/>
        </w:trPr>
        <w:tc>
          <w:tcPr>
            <w:tcW w:w="1200" w:type="dxa"/>
            <w:shd w:val="clear" w:color="auto" w:fill="C4EFCE"/>
            <w:vAlign w:val="center"/>
            <w:hideMark/>
          </w:tcPr>
          <w:p w14:paraId="374292D1" w14:textId="77777777" w:rsidR="00F24946" w:rsidRDefault="00613B06">
            <w:pPr>
              <w:pStyle w:val="P68B1DB1-Normal23"/>
              <w:spacing w:after="0"/>
              <w:jc w:val="center"/>
              <w:rPr>
                <w:rFonts w:eastAsia="Calibri" w:cs="Calibri"/>
                <w:noProof/>
              </w:rPr>
            </w:pPr>
            <w:r>
              <w:rPr>
                <w:noProof/>
              </w:rPr>
              <w:t>5.43</w:t>
            </w:r>
          </w:p>
        </w:tc>
        <w:tc>
          <w:tcPr>
            <w:tcW w:w="1760" w:type="dxa"/>
            <w:shd w:val="clear" w:color="auto" w:fill="C4EFCE"/>
            <w:vAlign w:val="center"/>
            <w:hideMark/>
          </w:tcPr>
          <w:p w14:paraId="10072DFA" w14:textId="77777777" w:rsidR="00F24946" w:rsidRDefault="00613B06">
            <w:pPr>
              <w:pStyle w:val="P68B1DB1-Normal23"/>
              <w:spacing w:after="0"/>
              <w:jc w:val="center"/>
              <w:rPr>
                <w:rFonts w:eastAsia="Calibri" w:cs="Calibri"/>
                <w:noProof/>
              </w:rPr>
            </w:pPr>
            <w:r>
              <w:rPr>
                <w:noProof/>
              </w:rPr>
              <w:t>Re-C05-i06</w:t>
            </w:r>
          </w:p>
        </w:tc>
        <w:tc>
          <w:tcPr>
            <w:tcW w:w="1520" w:type="dxa"/>
            <w:shd w:val="clear" w:color="auto" w:fill="C4EFCE"/>
            <w:vAlign w:val="center"/>
            <w:hideMark/>
          </w:tcPr>
          <w:p w14:paraId="7E7B7F52"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D07322" w14:textId="77777777" w:rsidR="00F24946" w:rsidRDefault="00613B06">
            <w:pPr>
              <w:pStyle w:val="P68B1DB1-Normal23"/>
              <w:spacing w:after="0"/>
              <w:jc w:val="both"/>
              <w:rPr>
                <w:rFonts w:eastAsia="Calibri" w:cs="Calibri"/>
                <w:noProof/>
              </w:rPr>
            </w:pPr>
            <w:r>
              <w:rPr>
                <w:noProof/>
              </w:rPr>
              <w:t>Zagotovitev podpore portugalskim nefinančnim družbam z lastniškim kapitalom in navideznim lastniškim kapitalom s pomočjo instrumenta kapitalizacije v skupnem znesku 650 000 000 EUR v skladu s svojo naložbeno politiko</w:t>
            </w:r>
          </w:p>
        </w:tc>
      </w:tr>
      <w:tr w:rsidR="00F24946" w14:paraId="67BDDC9F" w14:textId="77777777">
        <w:trPr>
          <w:trHeight w:val="440"/>
        </w:trPr>
        <w:tc>
          <w:tcPr>
            <w:tcW w:w="1200" w:type="dxa"/>
            <w:shd w:val="clear" w:color="auto" w:fill="C4EFCE"/>
            <w:vAlign w:val="center"/>
            <w:hideMark/>
          </w:tcPr>
          <w:p w14:paraId="66047135" w14:textId="77777777" w:rsidR="00F24946" w:rsidRDefault="00613B06">
            <w:pPr>
              <w:pStyle w:val="P68B1DB1-Normal23"/>
              <w:spacing w:after="0"/>
              <w:jc w:val="center"/>
              <w:rPr>
                <w:rFonts w:eastAsia="Calibri" w:cs="Calibri"/>
                <w:noProof/>
              </w:rPr>
            </w:pPr>
            <w:r>
              <w:rPr>
                <w:noProof/>
              </w:rPr>
              <w:t>5.46</w:t>
            </w:r>
          </w:p>
        </w:tc>
        <w:tc>
          <w:tcPr>
            <w:tcW w:w="1760" w:type="dxa"/>
            <w:shd w:val="clear" w:color="auto" w:fill="C4EFCE"/>
            <w:vAlign w:val="center"/>
            <w:hideMark/>
          </w:tcPr>
          <w:p w14:paraId="5377E714" w14:textId="0B051042" w:rsidR="00F24946" w:rsidRDefault="00613B06">
            <w:pPr>
              <w:pStyle w:val="P68B1DB1-Normal23"/>
              <w:spacing w:after="0"/>
              <w:jc w:val="center"/>
              <w:rPr>
                <w:rFonts w:eastAsia="Calibri" w:cs="Calibri"/>
                <w:noProof/>
              </w:rPr>
            </w:pPr>
            <w:r>
              <w:rPr>
                <w:noProof/>
              </w:rPr>
              <w:t>Re-C05-i12</w:t>
            </w:r>
          </w:p>
        </w:tc>
        <w:tc>
          <w:tcPr>
            <w:tcW w:w="1520" w:type="dxa"/>
            <w:shd w:val="clear" w:color="auto" w:fill="C4EFCE"/>
            <w:vAlign w:val="center"/>
            <w:hideMark/>
          </w:tcPr>
          <w:p w14:paraId="39E8C887"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261A9DA" w14:textId="77777777" w:rsidR="00F24946" w:rsidRDefault="00613B06">
            <w:pPr>
              <w:pStyle w:val="P68B1DB1-Normal23"/>
              <w:spacing w:after="0"/>
              <w:jc w:val="both"/>
              <w:rPr>
                <w:rFonts w:eastAsia="Calibri" w:cs="Calibri"/>
                <w:noProof/>
              </w:rPr>
            </w:pPr>
            <w:r>
              <w:rPr>
                <w:noProof/>
              </w:rPr>
              <w:t>Sklepanje pogodb za razvoj novih proizvodov, procesov ali storitev na strateških področjih, pomembnih za nizkoogljično gospodarstvo, odpornost in prilagajanje podnebnim spremembam.</w:t>
            </w:r>
          </w:p>
        </w:tc>
      </w:tr>
      <w:tr w:rsidR="00F24946" w14:paraId="783646DD" w14:textId="77777777">
        <w:trPr>
          <w:trHeight w:val="440"/>
        </w:trPr>
        <w:tc>
          <w:tcPr>
            <w:tcW w:w="1200" w:type="dxa"/>
            <w:shd w:val="clear" w:color="auto" w:fill="C4EFCE"/>
            <w:vAlign w:val="center"/>
            <w:hideMark/>
          </w:tcPr>
          <w:p w14:paraId="79C5A416" w14:textId="77777777" w:rsidR="00F24946" w:rsidRDefault="00613B06">
            <w:pPr>
              <w:pStyle w:val="P68B1DB1-Normal23"/>
              <w:spacing w:after="0"/>
              <w:jc w:val="center"/>
              <w:rPr>
                <w:rFonts w:eastAsia="Calibri" w:cs="Calibri"/>
                <w:noProof/>
              </w:rPr>
            </w:pPr>
            <w:r>
              <w:rPr>
                <w:noProof/>
              </w:rPr>
              <w:t>9.10</w:t>
            </w:r>
          </w:p>
        </w:tc>
        <w:tc>
          <w:tcPr>
            <w:tcW w:w="1760" w:type="dxa"/>
            <w:shd w:val="clear" w:color="auto" w:fill="C4EFCE"/>
            <w:vAlign w:val="center"/>
            <w:hideMark/>
          </w:tcPr>
          <w:p w14:paraId="2E34E883" w14:textId="77777777" w:rsidR="00F24946" w:rsidRDefault="00613B06">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3EC8C1A2"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6B927BD" w14:textId="77777777" w:rsidR="00F24946" w:rsidRDefault="00613B06">
            <w:pPr>
              <w:pStyle w:val="P68B1DB1-Normal23"/>
              <w:spacing w:after="0"/>
              <w:jc w:val="both"/>
              <w:rPr>
                <w:rFonts w:eastAsia="Calibri" w:cs="Calibri"/>
                <w:noProof/>
              </w:rPr>
            </w:pPr>
            <w:r>
              <w:rPr>
                <w:noProof/>
              </w:rPr>
              <w:t>Odvisno od pozitivne presoje vplivov na okolje, ki je v celoti in vsebinsko skladna s pravnimi merili, sprejetja posodobljene zasnove jezu, proizvodnje električne energije iz vodne in sončne energije ter namakanja, ki v celoti vključuje vse rezultate in pogoje iz presoje vplivov na okolje.</w:t>
            </w:r>
          </w:p>
        </w:tc>
      </w:tr>
      <w:tr w:rsidR="00F24946" w14:paraId="4044B104" w14:textId="77777777">
        <w:trPr>
          <w:trHeight w:val="440"/>
        </w:trPr>
        <w:tc>
          <w:tcPr>
            <w:tcW w:w="1200" w:type="dxa"/>
            <w:shd w:val="clear" w:color="auto" w:fill="C4EFCE"/>
            <w:vAlign w:val="center"/>
            <w:hideMark/>
          </w:tcPr>
          <w:p w14:paraId="554977E2" w14:textId="77777777" w:rsidR="00F24946" w:rsidRDefault="00613B06">
            <w:pPr>
              <w:pStyle w:val="P68B1DB1-Normal23"/>
              <w:spacing w:after="0"/>
              <w:jc w:val="center"/>
              <w:rPr>
                <w:rFonts w:eastAsia="Calibri" w:cs="Calibri"/>
                <w:noProof/>
              </w:rPr>
            </w:pPr>
            <w:r>
              <w:rPr>
                <w:noProof/>
              </w:rPr>
              <w:t>10.5</w:t>
            </w:r>
          </w:p>
        </w:tc>
        <w:tc>
          <w:tcPr>
            <w:tcW w:w="1760" w:type="dxa"/>
            <w:shd w:val="clear" w:color="auto" w:fill="C4EFCE"/>
            <w:vAlign w:val="center"/>
            <w:hideMark/>
          </w:tcPr>
          <w:p w14:paraId="7E88ECA5" w14:textId="77777777" w:rsidR="00F24946" w:rsidRDefault="00613B06">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65EB6416"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26B7A6F" w14:textId="77777777" w:rsidR="00F24946" w:rsidRDefault="00613B06">
            <w:pPr>
              <w:pStyle w:val="P68B1DB1-Normal23"/>
              <w:spacing w:after="0"/>
              <w:jc w:val="both"/>
              <w:rPr>
                <w:rFonts w:eastAsia="Calibri" w:cs="Calibri"/>
                <w:noProof/>
              </w:rPr>
            </w:pPr>
            <w:r>
              <w:rPr>
                <w:noProof/>
              </w:rPr>
              <w:t>Podpis pogodbe za večfunkcionalno pomorsko platformo in operativni center</w:t>
            </w:r>
          </w:p>
        </w:tc>
      </w:tr>
      <w:tr w:rsidR="00F24946" w14:paraId="2B9DFF49" w14:textId="77777777">
        <w:trPr>
          <w:trHeight w:val="440"/>
        </w:trPr>
        <w:tc>
          <w:tcPr>
            <w:tcW w:w="1200" w:type="dxa"/>
            <w:shd w:val="clear" w:color="auto" w:fill="C4EFCE"/>
            <w:vAlign w:val="center"/>
            <w:hideMark/>
          </w:tcPr>
          <w:p w14:paraId="2647C53D" w14:textId="77777777" w:rsidR="00F24946" w:rsidRDefault="00613B06">
            <w:pPr>
              <w:pStyle w:val="P68B1DB1-Normal23"/>
              <w:spacing w:after="0"/>
              <w:jc w:val="center"/>
              <w:rPr>
                <w:rFonts w:eastAsia="Calibri" w:cs="Calibri"/>
                <w:noProof/>
              </w:rPr>
            </w:pPr>
            <w:r>
              <w:rPr>
                <w:noProof/>
              </w:rPr>
              <w:t>10.6</w:t>
            </w:r>
          </w:p>
        </w:tc>
        <w:tc>
          <w:tcPr>
            <w:tcW w:w="1760" w:type="dxa"/>
            <w:shd w:val="clear" w:color="auto" w:fill="C4EFCE"/>
            <w:vAlign w:val="center"/>
            <w:hideMark/>
          </w:tcPr>
          <w:p w14:paraId="2A668662" w14:textId="77777777" w:rsidR="00F24946" w:rsidRDefault="00613B06">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3A3E338C"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F4C4272" w14:textId="77777777" w:rsidR="00F24946" w:rsidRDefault="00613B06">
            <w:pPr>
              <w:pStyle w:val="P68B1DB1-Normal23"/>
              <w:spacing w:after="0"/>
              <w:jc w:val="both"/>
              <w:rPr>
                <w:rFonts w:eastAsia="Calibri" w:cs="Calibri"/>
                <w:noProof/>
              </w:rPr>
            </w:pPr>
            <w:r>
              <w:rPr>
                <w:noProof/>
              </w:rPr>
              <w:t>Dokončanje akademije Alfeite Arsenal</w:t>
            </w:r>
          </w:p>
        </w:tc>
      </w:tr>
      <w:tr w:rsidR="00F24946" w14:paraId="6D18500A" w14:textId="77777777">
        <w:trPr>
          <w:trHeight w:val="440"/>
        </w:trPr>
        <w:tc>
          <w:tcPr>
            <w:tcW w:w="1200" w:type="dxa"/>
            <w:shd w:val="clear" w:color="auto" w:fill="C4EFCE"/>
            <w:vAlign w:val="center"/>
            <w:hideMark/>
          </w:tcPr>
          <w:p w14:paraId="67574E56" w14:textId="77777777" w:rsidR="00F24946" w:rsidRDefault="00613B06">
            <w:pPr>
              <w:pStyle w:val="P68B1DB1-Normal23"/>
              <w:spacing w:after="0"/>
              <w:jc w:val="center"/>
              <w:rPr>
                <w:rFonts w:eastAsia="Calibri" w:cs="Calibri"/>
                <w:noProof/>
              </w:rPr>
            </w:pPr>
            <w:r>
              <w:rPr>
                <w:noProof/>
              </w:rPr>
              <w:t>10.17</w:t>
            </w:r>
          </w:p>
        </w:tc>
        <w:tc>
          <w:tcPr>
            <w:tcW w:w="1760" w:type="dxa"/>
            <w:shd w:val="clear" w:color="auto" w:fill="C4EFCE"/>
            <w:vAlign w:val="center"/>
            <w:hideMark/>
          </w:tcPr>
          <w:p w14:paraId="1B6529A3" w14:textId="77777777" w:rsidR="00F24946" w:rsidRDefault="00613B06">
            <w:pPr>
              <w:pStyle w:val="P68B1DB1-Normal23"/>
              <w:spacing w:after="0"/>
              <w:jc w:val="center"/>
              <w:rPr>
                <w:rFonts w:eastAsia="Calibri" w:cs="Calibri"/>
                <w:noProof/>
              </w:rPr>
            </w:pPr>
            <w:r>
              <w:rPr>
                <w:noProof/>
              </w:rPr>
              <w:t>TC-C10-i07</w:t>
            </w:r>
          </w:p>
        </w:tc>
        <w:tc>
          <w:tcPr>
            <w:tcW w:w="1520" w:type="dxa"/>
            <w:shd w:val="clear" w:color="auto" w:fill="C4EFCE"/>
            <w:vAlign w:val="center"/>
            <w:hideMark/>
          </w:tcPr>
          <w:p w14:paraId="12FB1760"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BC8A74" w14:textId="77777777" w:rsidR="00F24946" w:rsidRDefault="00613B06">
            <w:pPr>
              <w:pStyle w:val="P68B1DB1-Normal23"/>
              <w:spacing w:after="0"/>
              <w:jc w:val="both"/>
              <w:rPr>
                <w:rFonts w:eastAsia="Calibri" w:cs="Calibri"/>
                <w:noProof/>
              </w:rPr>
            </w:pPr>
            <w:r>
              <w:rPr>
                <w:noProof/>
              </w:rPr>
              <w:t>Objava javnega razpisa za razogljičenje plovil</w:t>
            </w:r>
          </w:p>
        </w:tc>
      </w:tr>
      <w:tr w:rsidR="00F24946" w14:paraId="433CADC7" w14:textId="77777777">
        <w:trPr>
          <w:trHeight w:val="440"/>
        </w:trPr>
        <w:tc>
          <w:tcPr>
            <w:tcW w:w="1200" w:type="dxa"/>
            <w:shd w:val="clear" w:color="auto" w:fill="C4EFCE"/>
            <w:vAlign w:val="center"/>
            <w:hideMark/>
          </w:tcPr>
          <w:p w14:paraId="58C38FE9"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174B648"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581E3C9"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730C8AFB" w14:textId="36EB2DD1" w:rsidR="00F24946" w:rsidRDefault="00613B06">
            <w:pPr>
              <w:pStyle w:val="P68B1DB1-Normal25"/>
              <w:spacing w:after="0" w:line="240" w:lineRule="auto"/>
              <w:jc w:val="center"/>
              <w:rPr>
                <w:rFonts w:cs="Calibri"/>
                <w:noProof/>
              </w:rPr>
            </w:pPr>
            <w:r>
              <w:rPr>
                <w:noProof/>
              </w:rPr>
              <w:t xml:space="preserve"> 1 313 054 513 EUR </w:t>
            </w:r>
          </w:p>
        </w:tc>
      </w:tr>
    </w:tbl>
    <w:p w14:paraId="776DB0E1"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Šesti zahtevek za plačilo (podpora posojilu): </w:t>
      </w:r>
    </w:p>
    <w:p w14:paraId="4627AFE2"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472DF692" w14:textId="77777777">
        <w:trPr>
          <w:trHeight w:val="1018"/>
        </w:trPr>
        <w:tc>
          <w:tcPr>
            <w:tcW w:w="1200" w:type="dxa"/>
            <w:shd w:val="clear" w:color="auto" w:fill="BDD7EE"/>
            <w:vAlign w:val="center"/>
            <w:hideMark/>
          </w:tcPr>
          <w:p w14:paraId="7B934C96"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shd w:val="clear" w:color="auto" w:fill="BDD7EE"/>
            <w:vAlign w:val="center"/>
            <w:hideMark/>
          </w:tcPr>
          <w:p w14:paraId="5CEE0E60"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shd w:val="clear" w:color="auto" w:fill="BDD7EE"/>
            <w:vAlign w:val="center"/>
            <w:hideMark/>
          </w:tcPr>
          <w:p w14:paraId="33AA6AB1"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shd w:val="clear" w:color="auto" w:fill="BDD7EE"/>
            <w:vAlign w:val="center"/>
            <w:hideMark/>
          </w:tcPr>
          <w:p w14:paraId="2BCBDEC5"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248D56A1" w14:textId="77777777">
        <w:trPr>
          <w:trHeight w:val="440"/>
        </w:trPr>
        <w:tc>
          <w:tcPr>
            <w:tcW w:w="1200" w:type="dxa"/>
            <w:shd w:val="clear" w:color="auto" w:fill="C4EFCE"/>
            <w:vAlign w:val="center"/>
            <w:hideMark/>
          </w:tcPr>
          <w:p w14:paraId="4959120F" w14:textId="77777777" w:rsidR="00F24946" w:rsidRDefault="00613B06">
            <w:pPr>
              <w:pStyle w:val="P68B1DB1-Normal23"/>
              <w:spacing w:after="0"/>
              <w:jc w:val="center"/>
              <w:rPr>
                <w:rFonts w:eastAsia="Calibri" w:cs="Calibri"/>
                <w:noProof/>
              </w:rPr>
            </w:pPr>
            <w:r>
              <w:rPr>
                <w:noProof/>
              </w:rPr>
              <w:t>15.7</w:t>
            </w:r>
          </w:p>
        </w:tc>
        <w:tc>
          <w:tcPr>
            <w:tcW w:w="1760" w:type="dxa"/>
            <w:shd w:val="clear" w:color="auto" w:fill="C4EFCE"/>
            <w:vAlign w:val="center"/>
            <w:hideMark/>
          </w:tcPr>
          <w:p w14:paraId="7916AD2D" w14:textId="27F376C2" w:rsidR="00F24946" w:rsidRDefault="00613B06">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75FE8E7B"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1ACFDB1" w14:textId="77777777" w:rsidR="00F24946" w:rsidRDefault="00613B06">
            <w:pPr>
              <w:pStyle w:val="P68B1DB1-Normal23"/>
              <w:spacing w:after="0"/>
              <w:jc w:val="both"/>
              <w:rPr>
                <w:rFonts w:eastAsia="Calibri" w:cs="Calibri"/>
                <w:noProof/>
              </w:rPr>
            </w:pPr>
            <w:r>
              <w:rPr>
                <w:noProof/>
              </w:rPr>
              <w:t>Podpis pogodbe za gradnjo železniške proge Light Rail Transitway med Odivelasom in Louresom</w:t>
            </w:r>
          </w:p>
        </w:tc>
      </w:tr>
      <w:tr w:rsidR="00F24946" w14:paraId="258C3A70" w14:textId="77777777">
        <w:trPr>
          <w:trHeight w:val="440"/>
        </w:trPr>
        <w:tc>
          <w:tcPr>
            <w:tcW w:w="1200" w:type="dxa"/>
            <w:shd w:val="clear" w:color="auto" w:fill="C4EFCE"/>
            <w:vAlign w:val="center"/>
          </w:tcPr>
          <w:p w14:paraId="0AE9FA9B" w14:textId="260E9AD6" w:rsidR="00F24946" w:rsidRDefault="00613B06">
            <w:pPr>
              <w:pStyle w:val="P68B1DB1-Normal23"/>
              <w:spacing w:after="0"/>
              <w:jc w:val="center"/>
              <w:rPr>
                <w:rFonts w:eastAsia="Calibri" w:cs="Calibri"/>
                <w:noProof/>
              </w:rPr>
            </w:pPr>
            <w:r>
              <w:rPr>
                <w:noProof/>
              </w:rPr>
              <w:t>19.31</w:t>
            </w:r>
          </w:p>
        </w:tc>
        <w:tc>
          <w:tcPr>
            <w:tcW w:w="1760" w:type="dxa"/>
            <w:shd w:val="clear" w:color="auto" w:fill="C4EFCE"/>
            <w:vAlign w:val="center"/>
          </w:tcPr>
          <w:p w14:paraId="4D3FC2B5" w14:textId="1956D4BE" w:rsidR="00F24946" w:rsidRDefault="00613B06">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221D6EA6" w14:textId="332C3E10"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tcPr>
          <w:p w14:paraId="5E2AA86D" w14:textId="4355B8C4" w:rsidR="00F24946" w:rsidRDefault="00613B06">
            <w:pPr>
              <w:pStyle w:val="P68B1DB1-Normal23"/>
              <w:spacing w:after="0"/>
              <w:jc w:val="both"/>
              <w:rPr>
                <w:rFonts w:eastAsia="Calibri" w:cs="Calibri"/>
                <w:noProof/>
              </w:rPr>
            </w:pPr>
            <w:r>
              <w:rPr>
                <w:noProof/>
              </w:rPr>
              <w:t>Začetek veljavnosti zakonodajnega akta, s katerim se revidira SIADAP</w:t>
            </w:r>
          </w:p>
        </w:tc>
      </w:tr>
      <w:tr w:rsidR="00F24946" w14:paraId="32B276DA" w14:textId="77777777">
        <w:trPr>
          <w:trHeight w:val="440"/>
        </w:trPr>
        <w:tc>
          <w:tcPr>
            <w:tcW w:w="1200" w:type="dxa"/>
            <w:shd w:val="clear" w:color="auto" w:fill="C4EFCE"/>
            <w:vAlign w:val="center"/>
          </w:tcPr>
          <w:p w14:paraId="762889A1" w14:textId="4A9DFF95" w:rsidR="00F24946" w:rsidRDefault="00613B06">
            <w:pPr>
              <w:pStyle w:val="P68B1DB1-Normal23"/>
              <w:spacing w:after="0"/>
              <w:jc w:val="center"/>
              <w:rPr>
                <w:rFonts w:eastAsia="Calibri" w:cs="Calibri"/>
                <w:noProof/>
              </w:rPr>
            </w:pPr>
            <w:r>
              <w:rPr>
                <w:noProof/>
              </w:rPr>
              <w:t>19.32</w:t>
            </w:r>
          </w:p>
        </w:tc>
        <w:tc>
          <w:tcPr>
            <w:tcW w:w="1760" w:type="dxa"/>
            <w:shd w:val="clear" w:color="auto" w:fill="C4EFCE"/>
            <w:vAlign w:val="center"/>
          </w:tcPr>
          <w:p w14:paraId="0C34D2D0" w14:textId="2A62E2CD" w:rsidR="00F24946" w:rsidRDefault="00613B06">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618829A3" w14:textId="2EA3ACFD"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tcPr>
          <w:p w14:paraId="3FB23545" w14:textId="58302992" w:rsidR="00F24946" w:rsidRDefault="00613B06">
            <w:pPr>
              <w:pStyle w:val="P68B1DB1-Normal23"/>
              <w:spacing w:after="0"/>
              <w:jc w:val="both"/>
              <w:rPr>
                <w:rFonts w:eastAsia="Calibri" w:cs="Calibri"/>
                <w:noProof/>
              </w:rPr>
            </w:pPr>
            <w:r>
              <w:rPr>
                <w:noProof/>
              </w:rPr>
              <w:t>Začetek veljavnosti zakonodajnega akta, ki spreminja profil kompetenc javne uprave</w:t>
            </w:r>
          </w:p>
        </w:tc>
      </w:tr>
      <w:tr w:rsidR="00F24946" w14:paraId="383E267E" w14:textId="77777777">
        <w:trPr>
          <w:trHeight w:val="440"/>
        </w:trPr>
        <w:tc>
          <w:tcPr>
            <w:tcW w:w="1200" w:type="dxa"/>
            <w:shd w:val="clear" w:color="auto" w:fill="C4EFCE"/>
            <w:vAlign w:val="center"/>
            <w:hideMark/>
          </w:tcPr>
          <w:p w14:paraId="5D412478" w14:textId="77777777" w:rsidR="00F24946" w:rsidRDefault="00613B06">
            <w:pPr>
              <w:pStyle w:val="P68B1DB1-Normal23"/>
              <w:spacing w:after="0" w:line="240" w:lineRule="auto"/>
              <w:jc w:val="center"/>
              <w:rPr>
                <w:rFonts w:eastAsia="Times New Roman" w:cs="Calibri"/>
                <w:noProof/>
              </w:rPr>
            </w:pPr>
            <w:r>
              <w:rPr>
                <w:noProof/>
              </w:rPr>
              <w:t> </w:t>
            </w:r>
          </w:p>
        </w:tc>
        <w:tc>
          <w:tcPr>
            <w:tcW w:w="1760" w:type="dxa"/>
            <w:shd w:val="clear" w:color="auto" w:fill="C4EFCE"/>
            <w:vAlign w:val="center"/>
            <w:hideMark/>
          </w:tcPr>
          <w:p w14:paraId="27210276" w14:textId="77777777" w:rsidR="00F24946" w:rsidRDefault="00613B06">
            <w:pPr>
              <w:pStyle w:val="P68B1DB1-Normal23"/>
              <w:spacing w:after="0" w:line="240" w:lineRule="auto"/>
              <w:rPr>
                <w:rFonts w:eastAsia="Times New Roman" w:cs="Calibri"/>
                <w:noProof/>
              </w:rPr>
            </w:pPr>
            <w:r>
              <w:rPr>
                <w:noProof/>
              </w:rPr>
              <w:t> </w:t>
            </w:r>
          </w:p>
        </w:tc>
        <w:tc>
          <w:tcPr>
            <w:tcW w:w="1520" w:type="dxa"/>
            <w:shd w:val="clear" w:color="auto" w:fill="C4EFCE"/>
            <w:vAlign w:val="center"/>
            <w:hideMark/>
          </w:tcPr>
          <w:p w14:paraId="38682DCD" w14:textId="77777777" w:rsidR="00F24946" w:rsidRDefault="00613B06">
            <w:pPr>
              <w:pStyle w:val="P68B1DB1-Normal23"/>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0FB1EF83" w14:textId="29D26B48" w:rsidR="00F24946" w:rsidRDefault="00613B06">
            <w:pPr>
              <w:pStyle w:val="P68B1DB1-Normal25"/>
              <w:spacing w:after="0" w:line="240" w:lineRule="auto"/>
              <w:jc w:val="center"/>
              <w:rPr>
                <w:rFonts w:cs="Calibri"/>
                <w:noProof/>
              </w:rPr>
            </w:pPr>
            <w:r>
              <w:rPr>
                <w:noProof/>
              </w:rPr>
              <w:t xml:space="preserve"> 366 243 120 EUR </w:t>
            </w:r>
          </w:p>
        </w:tc>
      </w:tr>
    </w:tbl>
    <w:p w14:paraId="43578890"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B71B7AD"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Sedmi zahtevek za plačilo (podpora za posojilo):</w:t>
      </w:r>
    </w:p>
    <w:p w14:paraId="24A030D4"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F24946" w14:paraId="29B816DE"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07E0BB5"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6E93FEA9"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E9D866A"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3C3A7570"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582BD1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651F993" w14:textId="77777777" w:rsidR="00F24946" w:rsidRDefault="00613B06">
            <w:pPr>
              <w:pStyle w:val="P68B1DB1-Normal23"/>
              <w:spacing w:after="0"/>
              <w:jc w:val="center"/>
              <w:rPr>
                <w:rFonts w:eastAsia="Calibri" w:cs="Calibri"/>
                <w:noProof/>
              </w:rPr>
            </w:pPr>
            <w:r>
              <w:rPr>
                <w:noProof/>
              </w:rPr>
              <w:t>2.21</w:t>
            </w:r>
          </w:p>
        </w:tc>
        <w:tc>
          <w:tcPr>
            <w:tcW w:w="1760" w:type="dxa"/>
            <w:tcBorders>
              <w:top w:val="nil"/>
              <w:left w:val="nil"/>
              <w:bottom w:val="single" w:sz="4" w:space="0" w:color="auto"/>
              <w:right w:val="single" w:sz="4" w:space="0" w:color="auto"/>
            </w:tcBorders>
            <w:shd w:val="clear" w:color="auto" w:fill="C4EFCE"/>
            <w:vAlign w:val="center"/>
          </w:tcPr>
          <w:p w14:paraId="61E03559" w14:textId="77777777" w:rsidR="00F24946" w:rsidRDefault="00613B06">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716B72F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226738D" w14:textId="77777777" w:rsidR="00F24946" w:rsidRDefault="00613B06">
            <w:pPr>
              <w:pStyle w:val="P68B1DB1-Normal23"/>
              <w:spacing w:after="0"/>
              <w:jc w:val="both"/>
              <w:rPr>
                <w:rFonts w:eastAsia="Calibri" w:cs="Calibri"/>
                <w:noProof/>
              </w:rPr>
            </w:pPr>
            <w:r>
              <w:rPr>
                <w:noProof/>
              </w:rPr>
              <w:t>Cenovno dostopna javna stanovanja – stanovanja z začetnim delom (zgrajena z visoko energijsko učinkovitostjo ali sanirana z izboljšano energijsko učinkovitostjo)</w:t>
            </w:r>
          </w:p>
        </w:tc>
      </w:tr>
      <w:tr w:rsidR="00F24946" w14:paraId="0BF1C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221612" w14:textId="77777777" w:rsidR="00F24946" w:rsidRDefault="00613B06">
            <w:pPr>
              <w:pStyle w:val="P68B1DB1-Normal23"/>
              <w:spacing w:after="0"/>
              <w:jc w:val="center"/>
              <w:rPr>
                <w:rFonts w:eastAsia="Calibri" w:cs="Calibri"/>
                <w:noProof/>
              </w:rPr>
            </w:pPr>
            <w:r>
              <w:rPr>
                <w:noProof/>
              </w:rPr>
              <w:t>2.22</w:t>
            </w:r>
          </w:p>
        </w:tc>
        <w:tc>
          <w:tcPr>
            <w:tcW w:w="1760" w:type="dxa"/>
            <w:tcBorders>
              <w:top w:val="nil"/>
              <w:left w:val="nil"/>
              <w:bottom w:val="single" w:sz="4" w:space="0" w:color="auto"/>
              <w:right w:val="single" w:sz="4" w:space="0" w:color="auto"/>
            </w:tcBorders>
            <w:shd w:val="clear" w:color="auto" w:fill="C4EFCE"/>
            <w:vAlign w:val="center"/>
          </w:tcPr>
          <w:p w14:paraId="4AB56C42" w14:textId="77777777" w:rsidR="00F24946" w:rsidRDefault="00613B06">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2D06F0E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E5487FC" w14:textId="77777777" w:rsidR="00F24946" w:rsidRDefault="00613B06">
            <w:pPr>
              <w:pStyle w:val="P68B1DB1-Normal23"/>
              <w:spacing w:after="0"/>
              <w:jc w:val="both"/>
              <w:rPr>
                <w:rFonts w:eastAsia="Calibri" w:cs="Calibri"/>
                <w:noProof/>
              </w:rPr>
            </w:pPr>
            <w:r>
              <w:rPr>
                <w:noProof/>
              </w:rPr>
              <w:t>Cenovno dostopna javna stanovanja – dodeljena stanovanja (zgrajena z visoko energijsko učinkovitostjo ali obnovljena z izboljšano energijsko učinkovitostjo)</w:t>
            </w:r>
          </w:p>
        </w:tc>
      </w:tr>
      <w:tr w:rsidR="00F24946" w14:paraId="3D1277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5451CB4" w14:textId="77777777" w:rsidR="00F24946" w:rsidRDefault="00613B06">
            <w:pPr>
              <w:pStyle w:val="P68B1DB1-Normal23"/>
              <w:spacing w:after="0"/>
              <w:jc w:val="center"/>
              <w:rPr>
                <w:rFonts w:eastAsia="Calibri" w:cs="Calibri"/>
                <w:noProof/>
              </w:rPr>
            </w:pPr>
            <w:r>
              <w:rPr>
                <w:noProof/>
              </w:rPr>
              <w:t>2.26</w:t>
            </w:r>
          </w:p>
        </w:tc>
        <w:tc>
          <w:tcPr>
            <w:tcW w:w="1760" w:type="dxa"/>
            <w:tcBorders>
              <w:top w:val="nil"/>
              <w:left w:val="nil"/>
              <w:bottom w:val="single" w:sz="4" w:space="0" w:color="auto"/>
              <w:right w:val="single" w:sz="4" w:space="0" w:color="auto"/>
            </w:tcBorders>
            <w:shd w:val="clear" w:color="auto" w:fill="C4EFCE"/>
            <w:vAlign w:val="center"/>
          </w:tcPr>
          <w:p w14:paraId="576AFC28" w14:textId="77777777" w:rsidR="00F24946" w:rsidRDefault="00613B06">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E587169"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62038BAE" w14:textId="77777777" w:rsidR="00F24946" w:rsidRDefault="00613B06">
            <w:pPr>
              <w:pStyle w:val="P68B1DB1-Normal23"/>
              <w:spacing w:after="0"/>
              <w:jc w:val="both"/>
              <w:rPr>
                <w:rFonts w:eastAsia="Calibri" w:cs="Calibri"/>
                <w:noProof/>
              </w:rPr>
            </w:pPr>
            <w:r>
              <w:rPr>
                <w:noProof/>
              </w:rPr>
              <w:t>Študentska nastanitev po dostopnih cenah</w:t>
            </w:r>
          </w:p>
        </w:tc>
      </w:tr>
      <w:tr w:rsidR="00F24946" w14:paraId="295142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87CECBE" w14:textId="77777777" w:rsidR="00F24946" w:rsidRDefault="00613B06">
            <w:pPr>
              <w:pStyle w:val="P68B1DB1-Normal23"/>
              <w:spacing w:after="0"/>
              <w:jc w:val="center"/>
              <w:rPr>
                <w:rFonts w:eastAsia="Calibri" w:cs="Calibri"/>
                <w:noProof/>
              </w:rPr>
            </w:pPr>
            <w:r>
              <w:rPr>
                <w:noProof/>
              </w:rPr>
              <w:t>6.28</w:t>
            </w:r>
          </w:p>
        </w:tc>
        <w:tc>
          <w:tcPr>
            <w:tcW w:w="1760" w:type="dxa"/>
            <w:tcBorders>
              <w:top w:val="nil"/>
              <w:left w:val="nil"/>
              <w:bottom w:val="single" w:sz="4" w:space="0" w:color="auto"/>
              <w:right w:val="single" w:sz="4" w:space="0" w:color="auto"/>
            </w:tcBorders>
            <w:shd w:val="clear" w:color="auto" w:fill="C4EFCE"/>
            <w:vAlign w:val="center"/>
          </w:tcPr>
          <w:p w14:paraId="3B92DB76" w14:textId="3F6FD07E" w:rsidR="00F24946" w:rsidRDefault="00613B06">
            <w:pPr>
              <w:pStyle w:val="P68B1DB1-Normal23"/>
              <w:spacing w:after="0"/>
              <w:jc w:val="center"/>
              <w:rPr>
                <w:rFonts w:eastAsia="Calibri" w:cs="Calibri"/>
                <w:noProof/>
              </w:rPr>
            </w:pPr>
            <w:r>
              <w:rPr>
                <w:noProof/>
              </w:rPr>
              <w:t>Re-C06-i09</w:t>
            </w:r>
          </w:p>
        </w:tc>
        <w:tc>
          <w:tcPr>
            <w:tcW w:w="1520" w:type="dxa"/>
            <w:tcBorders>
              <w:top w:val="nil"/>
              <w:left w:val="nil"/>
              <w:bottom w:val="nil"/>
              <w:right w:val="single" w:sz="4" w:space="0" w:color="auto"/>
            </w:tcBorders>
            <w:shd w:val="clear" w:color="auto" w:fill="C4EFCE"/>
            <w:vAlign w:val="center"/>
          </w:tcPr>
          <w:p w14:paraId="0BFA1EAE"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nil"/>
              <w:right w:val="single" w:sz="4" w:space="0" w:color="auto"/>
            </w:tcBorders>
            <w:shd w:val="clear" w:color="auto" w:fill="C4EFCE"/>
            <w:vAlign w:val="center"/>
          </w:tcPr>
          <w:p w14:paraId="1577A067" w14:textId="77777777" w:rsidR="00F24946" w:rsidRDefault="00613B06">
            <w:pPr>
              <w:pStyle w:val="P68B1DB1-Normal23"/>
              <w:spacing w:after="0"/>
              <w:jc w:val="both"/>
              <w:rPr>
                <w:rFonts w:eastAsia="Calibri" w:cs="Calibri"/>
                <w:noProof/>
              </w:rPr>
            </w:pPr>
            <w:r>
              <w:rPr>
                <w:noProof/>
              </w:rPr>
              <w:t>Podpis pogodb o gradnji in prenovi javnih šol</w:t>
            </w:r>
          </w:p>
        </w:tc>
      </w:tr>
      <w:tr w:rsidR="00F24946" w14:paraId="1EF6CC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7D3CFE"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3899B9C9" w14:textId="77777777" w:rsidR="00F24946" w:rsidRDefault="00613B06">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7C7921DE"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4E153749" w14:textId="0F77FEA4" w:rsidR="00F24946" w:rsidRDefault="00613B06">
            <w:pPr>
              <w:pStyle w:val="P68B1DB1-Normal25"/>
              <w:spacing w:after="0" w:line="240" w:lineRule="auto"/>
              <w:jc w:val="center"/>
              <w:rPr>
                <w:rFonts w:cs="Calibri"/>
                <w:noProof/>
              </w:rPr>
            </w:pPr>
            <w:r>
              <w:rPr>
                <w:noProof/>
              </w:rPr>
              <w:t xml:space="preserve">689 431 726 EUR </w:t>
            </w:r>
          </w:p>
        </w:tc>
      </w:tr>
    </w:tbl>
    <w:p w14:paraId="7D06A031"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656FC920" w14:textId="77777777" w:rsidR="00F24946" w:rsidRDefault="00613B06">
      <w:pPr>
        <w:pStyle w:val="P68B1DB1-Normal4"/>
        <w:keepNext/>
        <w:numPr>
          <w:ilvl w:val="1"/>
          <w:numId w:val="19"/>
        </w:numPr>
        <w:spacing w:before="40" w:after="160" w:line="259" w:lineRule="auto"/>
        <w:contextualSpacing/>
        <w:jc w:val="both"/>
        <w:rPr>
          <w:rFonts w:eastAsiaTheme="minorEastAsia" w:cs="Times New Roman"/>
          <w:noProof/>
        </w:rPr>
      </w:pPr>
      <w:r>
        <w:rPr>
          <w:noProof/>
        </w:rPr>
        <w:t>Osmi zahtevek za plačilo (podpora za posojilo):</w:t>
      </w:r>
    </w:p>
    <w:p w14:paraId="0C83B8A2" w14:textId="77777777" w:rsidR="00F24946" w:rsidRDefault="00F24946">
      <w:pPr>
        <w:keepNext/>
        <w:spacing w:before="40" w:after="160" w:line="259" w:lineRule="auto"/>
        <w:ind w:left="360"/>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F24946" w14:paraId="1EB3D4C6"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44EC777"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4D46E4F0"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3C9BAAF"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5D0B89D7"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329A16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67755" w14:textId="77777777" w:rsidR="00F24946" w:rsidRDefault="00613B06">
            <w:pPr>
              <w:pStyle w:val="P68B1DB1-Normal23"/>
              <w:spacing w:after="0"/>
              <w:jc w:val="center"/>
              <w:rPr>
                <w:rFonts w:eastAsia="Calibri" w:cs="Calibri"/>
                <w:noProof/>
              </w:rPr>
            </w:pPr>
            <w:r>
              <w:rPr>
                <w:noProof/>
              </w:rPr>
              <w:t>15.8</w:t>
            </w:r>
          </w:p>
        </w:tc>
        <w:tc>
          <w:tcPr>
            <w:tcW w:w="1760" w:type="dxa"/>
            <w:tcBorders>
              <w:top w:val="nil"/>
              <w:left w:val="nil"/>
              <w:bottom w:val="single" w:sz="4" w:space="0" w:color="auto"/>
              <w:right w:val="single" w:sz="4" w:space="0" w:color="auto"/>
            </w:tcBorders>
            <w:shd w:val="clear" w:color="auto" w:fill="C4EFCE"/>
            <w:vAlign w:val="center"/>
          </w:tcPr>
          <w:p w14:paraId="514CFC0D" w14:textId="77777777" w:rsidR="00F24946" w:rsidRDefault="00613B06">
            <w:pPr>
              <w:pStyle w:val="P68B1DB1-Normal23"/>
              <w:spacing w:after="0"/>
              <w:jc w:val="center"/>
              <w:rPr>
                <w:rFonts w:eastAsia="Calibri" w:cs="Calibri"/>
                <w:noProof/>
              </w:rPr>
            </w:pPr>
            <w:r>
              <w:rPr>
                <w:noProof/>
              </w:rPr>
              <w:t>TC-C15-i03</w:t>
            </w:r>
          </w:p>
        </w:tc>
        <w:tc>
          <w:tcPr>
            <w:tcW w:w="1520" w:type="dxa"/>
            <w:tcBorders>
              <w:top w:val="nil"/>
              <w:left w:val="nil"/>
              <w:bottom w:val="single" w:sz="4" w:space="0" w:color="auto"/>
              <w:right w:val="single" w:sz="4" w:space="0" w:color="auto"/>
            </w:tcBorders>
            <w:shd w:val="clear" w:color="auto" w:fill="C4EFCE"/>
            <w:vAlign w:val="center"/>
          </w:tcPr>
          <w:p w14:paraId="116E6873" w14:textId="77777777" w:rsidR="00F24946" w:rsidRDefault="00613B06">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tcPr>
          <w:p w14:paraId="53A9C291" w14:textId="77777777" w:rsidR="00F24946" w:rsidRDefault="00613B06">
            <w:pPr>
              <w:pStyle w:val="P68B1DB1-Normal23"/>
              <w:spacing w:after="0"/>
              <w:jc w:val="both"/>
              <w:rPr>
                <w:rFonts w:eastAsia="Calibri" w:cs="Calibri"/>
                <w:noProof/>
              </w:rPr>
            </w:pPr>
            <w:r>
              <w:rPr>
                <w:noProof/>
              </w:rPr>
              <w:t>Poročilo o napredku pri gradnji železniške proge Light Rail Transitway med Odivelasom in Louresom</w:t>
            </w:r>
          </w:p>
        </w:tc>
      </w:tr>
      <w:tr w:rsidR="00F24946" w14:paraId="06662A9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18904BF" w14:textId="74BC30D7" w:rsidR="00F24946" w:rsidRDefault="00613B06">
            <w:pPr>
              <w:pStyle w:val="P68B1DB1-Normal23"/>
              <w:spacing w:after="0"/>
              <w:jc w:val="center"/>
              <w:rPr>
                <w:rFonts w:eastAsia="Calibri" w:cs="Calibri"/>
                <w:noProof/>
              </w:rPr>
            </w:pPr>
            <w:r>
              <w:rPr>
                <w:noProof/>
              </w:rPr>
              <w:t>19.33</w:t>
            </w:r>
          </w:p>
        </w:tc>
        <w:tc>
          <w:tcPr>
            <w:tcW w:w="1760" w:type="dxa"/>
            <w:tcBorders>
              <w:top w:val="nil"/>
              <w:left w:val="nil"/>
              <w:bottom w:val="single" w:sz="4" w:space="0" w:color="auto"/>
              <w:right w:val="single" w:sz="4" w:space="0" w:color="auto"/>
            </w:tcBorders>
            <w:shd w:val="clear" w:color="auto" w:fill="C4EFCE"/>
            <w:vAlign w:val="center"/>
          </w:tcPr>
          <w:p w14:paraId="608803B4" w14:textId="72AAAB61" w:rsidR="00F24946" w:rsidRDefault="00613B06">
            <w:pPr>
              <w:pStyle w:val="P68B1DB1-Normal23"/>
              <w:spacing w:after="0"/>
              <w:jc w:val="center"/>
              <w:rPr>
                <w:rFonts w:eastAsia="Calibri" w:cs="Calibri"/>
                <w:noProof/>
              </w:rPr>
            </w:pPr>
            <w:r>
              <w:rPr>
                <w:noProof/>
              </w:rPr>
              <w:t>TD-C19-r42</w:t>
            </w:r>
          </w:p>
        </w:tc>
        <w:tc>
          <w:tcPr>
            <w:tcW w:w="1520" w:type="dxa"/>
            <w:tcBorders>
              <w:top w:val="nil"/>
              <w:left w:val="nil"/>
              <w:bottom w:val="single" w:sz="4" w:space="0" w:color="auto"/>
              <w:right w:val="single" w:sz="4" w:space="0" w:color="auto"/>
            </w:tcBorders>
            <w:shd w:val="clear" w:color="auto" w:fill="C4EFCE"/>
            <w:vAlign w:val="center"/>
          </w:tcPr>
          <w:p w14:paraId="5D02F4F1" w14:textId="187D8B12"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557BB89C" w14:textId="234CFB7F" w:rsidR="00F24946" w:rsidRDefault="00613B06">
            <w:pPr>
              <w:pStyle w:val="P68B1DB1-Normal23"/>
              <w:spacing w:after="0"/>
              <w:jc w:val="both"/>
              <w:rPr>
                <w:rFonts w:eastAsia="Calibri" w:cs="Calibri"/>
                <w:noProof/>
              </w:rPr>
            </w:pPr>
            <w:r>
              <w:rPr>
                <w:noProof/>
              </w:rPr>
              <w:t>Začetek delovanja novega sistema SIADAP</w:t>
            </w:r>
          </w:p>
        </w:tc>
      </w:tr>
      <w:tr w:rsidR="00F24946" w14:paraId="564D14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C67E166" w14:textId="77777777" w:rsidR="00F24946" w:rsidRDefault="00F24946">
            <w:pPr>
              <w:spacing w:after="0" w:line="240" w:lineRule="auto"/>
              <w:jc w:val="center"/>
              <w:rPr>
                <w:rFonts w:ascii="Calibri" w:eastAsia="Times New Roman"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tcPr>
          <w:p w14:paraId="183EE67D" w14:textId="77777777" w:rsidR="00F24946" w:rsidRDefault="00F24946">
            <w:pPr>
              <w:spacing w:after="0" w:line="240" w:lineRule="auto"/>
              <w:rPr>
                <w:rFonts w:ascii="Calibri" w:eastAsia="Times New Roman" w:hAnsi="Calibri" w:cs="Calibri"/>
                <w:noProof/>
                <w:sz w:val="16"/>
              </w:rPr>
            </w:pPr>
          </w:p>
        </w:tc>
        <w:tc>
          <w:tcPr>
            <w:tcW w:w="1520" w:type="dxa"/>
            <w:tcBorders>
              <w:top w:val="single" w:sz="4" w:space="0" w:color="auto"/>
              <w:left w:val="nil"/>
              <w:bottom w:val="single" w:sz="4" w:space="0" w:color="auto"/>
              <w:right w:val="single" w:sz="4" w:space="0" w:color="auto"/>
            </w:tcBorders>
            <w:shd w:val="clear" w:color="auto" w:fill="C4EFCE"/>
            <w:vAlign w:val="center"/>
          </w:tcPr>
          <w:p w14:paraId="401D1A7C"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378DCF0E" w14:textId="269A2A38" w:rsidR="00F24946" w:rsidRDefault="00613B06">
            <w:pPr>
              <w:pStyle w:val="P68B1DB1-Normal25"/>
              <w:spacing w:after="0" w:line="240" w:lineRule="auto"/>
              <w:jc w:val="center"/>
              <w:rPr>
                <w:rFonts w:cs="Calibri"/>
                <w:noProof/>
              </w:rPr>
            </w:pPr>
            <w:r>
              <w:rPr>
                <w:noProof/>
              </w:rPr>
              <w:t xml:space="preserve">  235 337 423 EUR </w:t>
            </w:r>
          </w:p>
        </w:tc>
      </w:tr>
    </w:tbl>
    <w:p w14:paraId="66284420" w14:textId="567F52B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6D952C31" w14:textId="0ECD3B5B"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726AC6BB"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3CFC0334" w14:textId="77777777" w:rsidR="00F24946" w:rsidRDefault="00613B06">
      <w:pPr>
        <w:pStyle w:val="ListParagraph"/>
        <w:numPr>
          <w:ilvl w:val="1"/>
          <w:numId w:val="19"/>
        </w:numPr>
        <w:spacing w:before="40" w:line="259" w:lineRule="auto"/>
        <w:rPr>
          <w:noProof/>
        </w:rPr>
      </w:pPr>
      <w:r>
        <w:rPr>
          <w:noProof/>
        </w:rPr>
        <w:t xml:space="preserve"> Deveti zahtevek za plačilo (podpora za posojilo):</w:t>
      </w:r>
    </w:p>
    <w:tbl>
      <w:tblPr>
        <w:tblW w:w="0" w:type="auto"/>
        <w:tblInd w:w="108" w:type="dxa"/>
        <w:tblLook w:val="04A0" w:firstRow="1" w:lastRow="0" w:firstColumn="1" w:lastColumn="0" w:noHBand="0" w:noVBand="1"/>
      </w:tblPr>
      <w:tblGrid>
        <w:gridCol w:w="1200"/>
        <w:gridCol w:w="1760"/>
        <w:gridCol w:w="1520"/>
        <w:gridCol w:w="5060"/>
      </w:tblGrid>
      <w:tr w:rsidR="00F24946" w14:paraId="1494D25F"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2B13A76D"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2C0AC9A7"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4E6E954"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1992174E"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78D3922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C57417B" w14:textId="77777777" w:rsidR="00F24946" w:rsidRDefault="00613B06">
            <w:pPr>
              <w:pStyle w:val="P68B1DB1-Normal23"/>
              <w:spacing w:after="0"/>
              <w:jc w:val="center"/>
              <w:rPr>
                <w:rFonts w:eastAsia="Calibri" w:cs="Calibri"/>
                <w:noProof/>
              </w:rPr>
            </w:pPr>
            <w:r>
              <w:rPr>
                <w:noProof/>
              </w:rPr>
              <w:t>2.23</w:t>
            </w:r>
          </w:p>
        </w:tc>
        <w:tc>
          <w:tcPr>
            <w:tcW w:w="1760" w:type="dxa"/>
            <w:tcBorders>
              <w:top w:val="nil"/>
              <w:left w:val="nil"/>
              <w:bottom w:val="single" w:sz="4" w:space="0" w:color="auto"/>
              <w:right w:val="single" w:sz="4" w:space="0" w:color="auto"/>
            </w:tcBorders>
            <w:shd w:val="clear" w:color="auto" w:fill="C4EFCE"/>
            <w:vAlign w:val="center"/>
          </w:tcPr>
          <w:p w14:paraId="2A77E3A7" w14:textId="77777777" w:rsidR="00F24946" w:rsidRDefault="00613B06">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54653A95"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A8559D1" w14:textId="77777777" w:rsidR="00F24946" w:rsidRDefault="00613B06">
            <w:pPr>
              <w:pStyle w:val="P68B1DB1-Normal23"/>
              <w:spacing w:after="0"/>
              <w:jc w:val="both"/>
              <w:rPr>
                <w:rFonts w:eastAsia="Calibri" w:cs="Calibri"/>
                <w:noProof/>
              </w:rPr>
            </w:pPr>
            <w:r>
              <w:rPr>
                <w:noProof/>
              </w:rPr>
              <w:t>Cenovno dostopna javna stanovanja – dodeljena stanovanja (zgrajena z visoko energijsko učinkovitostjo ali obnovljena z izboljšano energijsko učinkovitostjo)</w:t>
            </w:r>
          </w:p>
        </w:tc>
      </w:tr>
      <w:tr w:rsidR="00F24946" w14:paraId="78375D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79A92DF" w14:textId="77777777" w:rsidR="00F24946" w:rsidRDefault="00613B06">
            <w:pPr>
              <w:pStyle w:val="P68B1DB1-Normal23"/>
              <w:spacing w:after="0"/>
              <w:jc w:val="center"/>
              <w:rPr>
                <w:rFonts w:eastAsia="Calibri" w:cs="Calibri"/>
                <w:noProof/>
              </w:rPr>
            </w:pPr>
            <w:r>
              <w:rPr>
                <w:noProof/>
              </w:rPr>
              <w:t>2.27</w:t>
            </w:r>
          </w:p>
        </w:tc>
        <w:tc>
          <w:tcPr>
            <w:tcW w:w="1760" w:type="dxa"/>
            <w:tcBorders>
              <w:top w:val="nil"/>
              <w:left w:val="nil"/>
              <w:bottom w:val="single" w:sz="4" w:space="0" w:color="auto"/>
              <w:right w:val="single" w:sz="4" w:space="0" w:color="auto"/>
            </w:tcBorders>
            <w:shd w:val="clear" w:color="auto" w:fill="C4EFCE"/>
            <w:vAlign w:val="center"/>
          </w:tcPr>
          <w:p w14:paraId="3001518D" w14:textId="77777777" w:rsidR="00F24946" w:rsidRDefault="00613B06">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DA24E3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169F4C1B" w14:textId="77777777" w:rsidR="00F24946" w:rsidRDefault="00613B06">
            <w:pPr>
              <w:pStyle w:val="P68B1DB1-Normal23"/>
              <w:spacing w:after="0"/>
              <w:jc w:val="both"/>
              <w:rPr>
                <w:rFonts w:eastAsia="Calibri" w:cs="Calibri"/>
                <w:noProof/>
              </w:rPr>
            </w:pPr>
            <w:r>
              <w:rPr>
                <w:noProof/>
              </w:rPr>
              <w:t>Študentska nastanitev po dostopnih cenah</w:t>
            </w:r>
          </w:p>
        </w:tc>
      </w:tr>
      <w:tr w:rsidR="00F24946" w14:paraId="67D256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EFDADF4" w14:textId="77777777" w:rsidR="00F24946" w:rsidRDefault="00613B06">
            <w:pPr>
              <w:pStyle w:val="P68B1DB1-Normal23"/>
              <w:spacing w:after="0"/>
              <w:jc w:val="center"/>
              <w:rPr>
                <w:rFonts w:eastAsia="Calibri" w:cs="Calibri"/>
                <w:noProof/>
              </w:rPr>
            </w:pPr>
            <w:r>
              <w:rPr>
                <w:noProof/>
              </w:rPr>
              <w:t>5.29</w:t>
            </w:r>
          </w:p>
        </w:tc>
        <w:tc>
          <w:tcPr>
            <w:tcW w:w="1760" w:type="dxa"/>
            <w:tcBorders>
              <w:top w:val="nil"/>
              <w:left w:val="nil"/>
              <w:bottom w:val="single" w:sz="4" w:space="0" w:color="auto"/>
              <w:right w:val="single" w:sz="4" w:space="0" w:color="auto"/>
            </w:tcBorders>
            <w:shd w:val="clear" w:color="auto" w:fill="C4EFCE"/>
            <w:vAlign w:val="center"/>
          </w:tcPr>
          <w:p w14:paraId="65077588" w14:textId="77777777" w:rsidR="00F24946" w:rsidRDefault="00613B06">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6A34C10A"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4DE8649" w14:textId="73C0101C" w:rsidR="00F24946" w:rsidRDefault="00613B06">
            <w:pPr>
              <w:pStyle w:val="P68B1DB1-Normal23"/>
              <w:spacing w:after="0"/>
              <w:jc w:val="both"/>
              <w:rPr>
                <w:rFonts w:eastAsia="Calibri" w:cs="Calibri"/>
                <w:noProof/>
              </w:rPr>
            </w:pPr>
            <w:r>
              <w:rPr>
                <w:noProof/>
              </w:rPr>
              <w:t>Zagotovitev podpore v obliki lastniškega kapitala in navideznega lastniškega kapitala portugalskim nefinančnim družbam v skupnem znesku 1 300 000 000 EUR v skladu s svojo naložbeno politiko</w:t>
            </w:r>
          </w:p>
        </w:tc>
      </w:tr>
      <w:tr w:rsidR="00F24946" w14:paraId="50C64A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472DD0" w14:textId="77777777" w:rsidR="00F24946" w:rsidRDefault="00613B06">
            <w:pPr>
              <w:pStyle w:val="P68B1DB1-Normal23"/>
              <w:spacing w:after="0"/>
              <w:jc w:val="center"/>
              <w:rPr>
                <w:rFonts w:eastAsia="Calibri" w:cs="Calibri"/>
                <w:noProof/>
              </w:rPr>
            </w:pPr>
            <w:r>
              <w:rPr>
                <w:noProof/>
              </w:rPr>
              <w:t>5.32</w:t>
            </w:r>
          </w:p>
        </w:tc>
        <w:tc>
          <w:tcPr>
            <w:tcW w:w="1760" w:type="dxa"/>
            <w:tcBorders>
              <w:top w:val="nil"/>
              <w:left w:val="nil"/>
              <w:bottom w:val="single" w:sz="4" w:space="0" w:color="auto"/>
              <w:right w:val="single" w:sz="4" w:space="0" w:color="auto"/>
            </w:tcBorders>
            <w:shd w:val="clear" w:color="auto" w:fill="C4EFCE"/>
            <w:vAlign w:val="center"/>
          </w:tcPr>
          <w:p w14:paraId="44B52EBF" w14:textId="77777777" w:rsidR="00F24946" w:rsidRDefault="00613B06">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75CF3957"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9D7A449" w14:textId="77777777" w:rsidR="00F24946" w:rsidRDefault="00613B06">
            <w:pPr>
              <w:pStyle w:val="P68B1DB1-Normal23"/>
              <w:spacing w:after="0"/>
              <w:jc w:val="both"/>
              <w:rPr>
                <w:rFonts w:eastAsia="Calibri" w:cs="Calibri"/>
                <w:noProof/>
              </w:rPr>
            </w:pPr>
            <w:r>
              <w:rPr>
                <w:noProof/>
              </w:rPr>
              <w:t>Podpisanih je bilo 100 % jamstev, danih na voljo s povečanjem kapitala.</w:t>
            </w:r>
          </w:p>
        </w:tc>
      </w:tr>
      <w:tr w:rsidR="00F24946" w14:paraId="382C66B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22DA2FA" w14:textId="77777777" w:rsidR="00F24946" w:rsidRDefault="00613B06">
            <w:pPr>
              <w:pStyle w:val="P68B1DB1-Normal23"/>
              <w:spacing w:after="0"/>
              <w:jc w:val="center"/>
              <w:rPr>
                <w:rFonts w:eastAsia="Calibri" w:cs="Calibri"/>
                <w:noProof/>
              </w:rPr>
            </w:pPr>
            <w:r>
              <w:rPr>
                <w:noProof/>
              </w:rPr>
              <w:t>5.45</w:t>
            </w:r>
          </w:p>
        </w:tc>
        <w:tc>
          <w:tcPr>
            <w:tcW w:w="1760" w:type="dxa"/>
            <w:tcBorders>
              <w:top w:val="nil"/>
              <w:left w:val="nil"/>
              <w:bottom w:val="single" w:sz="4" w:space="0" w:color="auto"/>
              <w:right w:val="single" w:sz="4" w:space="0" w:color="auto"/>
            </w:tcBorders>
            <w:shd w:val="clear" w:color="auto" w:fill="C4EFCE"/>
            <w:vAlign w:val="center"/>
          </w:tcPr>
          <w:p w14:paraId="0BD22FC2" w14:textId="77777777" w:rsidR="00F24946" w:rsidRDefault="00613B06">
            <w:pPr>
              <w:pStyle w:val="P68B1DB1-Normal23"/>
              <w:spacing w:after="0"/>
              <w:jc w:val="center"/>
              <w:rPr>
                <w:rFonts w:eastAsia="Calibri" w:cs="Calibri"/>
                <w:noProof/>
              </w:rPr>
            </w:pPr>
            <w:r>
              <w:rPr>
                <w:noProof/>
              </w:rPr>
              <w:t>Re-C05-i11</w:t>
            </w:r>
          </w:p>
        </w:tc>
        <w:tc>
          <w:tcPr>
            <w:tcW w:w="1520" w:type="dxa"/>
            <w:tcBorders>
              <w:top w:val="nil"/>
              <w:left w:val="nil"/>
              <w:bottom w:val="single" w:sz="4" w:space="0" w:color="auto"/>
              <w:right w:val="single" w:sz="4" w:space="0" w:color="auto"/>
            </w:tcBorders>
            <w:shd w:val="clear" w:color="auto" w:fill="C4EFCE"/>
            <w:vAlign w:val="center"/>
          </w:tcPr>
          <w:p w14:paraId="197EDE46"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321F122" w14:textId="77777777" w:rsidR="00F24946" w:rsidRDefault="00613B06">
            <w:pPr>
              <w:pStyle w:val="P68B1DB1-Normal23"/>
              <w:spacing w:after="0"/>
              <w:jc w:val="both"/>
              <w:rPr>
                <w:rFonts w:eastAsia="Calibri" w:cs="Calibri"/>
                <w:noProof/>
              </w:rPr>
            </w:pPr>
            <w:r>
              <w:rPr>
                <w:noProof/>
              </w:rPr>
              <w:t>Dokončanje 446 izdelkov, procesov ali storitev.</w:t>
            </w:r>
          </w:p>
        </w:tc>
      </w:tr>
      <w:tr w:rsidR="00F24946" w14:paraId="75A43AF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A6C56C4" w14:textId="77777777" w:rsidR="00F24946" w:rsidRDefault="00613B06">
            <w:pPr>
              <w:pStyle w:val="P68B1DB1-Normal23"/>
              <w:spacing w:after="0"/>
              <w:jc w:val="center"/>
              <w:rPr>
                <w:rFonts w:eastAsia="Calibri" w:cs="Calibri"/>
                <w:noProof/>
              </w:rPr>
            </w:pPr>
            <w:r>
              <w:rPr>
                <w:noProof/>
              </w:rPr>
              <w:t>5.47</w:t>
            </w:r>
          </w:p>
        </w:tc>
        <w:tc>
          <w:tcPr>
            <w:tcW w:w="1760" w:type="dxa"/>
            <w:tcBorders>
              <w:top w:val="nil"/>
              <w:left w:val="nil"/>
              <w:bottom w:val="single" w:sz="4" w:space="0" w:color="auto"/>
              <w:right w:val="single" w:sz="4" w:space="0" w:color="auto"/>
            </w:tcBorders>
            <w:shd w:val="clear" w:color="auto" w:fill="C4EFCE"/>
            <w:vAlign w:val="center"/>
          </w:tcPr>
          <w:p w14:paraId="49495519" w14:textId="3E544D5D" w:rsidR="00F24946" w:rsidRDefault="00613B06">
            <w:pPr>
              <w:pStyle w:val="P68B1DB1-Normal23"/>
              <w:spacing w:after="0"/>
              <w:jc w:val="center"/>
              <w:rPr>
                <w:rFonts w:eastAsia="Calibri" w:cs="Calibri"/>
                <w:noProof/>
              </w:rPr>
            </w:pPr>
            <w:r>
              <w:rPr>
                <w:noProof/>
              </w:rPr>
              <w:t>Re-C05-i12</w:t>
            </w:r>
          </w:p>
        </w:tc>
        <w:tc>
          <w:tcPr>
            <w:tcW w:w="1520" w:type="dxa"/>
            <w:tcBorders>
              <w:top w:val="nil"/>
              <w:left w:val="nil"/>
              <w:bottom w:val="single" w:sz="4" w:space="0" w:color="auto"/>
              <w:right w:val="single" w:sz="4" w:space="0" w:color="auto"/>
            </w:tcBorders>
            <w:shd w:val="clear" w:color="auto" w:fill="C4EFCE"/>
            <w:vAlign w:val="center"/>
          </w:tcPr>
          <w:p w14:paraId="1D528D41"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301C30B" w14:textId="77777777" w:rsidR="00F24946" w:rsidRDefault="00613B06">
            <w:pPr>
              <w:pStyle w:val="P68B1DB1-Normal23"/>
              <w:spacing w:after="0"/>
              <w:jc w:val="both"/>
              <w:rPr>
                <w:rFonts w:eastAsia="Calibri" w:cs="Calibri"/>
                <w:noProof/>
              </w:rPr>
            </w:pPr>
            <w:r>
              <w:rPr>
                <w:noProof/>
              </w:rPr>
              <w:t>Sklepanje pogodb za razvoj novih proizvodov, procesov ali storitev na strateških področjih, pomembnih za nizkoogljično gospodarstvo, odpornost in prilagajanje podnebnim spremembam.</w:t>
            </w:r>
          </w:p>
        </w:tc>
      </w:tr>
      <w:tr w:rsidR="00F24946" w14:paraId="14F0C66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876D187" w14:textId="77777777" w:rsidR="00F24946" w:rsidRDefault="00613B06">
            <w:pPr>
              <w:pStyle w:val="P68B1DB1-Normal23"/>
              <w:spacing w:after="0"/>
              <w:jc w:val="center"/>
              <w:rPr>
                <w:rFonts w:eastAsia="Calibri" w:cs="Calibri"/>
                <w:noProof/>
              </w:rPr>
            </w:pPr>
            <w:r>
              <w:rPr>
                <w:noProof/>
              </w:rPr>
              <w:t>7.10</w:t>
            </w:r>
          </w:p>
        </w:tc>
        <w:tc>
          <w:tcPr>
            <w:tcW w:w="1760" w:type="dxa"/>
            <w:tcBorders>
              <w:top w:val="nil"/>
              <w:left w:val="nil"/>
              <w:bottom w:val="single" w:sz="4" w:space="0" w:color="auto"/>
              <w:right w:val="single" w:sz="4" w:space="0" w:color="auto"/>
            </w:tcBorders>
            <w:shd w:val="clear" w:color="auto" w:fill="C4EFCE"/>
            <w:vAlign w:val="center"/>
          </w:tcPr>
          <w:p w14:paraId="4150F0A6" w14:textId="77777777" w:rsidR="00F24946" w:rsidRDefault="00613B06">
            <w:pPr>
              <w:pStyle w:val="P68B1DB1-Normal23"/>
              <w:spacing w:after="0"/>
              <w:jc w:val="center"/>
              <w:rPr>
                <w:rFonts w:eastAsia="Calibri" w:cs="Calibri"/>
                <w:noProof/>
              </w:rPr>
            </w:pPr>
            <w:r>
              <w:rPr>
                <w:noProof/>
              </w:rPr>
              <w:t>Re-C07-i03</w:t>
            </w:r>
          </w:p>
        </w:tc>
        <w:tc>
          <w:tcPr>
            <w:tcW w:w="1520" w:type="dxa"/>
            <w:tcBorders>
              <w:top w:val="nil"/>
              <w:left w:val="nil"/>
              <w:bottom w:val="single" w:sz="4" w:space="0" w:color="auto"/>
              <w:right w:val="single" w:sz="4" w:space="0" w:color="auto"/>
            </w:tcBorders>
            <w:shd w:val="clear" w:color="auto" w:fill="C4EFCE"/>
            <w:vAlign w:val="center"/>
          </w:tcPr>
          <w:p w14:paraId="592CEA84" w14:textId="77777777" w:rsidR="00F24946" w:rsidRDefault="00613B06">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B2DBE78" w14:textId="77777777" w:rsidR="00F24946" w:rsidRDefault="00613B06">
            <w:pPr>
              <w:pStyle w:val="P68B1DB1-Normal23"/>
              <w:spacing w:after="0"/>
              <w:jc w:val="both"/>
              <w:rPr>
                <w:rFonts w:eastAsia="Calibri" w:cs="Calibri"/>
                <w:noProof/>
              </w:rPr>
            </w:pPr>
            <w:r>
              <w:rPr>
                <w:noProof/>
              </w:rPr>
              <w:t>Zgrajene ali obnovljene ceste</w:t>
            </w:r>
          </w:p>
        </w:tc>
      </w:tr>
      <w:tr w:rsidR="00F24946" w14:paraId="7DB20D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74755" w14:textId="77777777" w:rsidR="00F24946" w:rsidRDefault="00613B06">
            <w:pPr>
              <w:pStyle w:val="P68B1DB1-Normal23"/>
              <w:spacing w:after="0"/>
              <w:jc w:val="center"/>
              <w:rPr>
                <w:rFonts w:eastAsia="Calibri" w:cs="Calibri"/>
                <w:noProof/>
              </w:rPr>
            </w:pPr>
            <w:r>
              <w:rPr>
                <w:noProof/>
              </w:rPr>
              <w:t>7.12</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0788EBF" w14:textId="77777777" w:rsidR="00F24946" w:rsidRDefault="00613B06">
            <w:pPr>
              <w:pStyle w:val="P68B1DB1-Normal23"/>
              <w:spacing w:after="0"/>
              <w:jc w:val="center"/>
              <w:rPr>
                <w:rFonts w:eastAsia="Calibri" w:cs="Calibri"/>
                <w:noProof/>
              </w:rPr>
            </w:pPr>
            <w:r>
              <w:rPr>
                <w:noProof/>
              </w:rPr>
              <w:t>Re-C07-i04</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C0933CA" w14:textId="77777777" w:rsidR="00F24946" w:rsidRDefault="00613B06">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6814B6B4" w14:textId="77777777" w:rsidR="00F24946" w:rsidRDefault="00613B06">
            <w:pPr>
              <w:pStyle w:val="P68B1DB1-Normal23"/>
              <w:spacing w:after="0"/>
              <w:jc w:val="both"/>
              <w:rPr>
                <w:rFonts w:eastAsia="Calibri" w:cs="Calibri"/>
                <w:noProof/>
              </w:rPr>
            </w:pPr>
            <w:r>
              <w:rPr>
                <w:noProof/>
              </w:rPr>
              <w:t>Zgrajene ali obnovljene ceste</w:t>
            </w:r>
          </w:p>
        </w:tc>
      </w:tr>
      <w:tr w:rsidR="00F24946" w14:paraId="2FF9C2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AA1A82" w14:textId="66BEC41C" w:rsidR="00F24946" w:rsidRDefault="00613B06">
            <w:pPr>
              <w:pStyle w:val="P68B1DB1-Normal23"/>
              <w:spacing w:after="0"/>
              <w:jc w:val="center"/>
              <w:rPr>
                <w:rFonts w:eastAsia="Calibri" w:cs="Calibri"/>
                <w:noProof/>
              </w:rPr>
            </w:pPr>
            <w:r>
              <w:rPr>
                <w:noProof/>
              </w:rPr>
              <w:t>19.30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1C7B993" w14:textId="3F7646E8" w:rsidR="00F24946" w:rsidRDefault="00613B06">
            <w:pPr>
              <w:pStyle w:val="P68B1DB1-Normal23"/>
              <w:spacing w:after="0"/>
              <w:jc w:val="center"/>
              <w:rPr>
                <w:rFonts w:eastAsia="Calibri" w:cs="Calibri"/>
                <w:noProof/>
              </w:rPr>
            </w:pPr>
            <w:r>
              <w:rPr>
                <w:noProof/>
              </w:rPr>
              <w:t>TD-C19-r41</w:t>
            </w:r>
          </w:p>
        </w:tc>
        <w:tc>
          <w:tcPr>
            <w:tcW w:w="1520" w:type="dxa"/>
            <w:tcBorders>
              <w:top w:val="single" w:sz="4" w:space="0" w:color="auto"/>
              <w:left w:val="nil"/>
              <w:bottom w:val="nil"/>
              <w:right w:val="single" w:sz="4" w:space="0" w:color="auto"/>
            </w:tcBorders>
            <w:shd w:val="clear" w:color="auto" w:fill="C4EFCE"/>
            <w:vAlign w:val="center"/>
          </w:tcPr>
          <w:p w14:paraId="16274021" w14:textId="378AF8DD" w:rsidR="00F24946" w:rsidRDefault="00613B06">
            <w:pPr>
              <w:pStyle w:val="P68B1DB1-Normal23"/>
              <w:spacing w:after="0"/>
              <w:jc w:val="center"/>
              <w:rPr>
                <w:rFonts w:eastAsia="Calibri" w:cs="Calibri"/>
                <w:noProof/>
              </w:rPr>
            </w:pPr>
            <w:r>
              <w:rPr>
                <w:noProof/>
              </w:rPr>
              <w:t>M</w:t>
            </w:r>
          </w:p>
        </w:tc>
        <w:tc>
          <w:tcPr>
            <w:tcW w:w="5060" w:type="dxa"/>
            <w:tcBorders>
              <w:top w:val="single" w:sz="4" w:space="0" w:color="auto"/>
              <w:left w:val="nil"/>
              <w:bottom w:val="nil"/>
              <w:right w:val="single" w:sz="4" w:space="0" w:color="auto"/>
            </w:tcBorders>
            <w:shd w:val="clear" w:color="auto" w:fill="C4EFCE"/>
            <w:vAlign w:val="center"/>
          </w:tcPr>
          <w:p w14:paraId="7AD3F20C" w14:textId="697A142B" w:rsidR="00F24946" w:rsidRDefault="00613B06">
            <w:pPr>
              <w:pStyle w:val="P68B1DB1-Normal23"/>
              <w:spacing w:after="0"/>
              <w:jc w:val="both"/>
              <w:rPr>
                <w:rFonts w:eastAsia="Calibri" w:cs="Calibri"/>
                <w:noProof/>
              </w:rPr>
            </w:pPr>
            <w:r>
              <w:rPr>
                <w:noProof/>
              </w:rPr>
              <w:t>Začetek veljavnosti zakonodajnega akta o dostopu do javnih storitev</w:t>
            </w:r>
          </w:p>
        </w:tc>
      </w:tr>
      <w:tr w:rsidR="00F24946" w14:paraId="2DA41D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2CD2493"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0300EF67" w14:textId="77777777" w:rsidR="00F24946" w:rsidRDefault="00613B06">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5ECE748"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7C719D15" w14:textId="6A1C6747" w:rsidR="00F24946" w:rsidRDefault="00613B06">
            <w:pPr>
              <w:pStyle w:val="P68B1DB1-Normal25"/>
              <w:spacing w:after="0" w:line="240" w:lineRule="auto"/>
              <w:jc w:val="center"/>
              <w:rPr>
                <w:rFonts w:cs="Calibri"/>
                <w:noProof/>
              </w:rPr>
            </w:pPr>
            <w:r>
              <w:rPr>
                <w:noProof/>
              </w:rPr>
              <w:t xml:space="preserve"> 938 960 210 EUR </w:t>
            </w:r>
          </w:p>
        </w:tc>
      </w:tr>
    </w:tbl>
    <w:p w14:paraId="2594BF65" w14:textId="77777777" w:rsidR="00F24946" w:rsidRDefault="00F24946">
      <w:pPr>
        <w:keepNext/>
        <w:spacing w:before="40" w:after="160" w:line="259" w:lineRule="auto"/>
        <w:contextualSpacing/>
        <w:jc w:val="both"/>
        <w:rPr>
          <w:rFonts w:ascii="Times New Roman" w:eastAsiaTheme="minorEastAsia" w:hAnsi="Times New Roman" w:cs="Times New Roman"/>
          <w:noProof/>
          <w:sz w:val="24"/>
        </w:rPr>
      </w:pPr>
    </w:p>
    <w:p w14:paraId="76C80100" w14:textId="2CDFED06" w:rsidR="00F24946" w:rsidRDefault="00613B06">
      <w:pPr>
        <w:pStyle w:val="P68B1DB1-Normal4"/>
        <w:keepNext/>
        <w:spacing w:before="40" w:after="160" w:line="259" w:lineRule="auto"/>
        <w:contextualSpacing/>
        <w:jc w:val="both"/>
        <w:rPr>
          <w:rFonts w:eastAsia="Yu Mincho" w:cs="Times New Roman"/>
          <w:noProof/>
        </w:rPr>
      </w:pPr>
      <w:r>
        <w:rPr>
          <w:noProof/>
        </w:rPr>
        <w:t>2.10. Deseti zahtevek za plačilo (podpora posojilu):</w:t>
      </w:r>
    </w:p>
    <w:p w14:paraId="71DB6764" w14:textId="77777777" w:rsidR="00F24946" w:rsidRDefault="00F24946">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F24946" w14:paraId="6B7C20FE" w14:textId="77777777">
        <w:trPr>
          <w:trHeight w:val="509"/>
          <w:tblHeader/>
        </w:trPr>
        <w:tc>
          <w:tcPr>
            <w:tcW w:w="1200" w:type="dxa"/>
            <w:vMerge w:val="restart"/>
            <w:shd w:val="clear" w:color="auto" w:fill="BDD7EE"/>
            <w:vAlign w:val="center"/>
            <w:hideMark/>
          </w:tcPr>
          <w:p w14:paraId="091A540E" w14:textId="77777777" w:rsidR="00F24946" w:rsidRDefault="00613B06">
            <w:pPr>
              <w:pStyle w:val="P68B1DB1-Normal22"/>
              <w:spacing w:after="0" w:line="240" w:lineRule="auto"/>
              <w:jc w:val="center"/>
              <w:rPr>
                <w:rFonts w:eastAsia="Times New Roman" w:cs="Times New Roman"/>
                <w:noProof/>
              </w:rPr>
            </w:pPr>
            <w:r>
              <w:rPr>
                <w:noProof/>
              </w:rPr>
              <w:t>Zaporedna številka</w:t>
            </w:r>
          </w:p>
        </w:tc>
        <w:tc>
          <w:tcPr>
            <w:tcW w:w="1760" w:type="dxa"/>
            <w:vMerge w:val="restart"/>
            <w:shd w:val="clear" w:color="auto" w:fill="BDD7EE"/>
            <w:vAlign w:val="center"/>
            <w:hideMark/>
          </w:tcPr>
          <w:p w14:paraId="52173FC7" w14:textId="77777777" w:rsidR="00F24946" w:rsidRDefault="00613B06">
            <w:pPr>
              <w:pStyle w:val="P68B1DB1-Normal22"/>
              <w:spacing w:after="0" w:line="240" w:lineRule="auto"/>
              <w:jc w:val="center"/>
              <w:rPr>
                <w:rFonts w:eastAsia="Times New Roman" w:cs="Times New Roman"/>
                <w:noProof/>
              </w:rPr>
            </w:pPr>
            <w:r>
              <w:rPr>
                <w:noProof/>
              </w:rPr>
              <w:t>Povezani ukrep (reforma ali naložba)</w:t>
            </w:r>
          </w:p>
        </w:tc>
        <w:tc>
          <w:tcPr>
            <w:tcW w:w="1520" w:type="dxa"/>
            <w:vMerge w:val="restart"/>
            <w:shd w:val="clear" w:color="auto" w:fill="BDD7EE"/>
            <w:vAlign w:val="center"/>
            <w:hideMark/>
          </w:tcPr>
          <w:p w14:paraId="60F692F4" w14:textId="77777777" w:rsidR="00F24946" w:rsidRDefault="00613B06">
            <w:pPr>
              <w:pStyle w:val="P68B1DB1-Normal22"/>
              <w:spacing w:after="0" w:line="240" w:lineRule="auto"/>
              <w:jc w:val="center"/>
              <w:rPr>
                <w:rFonts w:eastAsia="Times New Roman" w:cs="Times New Roman"/>
                <w:noProof/>
              </w:rPr>
            </w:pPr>
            <w:r>
              <w:rPr>
                <w:noProof/>
              </w:rPr>
              <w:t>Mejnik/cilj</w:t>
            </w:r>
          </w:p>
        </w:tc>
        <w:tc>
          <w:tcPr>
            <w:tcW w:w="5060" w:type="dxa"/>
            <w:vMerge w:val="restart"/>
            <w:shd w:val="clear" w:color="auto" w:fill="BDD7EE"/>
            <w:vAlign w:val="center"/>
            <w:hideMark/>
          </w:tcPr>
          <w:p w14:paraId="6E70766D" w14:textId="77777777" w:rsidR="00F24946" w:rsidRDefault="00613B06">
            <w:pPr>
              <w:pStyle w:val="P68B1DB1-Normal22"/>
              <w:spacing w:after="0" w:line="240" w:lineRule="auto"/>
              <w:jc w:val="center"/>
              <w:rPr>
                <w:rFonts w:eastAsia="Times New Roman" w:cs="Times New Roman"/>
                <w:noProof/>
              </w:rPr>
            </w:pPr>
            <w:r>
              <w:rPr>
                <w:noProof/>
              </w:rPr>
              <w:t>Ime</w:t>
            </w:r>
          </w:p>
        </w:tc>
      </w:tr>
      <w:tr w:rsidR="00F24946" w14:paraId="5EC6EC37" w14:textId="77777777">
        <w:trPr>
          <w:trHeight w:val="509"/>
          <w:tblHeader/>
        </w:trPr>
        <w:tc>
          <w:tcPr>
            <w:tcW w:w="1200" w:type="dxa"/>
            <w:vMerge/>
            <w:vAlign w:val="center"/>
            <w:hideMark/>
          </w:tcPr>
          <w:p w14:paraId="140A919C" w14:textId="77777777" w:rsidR="00F24946" w:rsidRDefault="00F24946">
            <w:pPr>
              <w:spacing w:after="0" w:line="240" w:lineRule="auto"/>
              <w:rPr>
                <w:rFonts w:ascii="Times New Roman" w:eastAsia="Times New Roman" w:hAnsi="Times New Roman" w:cs="Times New Roman"/>
                <w:noProof/>
                <w:sz w:val="20"/>
              </w:rPr>
            </w:pPr>
          </w:p>
        </w:tc>
        <w:tc>
          <w:tcPr>
            <w:tcW w:w="1760" w:type="dxa"/>
            <w:vMerge/>
            <w:vAlign w:val="center"/>
            <w:hideMark/>
          </w:tcPr>
          <w:p w14:paraId="7480BF59" w14:textId="77777777" w:rsidR="00F24946" w:rsidRDefault="00F24946">
            <w:pPr>
              <w:spacing w:after="0" w:line="240" w:lineRule="auto"/>
              <w:rPr>
                <w:rFonts w:ascii="Times New Roman" w:eastAsia="Times New Roman" w:hAnsi="Times New Roman" w:cs="Times New Roman"/>
                <w:noProof/>
                <w:sz w:val="20"/>
              </w:rPr>
            </w:pPr>
          </w:p>
        </w:tc>
        <w:tc>
          <w:tcPr>
            <w:tcW w:w="1520" w:type="dxa"/>
            <w:vMerge/>
            <w:vAlign w:val="center"/>
            <w:hideMark/>
          </w:tcPr>
          <w:p w14:paraId="0A39A395" w14:textId="77777777" w:rsidR="00F24946" w:rsidRDefault="00F24946">
            <w:pPr>
              <w:spacing w:after="0" w:line="240" w:lineRule="auto"/>
              <w:rPr>
                <w:rFonts w:ascii="Times New Roman" w:eastAsia="Times New Roman" w:hAnsi="Times New Roman" w:cs="Times New Roman"/>
                <w:noProof/>
                <w:sz w:val="20"/>
              </w:rPr>
            </w:pPr>
          </w:p>
        </w:tc>
        <w:tc>
          <w:tcPr>
            <w:tcW w:w="5060" w:type="dxa"/>
            <w:vMerge/>
            <w:vAlign w:val="center"/>
            <w:hideMark/>
          </w:tcPr>
          <w:p w14:paraId="6045547B" w14:textId="77777777" w:rsidR="00F24946" w:rsidRDefault="00F24946">
            <w:pPr>
              <w:spacing w:after="0" w:line="240" w:lineRule="auto"/>
              <w:rPr>
                <w:rFonts w:ascii="Times New Roman" w:eastAsia="Times New Roman" w:hAnsi="Times New Roman" w:cs="Times New Roman"/>
                <w:noProof/>
                <w:sz w:val="20"/>
              </w:rPr>
            </w:pPr>
          </w:p>
        </w:tc>
      </w:tr>
      <w:tr w:rsidR="00F24946" w14:paraId="43A9225B" w14:textId="77777777">
        <w:trPr>
          <w:trHeight w:val="440"/>
        </w:trPr>
        <w:tc>
          <w:tcPr>
            <w:tcW w:w="1200" w:type="dxa"/>
            <w:shd w:val="clear" w:color="auto" w:fill="C4EFCE"/>
            <w:vAlign w:val="center"/>
            <w:hideMark/>
          </w:tcPr>
          <w:p w14:paraId="1060EBA6" w14:textId="77777777" w:rsidR="00F24946" w:rsidRDefault="00613B06">
            <w:pPr>
              <w:pStyle w:val="P68B1DB1-Normal23"/>
              <w:spacing w:after="0"/>
              <w:jc w:val="center"/>
              <w:rPr>
                <w:rFonts w:eastAsia="Calibri" w:cs="Calibri"/>
                <w:noProof/>
              </w:rPr>
            </w:pPr>
            <w:r>
              <w:rPr>
                <w:noProof/>
              </w:rPr>
              <w:t>2.24</w:t>
            </w:r>
          </w:p>
        </w:tc>
        <w:tc>
          <w:tcPr>
            <w:tcW w:w="1760" w:type="dxa"/>
            <w:shd w:val="clear" w:color="auto" w:fill="C4EFCE"/>
            <w:vAlign w:val="center"/>
            <w:hideMark/>
          </w:tcPr>
          <w:p w14:paraId="713D07D5" w14:textId="77777777" w:rsidR="00F24946" w:rsidRDefault="00613B06">
            <w:pPr>
              <w:pStyle w:val="P68B1DB1-Normal23"/>
              <w:spacing w:after="0"/>
              <w:jc w:val="center"/>
              <w:rPr>
                <w:rFonts w:eastAsia="Calibri" w:cs="Calibri"/>
                <w:noProof/>
              </w:rPr>
            </w:pPr>
            <w:r>
              <w:rPr>
                <w:noProof/>
              </w:rPr>
              <w:t>Re-C02-i05</w:t>
            </w:r>
          </w:p>
        </w:tc>
        <w:tc>
          <w:tcPr>
            <w:tcW w:w="1520" w:type="dxa"/>
            <w:shd w:val="clear" w:color="auto" w:fill="C4EFCE"/>
            <w:vAlign w:val="center"/>
            <w:hideMark/>
          </w:tcPr>
          <w:p w14:paraId="4D626FFD"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46F0F41" w14:textId="77777777" w:rsidR="00F24946" w:rsidRDefault="00613B06">
            <w:pPr>
              <w:pStyle w:val="P68B1DB1-Normal23"/>
              <w:spacing w:after="0"/>
              <w:jc w:val="both"/>
              <w:rPr>
                <w:rFonts w:eastAsia="Calibri" w:cs="Calibri"/>
                <w:noProof/>
              </w:rPr>
            </w:pPr>
            <w:r>
              <w:rPr>
                <w:noProof/>
              </w:rPr>
              <w:t>Cenovno dostopna javna stanovanja – dodeljena stanovanja (zgrajena z visoko energijsko učinkovitostjo ali obnovljena z izboljšano energijsko učinkovitostjo)</w:t>
            </w:r>
          </w:p>
        </w:tc>
      </w:tr>
      <w:tr w:rsidR="00F24946" w14:paraId="6ACD318C" w14:textId="77777777">
        <w:trPr>
          <w:trHeight w:val="440"/>
        </w:trPr>
        <w:tc>
          <w:tcPr>
            <w:tcW w:w="1200" w:type="dxa"/>
            <w:shd w:val="clear" w:color="auto" w:fill="C4EFCE"/>
            <w:vAlign w:val="center"/>
            <w:hideMark/>
          </w:tcPr>
          <w:p w14:paraId="4A97CC8F" w14:textId="77777777" w:rsidR="00F24946" w:rsidRDefault="00613B06">
            <w:pPr>
              <w:pStyle w:val="P68B1DB1-Normal23"/>
              <w:spacing w:after="0"/>
              <w:jc w:val="center"/>
              <w:rPr>
                <w:rFonts w:eastAsia="Calibri" w:cs="Calibri"/>
                <w:noProof/>
              </w:rPr>
            </w:pPr>
            <w:r>
              <w:rPr>
                <w:noProof/>
              </w:rPr>
              <w:t>2.28</w:t>
            </w:r>
          </w:p>
        </w:tc>
        <w:tc>
          <w:tcPr>
            <w:tcW w:w="1760" w:type="dxa"/>
            <w:shd w:val="clear" w:color="auto" w:fill="C4EFCE"/>
            <w:vAlign w:val="center"/>
            <w:hideMark/>
          </w:tcPr>
          <w:p w14:paraId="3C8F5913" w14:textId="77777777" w:rsidR="00F24946" w:rsidRDefault="00613B06">
            <w:pPr>
              <w:pStyle w:val="P68B1DB1-Normal23"/>
              <w:spacing w:after="0"/>
              <w:jc w:val="center"/>
              <w:rPr>
                <w:rFonts w:eastAsia="Calibri" w:cs="Calibri"/>
                <w:noProof/>
              </w:rPr>
            </w:pPr>
            <w:r>
              <w:rPr>
                <w:noProof/>
              </w:rPr>
              <w:t>Re-C02-i06</w:t>
            </w:r>
          </w:p>
        </w:tc>
        <w:tc>
          <w:tcPr>
            <w:tcW w:w="1520" w:type="dxa"/>
            <w:shd w:val="clear" w:color="auto" w:fill="C4EFCE"/>
            <w:vAlign w:val="center"/>
            <w:hideMark/>
          </w:tcPr>
          <w:p w14:paraId="6259008C"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B76E21D" w14:textId="77777777" w:rsidR="00F24946" w:rsidRDefault="00613B06">
            <w:pPr>
              <w:pStyle w:val="P68B1DB1-Normal23"/>
              <w:spacing w:after="0"/>
              <w:jc w:val="both"/>
              <w:rPr>
                <w:rFonts w:eastAsia="Calibri" w:cs="Calibri"/>
                <w:noProof/>
              </w:rPr>
            </w:pPr>
            <w:r>
              <w:rPr>
                <w:noProof/>
              </w:rPr>
              <w:t>Študentska nastanitev po dostopnih cenah</w:t>
            </w:r>
          </w:p>
        </w:tc>
      </w:tr>
      <w:tr w:rsidR="00F24946" w14:paraId="0BC09961" w14:textId="77777777">
        <w:trPr>
          <w:trHeight w:val="440"/>
        </w:trPr>
        <w:tc>
          <w:tcPr>
            <w:tcW w:w="1200" w:type="dxa"/>
            <w:shd w:val="clear" w:color="auto" w:fill="C4EFCE"/>
            <w:vAlign w:val="center"/>
            <w:hideMark/>
          </w:tcPr>
          <w:p w14:paraId="5CF2BED8" w14:textId="77777777" w:rsidR="00F24946" w:rsidRDefault="00613B06">
            <w:pPr>
              <w:pStyle w:val="P68B1DB1-Normal23"/>
              <w:spacing w:after="0"/>
              <w:jc w:val="center"/>
              <w:rPr>
                <w:rFonts w:eastAsia="Calibri" w:cs="Calibri"/>
                <w:noProof/>
              </w:rPr>
            </w:pPr>
            <w:r>
              <w:rPr>
                <w:noProof/>
              </w:rPr>
              <w:t>2.32</w:t>
            </w:r>
          </w:p>
        </w:tc>
        <w:tc>
          <w:tcPr>
            <w:tcW w:w="1760" w:type="dxa"/>
            <w:shd w:val="clear" w:color="auto" w:fill="C4EFCE"/>
            <w:vAlign w:val="center"/>
            <w:hideMark/>
          </w:tcPr>
          <w:p w14:paraId="67904F64" w14:textId="77777777" w:rsidR="00F24946" w:rsidRDefault="00613B06">
            <w:pPr>
              <w:pStyle w:val="P68B1DB1-Normal23"/>
              <w:spacing w:after="0"/>
              <w:jc w:val="center"/>
              <w:rPr>
                <w:rFonts w:eastAsia="Calibri" w:cs="Calibri"/>
                <w:noProof/>
              </w:rPr>
            </w:pPr>
            <w:r>
              <w:rPr>
                <w:noProof/>
              </w:rPr>
              <w:t>Re-C02-i01</w:t>
            </w:r>
          </w:p>
        </w:tc>
        <w:tc>
          <w:tcPr>
            <w:tcW w:w="1520" w:type="dxa"/>
            <w:shd w:val="clear" w:color="auto" w:fill="C4EFCE"/>
            <w:vAlign w:val="center"/>
            <w:hideMark/>
          </w:tcPr>
          <w:p w14:paraId="264290E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BD1AF8" w14:textId="77777777" w:rsidR="00F24946" w:rsidRDefault="00613B06">
            <w:pPr>
              <w:pStyle w:val="P68B1DB1-Normal23"/>
              <w:spacing w:after="0"/>
              <w:jc w:val="both"/>
              <w:rPr>
                <w:rFonts w:eastAsia="Calibri" w:cs="Calibri"/>
                <w:noProof/>
              </w:rPr>
            </w:pPr>
            <w:r>
              <w:rPr>
                <w:noProof/>
              </w:rPr>
              <w:t>Program podpore za dostop do stanovanj (posojila) – kupljena, zgrajena (visoka energijska učinkovitost) ali sanirana (z izboljšano energijsko učinkovitostjo) stanovanja za gospodinjstva</w:t>
            </w:r>
          </w:p>
        </w:tc>
      </w:tr>
      <w:tr w:rsidR="00F24946" w14:paraId="0E1519F3" w14:textId="77777777">
        <w:trPr>
          <w:trHeight w:val="440"/>
        </w:trPr>
        <w:tc>
          <w:tcPr>
            <w:tcW w:w="1200" w:type="dxa"/>
            <w:shd w:val="clear" w:color="auto" w:fill="C4EFCE"/>
            <w:vAlign w:val="center"/>
            <w:hideMark/>
          </w:tcPr>
          <w:p w14:paraId="76C8C652" w14:textId="77777777" w:rsidR="00F24946" w:rsidRDefault="00613B06">
            <w:pPr>
              <w:pStyle w:val="P68B1DB1-Normal23"/>
              <w:spacing w:after="0"/>
              <w:jc w:val="center"/>
              <w:rPr>
                <w:rFonts w:eastAsia="Calibri" w:cs="Calibri"/>
                <w:noProof/>
              </w:rPr>
            </w:pPr>
            <w:r>
              <w:rPr>
                <w:noProof/>
              </w:rPr>
              <w:t>6.29</w:t>
            </w:r>
          </w:p>
        </w:tc>
        <w:tc>
          <w:tcPr>
            <w:tcW w:w="1760" w:type="dxa"/>
            <w:shd w:val="clear" w:color="auto" w:fill="C4EFCE"/>
            <w:vAlign w:val="center"/>
            <w:hideMark/>
          </w:tcPr>
          <w:p w14:paraId="0F6D3ED0" w14:textId="77777777" w:rsidR="00F24946" w:rsidRDefault="00613B06">
            <w:pPr>
              <w:pStyle w:val="P68B1DB1-Normal23"/>
              <w:spacing w:after="0"/>
              <w:jc w:val="center"/>
              <w:rPr>
                <w:rFonts w:eastAsia="Calibri" w:cs="Calibri"/>
                <w:noProof/>
              </w:rPr>
            </w:pPr>
            <w:r>
              <w:rPr>
                <w:noProof/>
              </w:rPr>
              <w:t>Re-C06-i09</w:t>
            </w:r>
          </w:p>
        </w:tc>
        <w:tc>
          <w:tcPr>
            <w:tcW w:w="1520" w:type="dxa"/>
            <w:shd w:val="clear" w:color="auto" w:fill="C4EFCE"/>
            <w:vAlign w:val="center"/>
            <w:hideMark/>
          </w:tcPr>
          <w:p w14:paraId="6D0F7153"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47B6D19" w14:textId="77777777" w:rsidR="00F24946" w:rsidRDefault="00613B06">
            <w:pPr>
              <w:pStyle w:val="P68B1DB1-Normal23"/>
              <w:spacing w:after="0"/>
              <w:jc w:val="both"/>
              <w:rPr>
                <w:rFonts w:eastAsia="Calibri" w:cs="Calibri"/>
                <w:noProof/>
              </w:rPr>
            </w:pPr>
            <w:r>
              <w:rPr>
                <w:noProof/>
              </w:rPr>
              <w:t>Zgrajene ali prenovljene šole</w:t>
            </w:r>
          </w:p>
        </w:tc>
      </w:tr>
      <w:tr w:rsidR="00F24946" w14:paraId="5238DA6D" w14:textId="77777777">
        <w:trPr>
          <w:trHeight w:val="440"/>
        </w:trPr>
        <w:tc>
          <w:tcPr>
            <w:tcW w:w="1200" w:type="dxa"/>
            <w:shd w:val="clear" w:color="auto" w:fill="C4EFCE"/>
            <w:vAlign w:val="center"/>
            <w:hideMark/>
          </w:tcPr>
          <w:p w14:paraId="5A9125CA" w14:textId="77777777" w:rsidR="00F24946" w:rsidRDefault="00613B06">
            <w:pPr>
              <w:pStyle w:val="P68B1DB1-Normal23"/>
              <w:spacing w:after="0"/>
              <w:jc w:val="center"/>
              <w:rPr>
                <w:rFonts w:eastAsia="Calibri" w:cs="Calibri"/>
                <w:noProof/>
              </w:rPr>
            </w:pPr>
            <w:r>
              <w:rPr>
                <w:noProof/>
              </w:rPr>
              <w:t>9.11</w:t>
            </w:r>
          </w:p>
        </w:tc>
        <w:tc>
          <w:tcPr>
            <w:tcW w:w="1760" w:type="dxa"/>
            <w:shd w:val="clear" w:color="auto" w:fill="C4EFCE"/>
            <w:vAlign w:val="center"/>
            <w:hideMark/>
          </w:tcPr>
          <w:p w14:paraId="0D639E29" w14:textId="77777777" w:rsidR="00F24946" w:rsidRDefault="00613B06">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41B75453"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12ACE4B" w14:textId="77777777" w:rsidR="00F24946" w:rsidRDefault="00613B06">
            <w:pPr>
              <w:pStyle w:val="P68B1DB1-Normal23"/>
              <w:spacing w:after="0"/>
              <w:jc w:val="both"/>
              <w:rPr>
                <w:rFonts w:eastAsia="Calibri" w:cs="Calibri"/>
                <w:noProof/>
              </w:rPr>
            </w:pPr>
            <w:r>
              <w:rPr>
                <w:noProof/>
              </w:rPr>
              <w:t>Začetek obratovanja jezu, proizvodnje električne energije iz vodne in sončne energije ter namakanja, pri čemer se v celoti upoštevajo rezultati in pogoji, določeni v presoji vplivov na okolje, ter doseganje dobrega stanja zadevnih vodnih teles</w:t>
            </w:r>
          </w:p>
        </w:tc>
      </w:tr>
      <w:tr w:rsidR="00F24946" w14:paraId="19AB668B" w14:textId="77777777">
        <w:trPr>
          <w:trHeight w:val="440"/>
        </w:trPr>
        <w:tc>
          <w:tcPr>
            <w:tcW w:w="1200" w:type="dxa"/>
            <w:shd w:val="clear" w:color="auto" w:fill="C4EFCE"/>
            <w:vAlign w:val="center"/>
            <w:hideMark/>
          </w:tcPr>
          <w:p w14:paraId="6A2076DD" w14:textId="77777777" w:rsidR="00F24946" w:rsidRDefault="00613B06">
            <w:pPr>
              <w:pStyle w:val="P68B1DB1-Normal23"/>
              <w:spacing w:after="0"/>
              <w:jc w:val="center"/>
              <w:rPr>
                <w:rFonts w:eastAsia="Calibri" w:cs="Calibri"/>
                <w:noProof/>
              </w:rPr>
            </w:pPr>
            <w:r>
              <w:rPr>
                <w:noProof/>
              </w:rPr>
              <w:t>10.7</w:t>
            </w:r>
          </w:p>
        </w:tc>
        <w:tc>
          <w:tcPr>
            <w:tcW w:w="1760" w:type="dxa"/>
            <w:shd w:val="clear" w:color="auto" w:fill="C4EFCE"/>
            <w:vAlign w:val="center"/>
            <w:hideMark/>
          </w:tcPr>
          <w:p w14:paraId="7A7CF25E" w14:textId="77777777" w:rsidR="00F24946" w:rsidRDefault="00613B06">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266B0A8B" w14:textId="77777777" w:rsidR="00F24946" w:rsidRDefault="00613B06">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3803CDA" w14:textId="77777777" w:rsidR="00F24946" w:rsidRDefault="00613B06">
            <w:pPr>
              <w:pStyle w:val="P68B1DB1-Normal23"/>
              <w:spacing w:after="0"/>
              <w:jc w:val="both"/>
              <w:rPr>
                <w:rFonts w:eastAsia="Calibri" w:cs="Calibri"/>
                <w:noProof/>
              </w:rPr>
            </w:pPr>
            <w:r>
              <w:rPr>
                <w:noProof/>
              </w:rPr>
              <w:t>Sprejem in sprejetje „večfunkcionalne pomorske platforme“ in „operativnega centra“</w:t>
            </w:r>
          </w:p>
        </w:tc>
      </w:tr>
      <w:tr w:rsidR="00F24946" w14:paraId="057D473A" w14:textId="77777777">
        <w:trPr>
          <w:trHeight w:val="440"/>
        </w:trPr>
        <w:tc>
          <w:tcPr>
            <w:tcW w:w="1200" w:type="dxa"/>
            <w:shd w:val="clear" w:color="auto" w:fill="C4EFCE"/>
            <w:vAlign w:val="center"/>
            <w:hideMark/>
          </w:tcPr>
          <w:p w14:paraId="5F8992F9" w14:textId="77777777" w:rsidR="00F24946" w:rsidRDefault="00613B06">
            <w:pPr>
              <w:pStyle w:val="P68B1DB1-Normal23"/>
              <w:spacing w:after="0"/>
              <w:jc w:val="center"/>
              <w:rPr>
                <w:rFonts w:eastAsia="Calibri" w:cs="Calibri"/>
                <w:noProof/>
              </w:rPr>
            </w:pPr>
            <w:r>
              <w:rPr>
                <w:noProof/>
              </w:rPr>
              <w:t>10.18</w:t>
            </w:r>
          </w:p>
        </w:tc>
        <w:tc>
          <w:tcPr>
            <w:tcW w:w="1760" w:type="dxa"/>
            <w:shd w:val="clear" w:color="auto" w:fill="C4EFCE"/>
            <w:vAlign w:val="center"/>
            <w:hideMark/>
          </w:tcPr>
          <w:p w14:paraId="3BD8484D" w14:textId="77777777" w:rsidR="00F24946" w:rsidRDefault="00613B06">
            <w:pPr>
              <w:pStyle w:val="P68B1DB1-Normal23"/>
              <w:spacing w:after="0"/>
              <w:jc w:val="center"/>
              <w:rPr>
                <w:rFonts w:eastAsia="Calibri" w:cs="Calibri"/>
                <w:noProof/>
              </w:rPr>
            </w:pPr>
            <w:r>
              <w:rPr>
                <w:noProof/>
              </w:rPr>
              <w:t>TC-10-i07</w:t>
            </w:r>
          </w:p>
        </w:tc>
        <w:tc>
          <w:tcPr>
            <w:tcW w:w="1520" w:type="dxa"/>
            <w:shd w:val="clear" w:color="auto" w:fill="C4EFCE"/>
            <w:vAlign w:val="center"/>
            <w:hideMark/>
          </w:tcPr>
          <w:p w14:paraId="735A96C0"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56295A" w14:textId="77777777" w:rsidR="00F24946" w:rsidRDefault="00613B06">
            <w:pPr>
              <w:pStyle w:val="P68B1DB1-Normal23"/>
              <w:spacing w:after="0"/>
              <w:jc w:val="both"/>
              <w:rPr>
                <w:rFonts w:eastAsia="Calibri" w:cs="Calibri"/>
                <w:noProof/>
              </w:rPr>
            </w:pPr>
            <w:r>
              <w:rPr>
                <w:noProof/>
              </w:rPr>
              <w:t>Zaključek ukrepov za energijsko učinkovitost za plovila</w:t>
            </w:r>
          </w:p>
        </w:tc>
      </w:tr>
      <w:tr w:rsidR="00F24946" w14:paraId="4F144B9C" w14:textId="77777777">
        <w:trPr>
          <w:trHeight w:val="440"/>
        </w:trPr>
        <w:tc>
          <w:tcPr>
            <w:tcW w:w="1200" w:type="dxa"/>
            <w:shd w:val="clear" w:color="auto" w:fill="C4EFCE"/>
            <w:vAlign w:val="center"/>
            <w:hideMark/>
          </w:tcPr>
          <w:p w14:paraId="32223458" w14:textId="77777777" w:rsidR="00F24946" w:rsidRDefault="00613B06">
            <w:pPr>
              <w:pStyle w:val="P68B1DB1-Normal23"/>
              <w:spacing w:after="0"/>
              <w:jc w:val="center"/>
              <w:rPr>
                <w:rFonts w:eastAsia="Calibri" w:cs="Calibri"/>
                <w:noProof/>
              </w:rPr>
            </w:pPr>
            <w:r>
              <w:rPr>
                <w:noProof/>
              </w:rPr>
              <w:t>15.9</w:t>
            </w:r>
          </w:p>
        </w:tc>
        <w:tc>
          <w:tcPr>
            <w:tcW w:w="1760" w:type="dxa"/>
            <w:shd w:val="clear" w:color="auto" w:fill="C4EFCE"/>
            <w:vAlign w:val="center"/>
            <w:hideMark/>
          </w:tcPr>
          <w:p w14:paraId="653ED741" w14:textId="77777777" w:rsidR="00F24946" w:rsidRDefault="00613B06">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36D4B6CD" w14:textId="77777777" w:rsidR="00F24946" w:rsidRDefault="00613B06">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9759650" w14:textId="77777777" w:rsidR="00F24946" w:rsidRDefault="00613B06">
            <w:pPr>
              <w:pStyle w:val="P68B1DB1-Normal23"/>
              <w:spacing w:after="0"/>
              <w:jc w:val="both"/>
              <w:rPr>
                <w:rFonts w:eastAsia="Calibri" w:cs="Calibri"/>
                <w:noProof/>
              </w:rPr>
            </w:pPr>
            <w:r>
              <w:rPr>
                <w:noProof/>
              </w:rPr>
              <w:t>Dokončana gradnja železniške tranzitne proge med Odivelasom in Louresom</w:t>
            </w:r>
          </w:p>
        </w:tc>
      </w:tr>
      <w:tr w:rsidR="00F24946" w14:paraId="4C01CA89" w14:textId="77777777">
        <w:trPr>
          <w:trHeight w:val="440"/>
        </w:trPr>
        <w:tc>
          <w:tcPr>
            <w:tcW w:w="1200" w:type="dxa"/>
            <w:shd w:val="clear" w:color="auto" w:fill="C4EFCE"/>
            <w:vAlign w:val="center"/>
            <w:hideMark/>
          </w:tcPr>
          <w:p w14:paraId="58A583A0" w14:textId="77777777" w:rsidR="00F24946" w:rsidRDefault="00613B06">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0B776CD" w14:textId="77777777" w:rsidR="00F24946" w:rsidRDefault="00613B06">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795582F7" w14:textId="77777777" w:rsidR="00F24946" w:rsidRDefault="00613B06">
            <w:pPr>
              <w:pStyle w:val="P68B1DB1-Normal24"/>
              <w:spacing w:after="0" w:line="240" w:lineRule="auto"/>
              <w:jc w:val="center"/>
              <w:rPr>
                <w:rFonts w:eastAsia="Times New Roman" w:cs="Calibri"/>
                <w:noProof/>
              </w:rPr>
            </w:pPr>
            <w:r>
              <w:rPr>
                <w:noProof/>
              </w:rPr>
              <w:t>Znesek obroka</w:t>
            </w:r>
          </w:p>
        </w:tc>
        <w:tc>
          <w:tcPr>
            <w:tcW w:w="5060" w:type="dxa"/>
            <w:shd w:val="clear" w:color="auto" w:fill="C4EFCE"/>
            <w:vAlign w:val="center"/>
            <w:hideMark/>
          </w:tcPr>
          <w:p w14:paraId="608E3E88" w14:textId="42969D28" w:rsidR="00F24946" w:rsidRDefault="00613B06">
            <w:pPr>
              <w:pStyle w:val="P68B1DB1-Normal25"/>
              <w:spacing w:after="0" w:line="240" w:lineRule="auto"/>
              <w:jc w:val="center"/>
              <w:rPr>
                <w:rFonts w:cs="Calibri"/>
                <w:noProof/>
              </w:rPr>
            </w:pPr>
            <w:r>
              <w:rPr>
                <w:noProof/>
              </w:rPr>
              <w:t xml:space="preserve"> 907 960 212 EUR </w:t>
            </w:r>
          </w:p>
        </w:tc>
      </w:tr>
    </w:tbl>
    <w:p w14:paraId="1317C313" w14:textId="77777777" w:rsidR="00F24946" w:rsidRDefault="00F24946">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p>
    <w:p w14:paraId="7BC3CF85" w14:textId="11A36794" w:rsidR="00F24946" w:rsidRDefault="00613B06">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r>
      <w:r>
        <w:rPr>
          <w:rFonts w:ascii="Times New Roman" w:hAnsi="Times New Roman"/>
          <w:b/>
          <w:smallCaps/>
          <w:noProof/>
          <w:sz w:val="24"/>
        </w:rPr>
        <w:t xml:space="preserve">ODDELEK 3: DODATNA UREDITEV </w:t>
      </w:r>
    </w:p>
    <w:p w14:paraId="21FD14C8" w14:textId="77777777" w:rsidR="00F24946" w:rsidRDefault="00613B06">
      <w:pPr>
        <w:pStyle w:val="P68B1DB1-Normal3"/>
        <w:keepNext/>
        <w:numPr>
          <w:ilvl w:val="1"/>
          <w:numId w:val="49"/>
        </w:numPr>
        <w:spacing w:before="40" w:after="0" w:line="259" w:lineRule="auto"/>
        <w:ind w:left="357" w:hanging="357"/>
        <w:jc w:val="both"/>
        <w:outlineLvl w:val="1"/>
        <w:rPr>
          <w:rFonts w:eastAsiaTheme="majorEastAsia" w:cs="Times New Roman"/>
          <w:noProof/>
        </w:rPr>
      </w:pPr>
      <w:r>
        <w:rPr>
          <w:noProof/>
        </w:rPr>
        <w:t>Ureditve za spremljanje in izvajanje načrta za okrevanje in odpornost</w:t>
      </w:r>
    </w:p>
    <w:p w14:paraId="0513130D"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Spremljanje in izvajanje načrta za okrevanje in odpornost Portugalske poteka v skladu z naslednjimi ureditvami: </w:t>
      </w:r>
    </w:p>
    <w:p w14:paraId="47CE9DC2" w14:textId="3215C937" w:rsidR="00F24946" w:rsidRDefault="00613B06">
      <w:pPr>
        <w:pStyle w:val="P68B1DB1-Normal4"/>
        <w:keepNext/>
        <w:spacing w:before="40" w:after="0" w:line="259" w:lineRule="auto"/>
        <w:jc w:val="both"/>
        <w:rPr>
          <w:rFonts w:eastAsiaTheme="minorEastAsia" w:cs="Times New Roman"/>
          <w:noProof/>
        </w:rPr>
      </w:pPr>
      <w:r>
        <w:rPr>
          <w:noProof/>
        </w:rPr>
        <w:t xml:space="preserve">Uredba-zakon št. 29-B/2021, ki je bila spremenjena z uredbo-zakonom 61/2023 z dne 24. julija, vzpostavlja model upravljanja na štirih ravneh: </w:t>
      </w:r>
    </w:p>
    <w:p w14:paraId="5C86F29E" w14:textId="77777777" w:rsidR="00F24946" w:rsidRDefault="00613B06">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Medresorska komisija, ki ji predseduje predsednik vlade in je pristojna za strateško usklajevanje in usklajevanje politik ter splošno politično usmerjanje; </w:t>
      </w:r>
    </w:p>
    <w:p w14:paraId="40167AC1" w14:textId="77777777" w:rsidR="00F24946" w:rsidRDefault="00613B06">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Nacionalno komisijo za spremljanje, ki jo sestavljajo predstavniki različnih socialnih in gospodarskih partnerjev ter ključnih predstavnikov civilne družbe, predseduje pa ji neodvisna oseba, ki bo spremljala izvajanje in rezultate načrta za okrevanje in odpornost, spodbujala njegovo ustrezno razširjanje med državljani, podjetji in drugimi organizacijami ter preučila vsa vprašanja, ki vplivajo na njeno uspešnost, in predlagala priporočila; </w:t>
      </w:r>
    </w:p>
    <w:p w14:paraId="39701269" w14:textId="78BB1033" w:rsidR="00F24946" w:rsidRDefault="00613B06">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Upravna struktura </w:t>
      </w:r>
      <w:r>
        <w:rPr>
          <w:i/>
          <w:noProof/>
        </w:rPr>
        <w:t>Estrutura de missao Recuperar Portugal</w:t>
      </w:r>
      <w:r>
        <w:rPr>
          <w:noProof/>
        </w:rPr>
        <w:t xml:space="preserve"> (v nadaljnjem besedilu: delovna skupina), ustanovljena z resolucijo Sveta ministrov št. 46-B/2021, je skupaj z Agencijo za razvoj in kohezijo (nadzor uporabe kombinacije sredstev EU, nadzor tveganja dvojnega financiranja in skladnost z drugimi pobudami) ter ministrstvom za finance odgovorna za izvajanje načrta za okrevanje in odpornost;</w:t>
      </w:r>
    </w:p>
    <w:p w14:paraId="1B7F06E3" w14:textId="77777777" w:rsidR="00F24946" w:rsidRDefault="00613B06">
      <w:pPr>
        <w:pStyle w:val="P68B1DB1-Normal4"/>
        <w:keepNext/>
        <w:numPr>
          <w:ilvl w:val="0"/>
          <w:numId w:val="54"/>
        </w:numPr>
        <w:spacing w:before="40" w:after="160" w:line="259" w:lineRule="auto"/>
        <w:contextualSpacing/>
        <w:jc w:val="both"/>
        <w:rPr>
          <w:rFonts w:eastAsiaTheme="minorEastAsia" w:cs="Times New Roman"/>
          <w:noProof/>
        </w:rPr>
      </w:pPr>
      <w:r>
        <w:rPr>
          <w:noProof/>
        </w:rPr>
        <w:t>Revizijski in kontrolni odbor (CAC), ki mu predseduje Generalni inšpektorat za finance (IGF), odgovoren za revizijske in kontrolne dejavnosti.</w:t>
      </w:r>
    </w:p>
    <w:p w14:paraId="7337E38A" w14:textId="77777777" w:rsidR="00F24946" w:rsidRDefault="00613B06">
      <w:pPr>
        <w:pStyle w:val="P68B1DB1-Normal4"/>
        <w:keepNext/>
        <w:spacing w:before="40" w:after="0" w:line="259" w:lineRule="auto"/>
        <w:jc w:val="both"/>
        <w:rPr>
          <w:rFonts w:eastAsiaTheme="minorEastAsia" w:cs="Times New Roman"/>
          <w:noProof/>
        </w:rPr>
      </w:pPr>
      <w:r>
        <w:rPr>
          <w:noProof/>
        </w:rPr>
        <w:t xml:space="preserve">Portugalska je ustanovila institucionalne akterje, ki so odgovorni za izvajanje posameznih reform in naložb na ravni komponent. Pristojna ministrstva ali akterji, ki sodelujejo pri izvajanju vsake reforme in naložbe, se redno povezujejo s projektno skupino, ki je odgovorna za usklajevanje dela v zvezi z načrtom za okrevanje in odpornost, sklepanje pogodb z neposrednimi in vmesnimi upravičenci, preverjanje doseganja mejnikov in ciljev ter pošiljanje zahtevkov za plačilo Evropski komisiji. </w:t>
      </w:r>
    </w:p>
    <w:p w14:paraId="4221245C" w14:textId="77777777" w:rsidR="00F24946" w:rsidRDefault="00F24946">
      <w:pPr>
        <w:keepNext/>
        <w:spacing w:before="40" w:after="0" w:line="259" w:lineRule="auto"/>
        <w:jc w:val="both"/>
        <w:rPr>
          <w:rFonts w:ascii="Times New Roman" w:eastAsiaTheme="minorEastAsia" w:hAnsi="Times New Roman" w:cs="Times New Roman"/>
          <w:noProof/>
          <w:sz w:val="24"/>
        </w:rPr>
      </w:pPr>
    </w:p>
    <w:p w14:paraId="0C7CC7C0" w14:textId="77777777" w:rsidR="00F24946" w:rsidRDefault="00613B06">
      <w:pPr>
        <w:pStyle w:val="P68B1DB1-Normal3"/>
        <w:keepNext/>
        <w:numPr>
          <w:ilvl w:val="1"/>
          <w:numId w:val="49"/>
        </w:numPr>
        <w:spacing w:before="40" w:after="0" w:line="259" w:lineRule="auto"/>
        <w:ind w:left="357" w:hanging="357"/>
        <w:jc w:val="both"/>
        <w:outlineLvl w:val="1"/>
        <w:rPr>
          <w:rFonts w:eastAsiaTheme="minorEastAsia" w:cs="Times New Roman"/>
          <w:noProof/>
        </w:rPr>
      </w:pPr>
      <w:r>
        <w:rPr>
          <w:noProof/>
        </w:rPr>
        <w:t>Ureditve za zagotavljanje popolnega dostopa Komisije do osnovnih podatkov</w:t>
      </w:r>
    </w:p>
    <w:p w14:paraId="2A07BA90" w14:textId="77777777" w:rsidR="00F24946" w:rsidRDefault="00F24946">
      <w:pPr>
        <w:keepNext/>
        <w:spacing w:before="40" w:after="0" w:line="259" w:lineRule="auto"/>
        <w:ind w:left="357"/>
        <w:jc w:val="both"/>
        <w:outlineLvl w:val="1"/>
        <w:rPr>
          <w:rFonts w:ascii="Times New Roman" w:eastAsiaTheme="minorEastAsia" w:hAnsi="Times New Roman" w:cs="Times New Roman"/>
          <w:b/>
          <w:noProof/>
          <w:sz w:val="24"/>
          <w:u w:val="single"/>
        </w:rPr>
      </w:pPr>
    </w:p>
    <w:p w14:paraId="058CE76E" w14:textId="524D29FB" w:rsidR="00F24946" w:rsidRDefault="00613B06">
      <w:pPr>
        <w:pStyle w:val="P68B1DB1-Normal4"/>
        <w:keepNext/>
        <w:numPr>
          <w:ilvl w:val="0"/>
          <w:numId w:val="69"/>
        </w:numPr>
        <w:spacing w:before="120" w:after="0" w:line="240" w:lineRule="auto"/>
        <w:ind w:left="714" w:hanging="357"/>
        <w:contextualSpacing/>
        <w:jc w:val="both"/>
        <w:rPr>
          <w:rFonts w:cs="Times New Roman"/>
          <w:noProof/>
        </w:rPr>
      </w:pPr>
      <w:r>
        <w:rPr>
          <w:noProof/>
        </w:rPr>
        <w:t>Projektna skupina „Estrutura de missao Recuperar Portugal“, ki je osrednji usklajevalni organ za portugalski načrt za okrevanje in odpornost ter njegovo izvajanje, je skupaj z Agencijo za razvoj in kohezijo ter ministrstvom za finance odgovorna za splošno usklajevanje in spremljanje načrta. Deluje zlasti kot usklajevalni organ za spremljanje napredka pri mejnikih in ciljih, za spremljanje in po potrebi izvajanje kontrolnih in revizijskih dejavnosti ter za zagotavljanje poročanja in zahtevkov za plačila. Usklajuje poročanje o mejnikih in ciljih, ustreznih kazalnikih, pa tudi kvalitativnih finančnih informacijah in drugih podatkih, na primer o končnih prejemnikih. Kodiranje podatkov poteka v centraliziranem informacijskem sistemu.</w:t>
      </w:r>
    </w:p>
    <w:p w14:paraId="09971485" w14:textId="77777777" w:rsidR="00F24946" w:rsidRDefault="00613B06">
      <w:pPr>
        <w:pStyle w:val="P68B1DB1-Normal4"/>
        <w:keepNext/>
        <w:numPr>
          <w:ilvl w:val="0"/>
          <w:numId w:val="69"/>
        </w:numPr>
        <w:spacing w:before="120" w:after="120" w:line="240" w:lineRule="auto"/>
        <w:contextualSpacing/>
        <w:jc w:val="both"/>
        <w:rPr>
          <w:rFonts w:eastAsiaTheme="minorEastAsia" w:cs="Times New Roman"/>
          <w:noProof/>
        </w:rPr>
      </w:pPr>
      <w:r>
        <w:rPr>
          <w:noProof/>
        </w:rPr>
        <w:t xml:space="preserve">V skladu s členom 24(2) Uredbe (EU) 2021/241 Portugalska po izpolnitvi ustreznih dogovorjenih mejnikov in ciljev iz oddelka 2.1 te priloge Komisiji predloži ustrezno utemeljen zahtevek za plačilo finančnega prispevka in po potrebi posojila. Portugalska zagotovi, da ima Komisija na zahtevo popoln dostop do ustreznih osnovnih podatkov, ki podpirajo ustrezno utemeljitev zahtevka za plačilo, tako za oceno zahtevka za plačilo v skladu s členom 24(3) Uredbe (EU) 2021/241 kot za namene revizije in kontrole. </w:t>
      </w:r>
    </w:p>
    <w:p w14:paraId="03FAF694" w14:textId="77777777" w:rsidR="00F24946" w:rsidRDefault="00F24946">
      <w:pPr>
        <w:rPr>
          <w:noProof/>
        </w:rPr>
      </w:pPr>
    </w:p>
    <w:sectPr w:rsidR="00F24946">
      <w:headerReference w:type="even" r:id="rId392"/>
      <w:headerReference w:type="default" r:id="rId393"/>
      <w:footerReference w:type="even" r:id="rId394"/>
      <w:footerReference w:type="default" r:id="rId395"/>
      <w:headerReference w:type="first" r:id="rId396"/>
      <w:footerReference w:type="first" r:id="rId39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44E1" w14:textId="77777777" w:rsidR="00F24946" w:rsidRDefault="00613B06">
      <w:pPr>
        <w:spacing w:after="0" w:line="240" w:lineRule="auto"/>
      </w:pPr>
      <w:r>
        <w:separator/>
      </w:r>
    </w:p>
  </w:endnote>
  <w:endnote w:type="continuationSeparator" w:id="0">
    <w:p w14:paraId="301B6140" w14:textId="77777777" w:rsidR="00F24946" w:rsidRDefault="00613B06">
      <w:pPr>
        <w:spacing w:after="0" w:line="240" w:lineRule="auto"/>
      </w:pPr>
      <w:r>
        <w:continuationSeparator/>
      </w:r>
    </w:p>
  </w:endnote>
  <w:endnote w:type="continuationNotice" w:id="1">
    <w:p w14:paraId="21D47D22" w14:textId="77777777" w:rsidR="00F24946" w:rsidRDefault="00F24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Light">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félkövé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22EA" w14:textId="77777777" w:rsidR="00EF7D0E" w:rsidRPr="00EF7D0E" w:rsidRDefault="00EF7D0E" w:rsidP="00EF7D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8EFD" w14:textId="77777777" w:rsidR="00F201D8" w:rsidRDefault="00F201D8">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1D25" w14:textId="77777777" w:rsidR="00F24946" w:rsidRDefault="00F24946">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12415"/>
      <w:docPartObj>
        <w:docPartGallery w:val="Page Numbers (Bottom of Page)"/>
        <w:docPartUnique/>
      </w:docPartObj>
    </w:sdtPr>
    <w:sdtEndPr>
      <w:rPr>
        <w:noProof/>
      </w:rPr>
    </w:sdtEndPr>
    <w:sdtContent>
      <w:p w14:paraId="5C35590C" w14:textId="38FA2857"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AB594E4" w14:textId="77777777" w:rsidR="00F24946" w:rsidRDefault="00F24946">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387E" w14:textId="77777777" w:rsidR="00F24946" w:rsidRDefault="00F24946">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3C40" w14:textId="77777777" w:rsidR="00F24946" w:rsidRDefault="00F24946">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05438"/>
      <w:docPartObj>
        <w:docPartGallery w:val="Page Numbers (Bottom of Page)"/>
        <w:docPartUnique/>
      </w:docPartObj>
    </w:sdtPr>
    <w:sdtEndPr>
      <w:rPr>
        <w:noProof/>
      </w:rPr>
    </w:sdtEndPr>
    <w:sdtContent>
      <w:p w14:paraId="6CE76736" w14:textId="62189A6B"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E47A84D" w14:textId="77777777" w:rsidR="00F24946" w:rsidRDefault="00F24946">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A711" w14:textId="77777777" w:rsidR="00F24946" w:rsidRDefault="00F24946">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7546" w14:textId="77777777" w:rsidR="00F24946" w:rsidRDefault="00F24946">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537083"/>
      <w:docPartObj>
        <w:docPartGallery w:val="Page Numbers (Bottom of Page)"/>
        <w:docPartUnique/>
      </w:docPartObj>
    </w:sdtPr>
    <w:sdtEndPr>
      <w:rPr>
        <w:noProof/>
      </w:rPr>
    </w:sdtEndPr>
    <w:sdtContent>
      <w:p w14:paraId="400B67AA" w14:textId="0E52DA81"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9B88E92" w14:textId="77777777" w:rsidR="00F24946" w:rsidRDefault="00F24946">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66A6" w14:textId="77777777" w:rsidR="00F24946" w:rsidRDefault="00F24946">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032C" w14:textId="77777777" w:rsidR="00F24946" w:rsidRDefault="00F2494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420337"/>
      <w:docPartObj>
        <w:docPartGallery w:val="Page Numbers (Bottom of Page)"/>
        <w:docPartUnique/>
      </w:docPartObj>
    </w:sdtPr>
    <w:sdtEndPr>
      <w:rPr>
        <w:noProof/>
      </w:rPr>
    </w:sdtEndPr>
    <w:sdtContent>
      <w:p w14:paraId="7287B22A" w14:textId="466A014A" w:rsidR="00F201D8" w:rsidRDefault="00F201D8">
        <w:pPr>
          <w:pStyle w:val="Footer"/>
          <w:jc w:val="center"/>
        </w:pPr>
        <w:r>
          <w:fldChar w:fldCharType="begin"/>
        </w:r>
        <w:r>
          <w:instrText xml:space="preserve"> PAGE   \* MERGEFORMAT </w:instrText>
        </w:r>
        <w:r>
          <w:fldChar w:fldCharType="separate"/>
        </w:r>
        <w:r w:rsidR="00EF7D0E">
          <w:rPr>
            <w:noProof/>
          </w:rPr>
          <w:t>8</w:t>
        </w:r>
        <w:r>
          <w:fldChar w:fldCharType="end"/>
        </w:r>
      </w:p>
    </w:sdtContent>
  </w:sdt>
  <w:p w14:paraId="5ACAFAB4" w14:textId="77777777" w:rsidR="00F201D8" w:rsidRDefault="00F201D8">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41652"/>
      <w:docPartObj>
        <w:docPartGallery w:val="Page Numbers (Bottom of Page)"/>
        <w:docPartUnique/>
      </w:docPartObj>
    </w:sdtPr>
    <w:sdtEndPr>
      <w:rPr>
        <w:noProof/>
      </w:rPr>
    </w:sdtEndPr>
    <w:sdtContent>
      <w:p w14:paraId="64BE41A1" w14:textId="4418F72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CCA67FB" w14:textId="77777777" w:rsidR="00F24946" w:rsidRDefault="00F24946">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F1F5" w14:textId="77777777" w:rsidR="00F24946" w:rsidRDefault="00F24946">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C986" w14:textId="77777777" w:rsidR="00F24946" w:rsidRDefault="00F24946">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802795"/>
      <w:docPartObj>
        <w:docPartGallery w:val="Page Numbers (Bottom of Page)"/>
        <w:docPartUnique/>
      </w:docPartObj>
    </w:sdtPr>
    <w:sdtEndPr>
      <w:rPr>
        <w:noProof/>
      </w:rPr>
    </w:sdtEndPr>
    <w:sdtContent>
      <w:p w14:paraId="3F6CD9B0" w14:textId="2B432A40"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85FDF4B" w14:textId="77777777" w:rsidR="00F24946" w:rsidRDefault="00F24946">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3878" w14:textId="77777777" w:rsidR="00F24946" w:rsidRDefault="00F24946">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DCE7" w14:textId="77777777" w:rsidR="00F24946" w:rsidRDefault="00F24946">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881091"/>
      <w:docPartObj>
        <w:docPartGallery w:val="Page Numbers (Bottom of Page)"/>
        <w:docPartUnique/>
      </w:docPartObj>
    </w:sdtPr>
    <w:sdtEndPr>
      <w:rPr>
        <w:noProof/>
      </w:rPr>
    </w:sdtEndPr>
    <w:sdtContent>
      <w:p w14:paraId="75178E5C" w14:textId="7FB3180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8422C38" w14:textId="77777777" w:rsidR="00F24946" w:rsidRDefault="00F24946">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B6C7" w14:textId="77777777" w:rsidR="00F24946" w:rsidRDefault="00F24946">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ECB7" w14:textId="77777777" w:rsidR="00F24946" w:rsidRDefault="00F24946">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032258"/>
      <w:docPartObj>
        <w:docPartGallery w:val="Page Numbers (Bottom of Page)"/>
        <w:docPartUnique/>
      </w:docPartObj>
    </w:sdtPr>
    <w:sdtEndPr>
      <w:rPr>
        <w:noProof/>
      </w:rPr>
    </w:sdtEndPr>
    <w:sdtContent>
      <w:p w14:paraId="2727D672" w14:textId="46A3741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1BA5E86" w14:textId="77777777" w:rsidR="00F24946" w:rsidRDefault="00F24946">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F5BD" w14:textId="77777777" w:rsidR="00F201D8" w:rsidRDefault="00F201D8">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5423" w14:textId="77777777" w:rsidR="00F24946" w:rsidRDefault="00F24946">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2A79" w14:textId="77777777" w:rsidR="00F24946" w:rsidRDefault="00F24946">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92644"/>
      <w:docPartObj>
        <w:docPartGallery w:val="Page Numbers (Bottom of Page)"/>
        <w:docPartUnique/>
      </w:docPartObj>
    </w:sdtPr>
    <w:sdtEndPr>
      <w:rPr>
        <w:noProof/>
      </w:rPr>
    </w:sdtEndPr>
    <w:sdtContent>
      <w:p w14:paraId="1A732953" w14:textId="0EAA12D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F3FCFDE" w14:textId="77777777" w:rsidR="00F24946" w:rsidRDefault="00F24946">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EE08" w14:textId="77777777" w:rsidR="00F24946" w:rsidRDefault="00F24946">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D009" w14:textId="77777777" w:rsidR="00F24946" w:rsidRDefault="00F24946">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12636"/>
      <w:docPartObj>
        <w:docPartGallery w:val="Page Numbers (Bottom of Page)"/>
        <w:docPartUnique/>
      </w:docPartObj>
    </w:sdtPr>
    <w:sdtEndPr>
      <w:rPr>
        <w:noProof/>
      </w:rPr>
    </w:sdtEndPr>
    <w:sdtContent>
      <w:p w14:paraId="5F31BC2C" w14:textId="25CE31B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98CD17C" w14:textId="77777777" w:rsidR="00F24946" w:rsidRDefault="00F24946">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D655" w14:textId="77777777" w:rsidR="00F24946" w:rsidRDefault="00F24946">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FCCA" w14:textId="77777777" w:rsidR="00F24946" w:rsidRDefault="00F24946">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565869"/>
      <w:docPartObj>
        <w:docPartGallery w:val="Page Numbers (Bottom of Page)"/>
        <w:docPartUnique/>
      </w:docPartObj>
    </w:sdtPr>
    <w:sdtEndPr>
      <w:rPr>
        <w:noProof/>
      </w:rPr>
    </w:sdtEndPr>
    <w:sdtContent>
      <w:p w14:paraId="2A025F3F" w14:textId="7ED8BDBE"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4331C35" w14:textId="77777777" w:rsidR="00F24946" w:rsidRDefault="00F24946">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8598" w14:textId="77777777" w:rsidR="00F24946" w:rsidRDefault="00F2494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57A0" w14:textId="77777777" w:rsidR="00F24946" w:rsidRDefault="00F24946">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4A3A" w14:textId="77777777" w:rsidR="00F24946" w:rsidRDefault="00F24946">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66933"/>
      <w:docPartObj>
        <w:docPartGallery w:val="Page Numbers (Bottom of Page)"/>
        <w:docPartUnique/>
      </w:docPartObj>
    </w:sdtPr>
    <w:sdtEndPr>
      <w:rPr>
        <w:noProof/>
      </w:rPr>
    </w:sdtEndPr>
    <w:sdtContent>
      <w:p w14:paraId="6946F91E" w14:textId="65DB292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317CAD5" w14:textId="77777777" w:rsidR="00F24946" w:rsidRDefault="00F24946">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9999" w14:textId="77777777" w:rsidR="00F24946" w:rsidRDefault="00F24946">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FC7C" w14:textId="77777777" w:rsidR="00F24946" w:rsidRDefault="00F24946">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54876"/>
      <w:docPartObj>
        <w:docPartGallery w:val="Page Numbers (Bottom of Page)"/>
        <w:docPartUnique/>
      </w:docPartObj>
    </w:sdtPr>
    <w:sdtEndPr>
      <w:rPr>
        <w:noProof/>
      </w:rPr>
    </w:sdtEndPr>
    <w:sdtContent>
      <w:p w14:paraId="5182A1D9" w14:textId="3F40DCD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9915F40" w14:textId="77777777" w:rsidR="00F24946" w:rsidRDefault="00F24946">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047F" w14:textId="77777777" w:rsidR="00F24946" w:rsidRDefault="00F24946">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A06D" w14:textId="77777777" w:rsidR="00F24946" w:rsidRDefault="00F24946">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89003"/>
      <w:docPartObj>
        <w:docPartGallery w:val="Page Numbers (Bottom of Page)"/>
        <w:docPartUnique/>
      </w:docPartObj>
    </w:sdtPr>
    <w:sdtEndPr>
      <w:rPr>
        <w:noProof/>
      </w:rPr>
    </w:sdtEndPr>
    <w:sdtContent>
      <w:p w14:paraId="70C4F1F4" w14:textId="71FC3837"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5A4C2D26" w14:textId="77777777" w:rsidR="00F24946" w:rsidRDefault="00F24946">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1873" w14:textId="77777777" w:rsidR="00F24946" w:rsidRDefault="00F24946">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903F" w14:textId="77777777" w:rsidR="00F24946" w:rsidRDefault="00F2494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49075"/>
      <w:docPartObj>
        <w:docPartGallery w:val="Page Numbers (Bottom of Page)"/>
        <w:docPartUnique/>
      </w:docPartObj>
    </w:sdtPr>
    <w:sdtEndPr>
      <w:rPr>
        <w:noProof/>
      </w:rPr>
    </w:sdtEndPr>
    <w:sdtContent>
      <w:p w14:paraId="697ADC4C" w14:textId="2A649793" w:rsidR="00F24946" w:rsidRDefault="00613B06">
        <w:pPr>
          <w:pStyle w:val="Footer"/>
          <w:jc w:val="center"/>
        </w:pPr>
        <w:r>
          <w:fldChar w:fldCharType="begin"/>
        </w:r>
        <w:r>
          <w:instrText xml:space="preserve"> PAGE   \* MERGEFORMAT </w:instrText>
        </w:r>
        <w:r>
          <w:fldChar w:fldCharType="separate"/>
        </w:r>
        <w:r w:rsidR="004E2279">
          <w:rPr>
            <w:noProof/>
          </w:rPr>
          <w:t>19</w:t>
        </w:r>
        <w:r>
          <w:fldChar w:fldCharType="end"/>
        </w:r>
      </w:p>
    </w:sdtContent>
  </w:sdt>
  <w:p w14:paraId="2F25493B" w14:textId="77777777" w:rsidR="00F24946" w:rsidRDefault="00F24946">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59084"/>
      <w:docPartObj>
        <w:docPartGallery w:val="Page Numbers (Bottom of Page)"/>
        <w:docPartUnique/>
      </w:docPartObj>
    </w:sdtPr>
    <w:sdtEndPr>
      <w:rPr>
        <w:noProof/>
      </w:rPr>
    </w:sdtEndPr>
    <w:sdtContent>
      <w:p w14:paraId="09FF84C0" w14:textId="371DBF6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689A89B" w14:textId="77777777" w:rsidR="00F24946" w:rsidRDefault="00F24946">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F905" w14:textId="77777777" w:rsidR="00F24946" w:rsidRDefault="00F24946">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6487" w14:textId="77777777" w:rsidR="00F24946" w:rsidRDefault="00F24946">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668119"/>
      <w:docPartObj>
        <w:docPartGallery w:val="Page Numbers (Bottom of Page)"/>
        <w:docPartUnique/>
      </w:docPartObj>
    </w:sdtPr>
    <w:sdtEndPr>
      <w:rPr>
        <w:noProof/>
      </w:rPr>
    </w:sdtEndPr>
    <w:sdtContent>
      <w:p w14:paraId="197EF205" w14:textId="4FAF66C8"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51BFF986" w14:textId="77777777" w:rsidR="00F24946" w:rsidRDefault="00F24946">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C769" w14:textId="77777777" w:rsidR="00F24946" w:rsidRDefault="00F24946">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304A" w14:textId="77777777" w:rsidR="00F24946" w:rsidRDefault="00F24946">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42259"/>
      <w:docPartObj>
        <w:docPartGallery w:val="Page Numbers (Bottom of Page)"/>
        <w:docPartUnique/>
      </w:docPartObj>
    </w:sdtPr>
    <w:sdtEndPr>
      <w:rPr>
        <w:noProof/>
      </w:rPr>
    </w:sdtEndPr>
    <w:sdtContent>
      <w:p w14:paraId="6B70ED90" w14:textId="4C8D18B1"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05AB191" w14:textId="77777777" w:rsidR="00F24946" w:rsidRDefault="00F24946">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9200" w14:textId="77777777" w:rsidR="00F24946" w:rsidRDefault="00F24946">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C958" w14:textId="77777777" w:rsidR="00F24946" w:rsidRDefault="00F24946">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77877"/>
      <w:docPartObj>
        <w:docPartGallery w:val="Page Numbers (Bottom of Page)"/>
        <w:docPartUnique/>
      </w:docPartObj>
    </w:sdtPr>
    <w:sdtEndPr>
      <w:rPr>
        <w:noProof/>
      </w:rPr>
    </w:sdtEndPr>
    <w:sdtContent>
      <w:p w14:paraId="3EFC1F34" w14:textId="60F5F0D7"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170B67A" w14:textId="77777777" w:rsidR="00F24946" w:rsidRDefault="00F24946">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B398" w14:textId="77777777" w:rsidR="00F24946" w:rsidRDefault="00F24946">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82C2" w14:textId="77777777" w:rsidR="00F24946" w:rsidRDefault="00F24946">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BE4B" w14:textId="77777777" w:rsidR="00F24946" w:rsidRDefault="00F24946">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68927"/>
      <w:docPartObj>
        <w:docPartGallery w:val="Page Numbers (Bottom of Page)"/>
        <w:docPartUnique/>
      </w:docPartObj>
    </w:sdtPr>
    <w:sdtEndPr>
      <w:rPr>
        <w:noProof/>
      </w:rPr>
    </w:sdtEndPr>
    <w:sdtContent>
      <w:p w14:paraId="1B2ED277" w14:textId="35738820"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6B25FDC" w14:textId="77777777" w:rsidR="00F24946" w:rsidRDefault="00F24946">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671" w14:textId="77777777" w:rsidR="00F24946" w:rsidRDefault="00F24946">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973B" w14:textId="77777777" w:rsidR="00F24946" w:rsidRDefault="00F24946">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835111"/>
      <w:docPartObj>
        <w:docPartGallery w:val="Page Numbers (Bottom of Page)"/>
        <w:docPartUnique/>
      </w:docPartObj>
    </w:sdtPr>
    <w:sdtEndPr>
      <w:rPr>
        <w:noProof/>
      </w:rPr>
    </w:sdtEndPr>
    <w:sdtContent>
      <w:p w14:paraId="4CF811EF" w14:textId="78EE14FB"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1E2B198" w14:textId="77777777" w:rsidR="00F24946" w:rsidRDefault="00F24946">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7961" w14:textId="77777777" w:rsidR="00F24946" w:rsidRDefault="00F24946">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7371" w14:textId="77777777" w:rsidR="00F24946" w:rsidRDefault="00F24946">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91529"/>
      <w:docPartObj>
        <w:docPartGallery w:val="Page Numbers (Bottom of Page)"/>
        <w:docPartUnique/>
      </w:docPartObj>
    </w:sdtPr>
    <w:sdtEndPr>
      <w:rPr>
        <w:noProof/>
      </w:rPr>
    </w:sdtEndPr>
    <w:sdtContent>
      <w:p w14:paraId="126DF290" w14:textId="395CA58A"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D623DEB" w14:textId="77777777" w:rsidR="00F24946" w:rsidRDefault="00F24946">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51D7" w14:textId="77777777" w:rsidR="00F24946" w:rsidRDefault="00F2494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0C83" w14:textId="77777777" w:rsidR="00F24946" w:rsidRDefault="00F24946">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9E64" w14:textId="77777777" w:rsidR="00F24946" w:rsidRDefault="00F24946">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50509"/>
      <w:docPartObj>
        <w:docPartGallery w:val="Page Numbers (Bottom of Page)"/>
        <w:docPartUnique/>
      </w:docPartObj>
    </w:sdtPr>
    <w:sdtEndPr>
      <w:rPr>
        <w:noProof/>
      </w:rPr>
    </w:sdtEndPr>
    <w:sdtContent>
      <w:p w14:paraId="398E9E99" w14:textId="20945DC3"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1EBDB67F" w14:textId="77777777" w:rsidR="00F24946" w:rsidRDefault="00F24946">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2AB5" w14:textId="77777777" w:rsidR="00F24946" w:rsidRDefault="00F24946">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9CDF8" w14:textId="77777777" w:rsidR="00F24946" w:rsidRDefault="00F24946">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1365"/>
      <w:docPartObj>
        <w:docPartGallery w:val="Page Numbers (Bottom of Page)"/>
        <w:docPartUnique/>
      </w:docPartObj>
    </w:sdtPr>
    <w:sdtEndPr>
      <w:rPr>
        <w:noProof/>
      </w:rPr>
    </w:sdtEndPr>
    <w:sdtContent>
      <w:p w14:paraId="62055C4B" w14:textId="19453D9B"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DFBE96B" w14:textId="77777777" w:rsidR="00F24946" w:rsidRDefault="00F24946">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A32A" w14:textId="77777777" w:rsidR="00F24946" w:rsidRDefault="00F24946">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CC1" w14:textId="77777777" w:rsidR="00F24946" w:rsidRDefault="00F24946">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6313"/>
      <w:docPartObj>
        <w:docPartGallery w:val="Page Numbers (Bottom of Page)"/>
        <w:docPartUnique/>
      </w:docPartObj>
    </w:sdtPr>
    <w:sdtEndPr>
      <w:rPr>
        <w:noProof/>
      </w:rPr>
    </w:sdtEndPr>
    <w:sdtContent>
      <w:p w14:paraId="4B6FA002" w14:textId="6A34B5C3"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B1E739A" w14:textId="77777777" w:rsidR="00F24946" w:rsidRDefault="00F24946">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DC62" w14:textId="77777777" w:rsidR="00F24946" w:rsidRDefault="00F24946">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71EE" w14:textId="77777777" w:rsidR="00F24946" w:rsidRDefault="00F2494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44112"/>
      <w:docPartObj>
        <w:docPartGallery w:val="Page Numbers (Bottom of Page)"/>
        <w:docPartUnique/>
      </w:docPartObj>
    </w:sdtPr>
    <w:sdtEndPr>
      <w:rPr>
        <w:noProof/>
      </w:rPr>
    </w:sdtEndPr>
    <w:sdtContent>
      <w:p w14:paraId="12CB0D27" w14:textId="19EEC6A4" w:rsidR="00F24946" w:rsidRDefault="00613B06">
        <w:pPr>
          <w:pStyle w:val="Footer"/>
          <w:jc w:val="center"/>
        </w:pPr>
        <w:r>
          <w:fldChar w:fldCharType="begin"/>
        </w:r>
        <w:r>
          <w:instrText xml:space="preserve"> PAGE   \* MERGEFORMAT </w:instrText>
        </w:r>
        <w:r>
          <w:fldChar w:fldCharType="separate"/>
        </w:r>
        <w:r w:rsidR="004E2279">
          <w:rPr>
            <w:noProof/>
          </w:rPr>
          <w:t>21</w:t>
        </w:r>
        <w:r>
          <w:fldChar w:fldCharType="end"/>
        </w:r>
      </w:p>
    </w:sdtContent>
  </w:sdt>
  <w:p w14:paraId="0B5F64D9" w14:textId="77777777" w:rsidR="00F24946" w:rsidRDefault="00F24946">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06568"/>
      <w:docPartObj>
        <w:docPartGallery w:val="Page Numbers (Bottom of Page)"/>
        <w:docPartUnique/>
      </w:docPartObj>
    </w:sdtPr>
    <w:sdtEndPr>
      <w:rPr>
        <w:noProof/>
      </w:rPr>
    </w:sdtEndPr>
    <w:sdtContent>
      <w:p w14:paraId="28D3693D" w14:textId="75FD25FC"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12266354" w14:textId="77777777" w:rsidR="00F24946" w:rsidRDefault="00F24946">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6BB2" w14:textId="77777777" w:rsidR="00F24946" w:rsidRDefault="00F24946">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FECF" w14:textId="77777777" w:rsidR="00F24946" w:rsidRDefault="00F24946">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02"/>
      <w:docPartObj>
        <w:docPartGallery w:val="Page Numbers (Bottom of Page)"/>
        <w:docPartUnique/>
      </w:docPartObj>
    </w:sdtPr>
    <w:sdtEndPr>
      <w:rPr>
        <w:noProof/>
      </w:rPr>
    </w:sdtEndPr>
    <w:sdtContent>
      <w:p w14:paraId="53C379DD" w14:textId="6EC11630"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35C4841" w14:textId="77777777" w:rsidR="00F24946" w:rsidRDefault="00F24946">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D8EB" w14:textId="77777777" w:rsidR="00F24946" w:rsidRDefault="00F24946">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0043" w14:textId="77777777" w:rsidR="00F24946" w:rsidRDefault="00F24946">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754586"/>
      <w:docPartObj>
        <w:docPartGallery w:val="Page Numbers (Bottom of Page)"/>
        <w:docPartUnique/>
      </w:docPartObj>
    </w:sdtPr>
    <w:sdtEndPr>
      <w:rPr>
        <w:noProof/>
      </w:rPr>
    </w:sdtEndPr>
    <w:sdtContent>
      <w:p w14:paraId="7AEAA58B" w14:textId="18D29009"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4B82BCE" w14:textId="77777777" w:rsidR="00F24946" w:rsidRDefault="00F24946">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499E" w14:textId="77777777" w:rsidR="00F24946" w:rsidRDefault="00F24946">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D40B" w14:textId="77777777" w:rsidR="00F24946" w:rsidRDefault="00F24946">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24723"/>
      <w:docPartObj>
        <w:docPartGallery w:val="Page Numbers (Bottom of Page)"/>
        <w:docPartUnique/>
      </w:docPartObj>
    </w:sdtPr>
    <w:sdtEndPr>
      <w:rPr>
        <w:noProof/>
      </w:rPr>
    </w:sdtEndPr>
    <w:sdtContent>
      <w:p w14:paraId="01B45A81" w14:textId="7B94C4ED"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DD189E6" w14:textId="77777777" w:rsidR="00F24946" w:rsidRDefault="00F24946">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6430" w14:textId="77777777" w:rsidR="00F24946" w:rsidRDefault="00F24946">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73D8" w14:textId="77777777" w:rsidR="00F24946" w:rsidRDefault="00F24946">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68AC" w14:textId="77777777" w:rsidR="00F24946" w:rsidRDefault="00F24946">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8648"/>
      <w:docPartObj>
        <w:docPartGallery w:val="Page Numbers (Bottom of Page)"/>
        <w:docPartUnique/>
      </w:docPartObj>
    </w:sdtPr>
    <w:sdtEndPr>
      <w:rPr>
        <w:noProof/>
      </w:rPr>
    </w:sdtEndPr>
    <w:sdtContent>
      <w:p w14:paraId="13ED70D2" w14:textId="57D86C32"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2C7D1A9" w14:textId="77777777" w:rsidR="00F24946" w:rsidRDefault="00F24946">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3600" w14:textId="77777777" w:rsidR="00F24946" w:rsidRDefault="00F24946">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FED2" w14:textId="77777777" w:rsidR="00F24946" w:rsidRDefault="00F24946">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87532"/>
      <w:docPartObj>
        <w:docPartGallery w:val="Page Numbers (Bottom of Page)"/>
        <w:docPartUnique/>
      </w:docPartObj>
    </w:sdtPr>
    <w:sdtEndPr>
      <w:rPr>
        <w:noProof/>
      </w:rPr>
    </w:sdtEndPr>
    <w:sdtContent>
      <w:p w14:paraId="53677020" w14:textId="1DCBDA7B"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A3B62C6" w14:textId="77777777" w:rsidR="00F24946" w:rsidRDefault="00F24946">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8487" w14:textId="77777777" w:rsidR="00F24946" w:rsidRDefault="00F24946">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AF4" w14:textId="77777777" w:rsidR="00F24946" w:rsidRDefault="00F24946">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5917"/>
      <w:docPartObj>
        <w:docPartGallery w:val="Page Numbers (Bottom of Page)"/>
        <w:docPartUnique/>
      </w:docPartObj>
    </w:sdtPr>
    <w:sdtEndPr>
      <w:rPr>
        <w:noProof/>
      </w:rPr>
    </w:sdtEndPr>
    <w:sdtContent>
      <w:p w14:paraId="508043F1" w14:textId="6ABC6F4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BD69011" w14:textId="77777777" w:rsidR="00F24946" w:rsidRDefault="00F24946">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8B47" w14:textId="77777777" w:rsidR="00F24946" w:rsidRDefault="00F2494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5836" w14:textId="77777777" w:rsidR="00F201D8" w:rsidRDefault="00F201D8">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BBC0" w14:textId="77777777" w:rsidR="00F24946" w:rsidRDefault="00F24946">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4516"/>
      <w:docPartObj>
        <w:docPartGallery w:val="Page Numbers (Bottom of Page)"/>
        <w:docPartUnique/>
      </w:docPartObj>
    </w:sdtPr>
    <w:sdtEndPr>
      <w:rPr>
        <w:noProof/>
      </w:rPr>
    </w:sdtEndPr>
    <w:sdtContent>
      <w:p w14:paraId="4A7028B2" w14:textId="2C22FBB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3B5F61B" w14:textId="77777777" w:rsidR="00F24946" w:rsidRDefault="00F24946">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DA6B" w14:textId="77777777" w:rsidR="00F24946" w:rsidRDefault="00F24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F285" w14:textId="2FE32330" w:rsidR="00456017" w:rsidRPr="00EF7D0E" w:rsidRDefault="00EF7D0E" w:rsidP="00EF7D0E">
    <w:pPr>
      <w:pStyle w:val="FooterCoverPage"/>
      <w:rPr>
        <w:rFonts w:ascii="Arial" w:hAnsi="Arial" w:cs="Arial"/>
        <w:b/>
        <w:sz w:val="48"/>
      </w:rPr>
    </w:pPr>
    <w:r w:rsidRPr="00EF7D0E">
      <w:rPr>
        <w:rFonts w:ascii="Arial" w:hAnsi="Arial" w:cs="Arial"/>
        <w:b/>
        <w:sz w:val="48"/>
      </w:rPr>
      <w:t>SL</w:t>
    </w:r>
    <w:r w:rsidRPr="00EF7D0E">
      <w:rPr>
        <w:rFonts w:ascii="Arial" w:hAnsi="Arial" w:cs="Arial"/>
        <w:b/>
        <w:sz w:val="48"/>
      </w:rPr>
      <w:tab/>
    </w:r>
    <w:r w:rsidRPr="00EF7D0E">
      <w:rPr>
        <w:rFonts w:ascii="Arial" w:hAnsi="Arial" w:cs="Arial"/>
        <w:b/>
        <w:sz w:val="48"/>
      </w:rPr>
      <w:tab/>
    </w:r>
    <w:r w:rsidRPr="00EF7D0E">
      <w:tab/>
    </w:r>
    <w:r w:rsidRPr="00EF7D0E">
      <w:rPr>
        <w:rFonts w:ascii="Arial" w:hAnsi="Arial" w:cs="Arial"/>
        <w:b/>
        <w:sz w:val="48"/>
      </w:rPr>
      <w:t>SL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73077"/>
      <w:docPartObj>
        <w:docPartGallery w:val="Page Numbers (Bottom of Page)"/>
        <w:docPartUnique/>
      </w:docPartObj>
    </w:sdtPr>
    <w:sdtEndPr>
      <w:rPr>
        <w:noProof/>
      </w:rPr>
    </w:sdtEndPr>
    <w:sdtContent>
      <w:p w14:paraId="36EEC5F0" w14:textId="06770931" w:rsidR="00F201D8" w:rsidRDefault="00F201D8">
        <w:pPr>
          <w:pStyle w:val="Footer"/>
          <w:jc w:val="center"/>
        </w:pPr>
        <w:r>
          <w:fldChar w:fldCharType="begin"/>
        </w:r>
        <w:r>
          <w:instrText xml:space="preserve"> PAGE   \* MERGEFORMAT </w:instrText>
        </w:r>
        <w:r>
          <w:fldChar w:fldCharType="separate"/>
        </w:r>
        <w:r w:rsidR="004E2279">
          <w:rPr>
            <w:noProof/>
          </w:rPr>
          <w:t>22</w:t>
        </w:r>
        <w:r>
          <w:fldChar w:fldCharType="end"/>
        </w:r>
      </w:p>
    </w:sdtContent>
  </w:sdt>
  <w:p w14:paraId="012C5BBD" w14:textId="77777777" w:rsidR="00F201D8" w:rsidRDefault="00F201D8">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BB3E" w14:textId="77777777" w:rsidR="00F201D8" w:rsidRDefault="00F201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01BA" w14:textId="77777777" w:rsidR="00F24946" w:rsidRDefault="00F2494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30203"/>
      <w:docPartObj>
        <w:docPartGallery w:val="Page Numbers (Bottom of Page)"/>
        <w:docPartUnique/>
      </w:docPartObj>
    </w:sdtPr>
    <w:sdtEndPr>
      <w:rPr>
        <w:noProof/>
      </w:rPr>
    </w:sdtEndPr>
    <w:sdtContent>
      <w:p w14:paraId="2CED8AC6" w14:textId="64BA4F73" w:rsidR="00F24946" w:rsidRDefault="00613B06">
        <w:pPr>
          <w:pStyle w:val="Footer"/>
          <w:jc w:val="center"/>
        </w:pPr>
        <w:r>
          <w:fldChar w:fldCharType="begin"/>
        </w:r>
        <w:r>
          <w:instrText xml:space="preserve"> PAGE   \* MERGEFORMAT </w:instrText>
        </w:r>
        <w:r>
          <w:fldChar w:fldCharType="separate"/>
        </w:r>
        <w:r w:rsidR="004E2279">
          <w:rPr>
            <w:noProof/>
          </w:rPr>
          <w:t>26</w:t>
        </w:r>
        <w:r>
          <w:fldChar w:fldCharType="end"/>
        </w:r>
      </w:p>
    </w:sdtContent>
  </w:sdt>
  <w:p w14:paraId="75C9F863" w14:textId="77777777" w:rsidR="00F24946" w:rsidRDefault="00F24946">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2863" w14:textId="77777777" w:rsidR="00F24946" w:rsidRDefault="00F2494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E3D" w14:textId="77777777" w:rsidR="00F24946" w:rsidRDefault="00F2494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613"/>
      <w:docPartObj>
        <w:docPartGallery w:val="Page Numbers (Bottom of Page)"/>
        <w:docPartUnique/>
      </w:docPartObj>
    </w:sdtPr>
    <w:sdtEndPr>
      <w:rPr>
        <w:noProof/>
      </w:rPr>
    </w:sdtEndPr>
    <w:sdtContent>
      <w:p w14:paraId="05F0F492" w14:textId="1FFE498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741FD69" w14:textId="77777777" w:rsidR="00F24946" w:rsidRDefault="00F24946">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0E57" w14:textId="77777777" w:rsidR="00F24946" w:rsidRDefault="00F2494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600E" w14:textId="77777777" w:rsidR="00F24946" w:rsidRDefault="00F2494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7096"/>
      <w:docPartObj>
        <w:docPartGallery w:val="Page Numbers (Bottom of Page)"/>
        <w:docPartUnique/>
      </w:docPartObj>
    </w:sdtPr>
    <w:sdtEndPr>
      <w:rPr>
        <w:noProof/>
      </w:rPr>
    </w:sdtEndPr>
    <w:sdtContent>
      <w:p w14:paraId="2DEBA96A" w14:textId="4C15FA84"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EB36D5D" w14:textId="77777777" w:rsidR="00F24946" w:rsidRDefault="00F24946">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46C4" w14:textId="77777777" w:rsidR="00EF7D0E" w:rsidRPr="00EF7D0E" w:rsidRDefault="00EF7D0E" w:rsidP="00EF7D0E">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295D" w14:textId="77777777" w:rsidR="00F24946" w:rsidRDefault="00F2494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C1FE" w14:textId="77777777" w:rsidR="00F24946" w:rsidRDefault="00F2494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98929"/>
      <w:docPartObj>
        <w:docPartGallery w:val="Page Numbers (Bottom of Page)"/>
        <w:docPartUnique/>
      </w:docPartObj>
    </w:sdtPr>
    <w:sdtEndPr>
      <w:rPr>
        <w:noProof/>
      </w:rPr>
    </w:sdtEndPr>
    <w:sdtContent>
      <w:p w14:paraId="714D1441" w14:textId="7E54DB4C"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19E7858" w14:textId="77777777" w:rsidR="00F24946" w:rsidRDefault="00F24946">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A4F3" w14:textId="77777777" w:rsidR="00F24946" w:rsidRDefault="00F2494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9EF6" w14:textId="77777777" w:rsidR="00F24946" w:rsidRDefault="00F2494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99938"/>
      <w:docPartObj>
        <w:docPartGallery w:val="Page Numbers (Bottom of Page)"/>
        <w:docPartUnique/>
      </w:docPartObj>
    </w:sdtPr>
    <w:sdtEndPr>
      <w:rPr>
        <w:noProof/>
      </w:rPr>
    </w:sdtEndPr>
    <w:sdtContent>
      <w:p w14:paraId="345873AE" w14:textId="1218090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986C6F5" w14:textId="77777777" w:rsidR="00F24946" w:rsidRDefault="00F24946">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3DE8" w14:textId="77777777" w:rsidR="00F24946" w:rsidRDefault="00F2494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039" w14:textId="77777777" w:rsidR="00F24946" w:rsidRDefault="00F2494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7009"/>
      <w:docPartObj>
        <w:docPartGallery w:val="Page Numbers (Bottom of Page)"/>
        <w:docPartUnique/>
      </w:docPartObj>
    </w:sdtPr>
    <w:sdtEndPr>
      <w:rPr>
        <w:noProof/>
      </w:rPr>
    </w:sdtEndPr>
    <w:sdtContent>
      <w:p w14:paraId="65098364" w14:textId="728670F7"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643FB93" w14:textId="77777777" w:rsidR="00F24946" w:rsidRDefault="00F24946">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F6AF8" w14:textId="77777777" w:rsidR="00F24946" w:rsidRDefault="00F249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0DE0" w14:textId="77777777" w:rsidR="00F24946" w:rsidRDefault="00F2494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2116" w14:textId="77777777" w:rsidR="00F24946" w:rsidRDefault="00F2494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741893"/>
      <w:docPartObj>
        <w:docPartGallery w:val="Page Numbers (Bottom of Page)"/>
        <w:docPartUnique/>
      </w:docPartObj>
    </w:sdtPr>
    <w:sdtEndPr>
      <w:rPr>
        <w:noProof/>
      </w:rPr>
    </w:sdtEndPr>
    <w:sdtContent>
      <w:p w14:paraId="00966A19" w14:textId="69B60B7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F45C853" w14:textId="77777777" w:rsidR="00F24946" w:rsidRDefault="00F24946">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0EAA" w14:textId="77777777" w:rsidR="00F24946" w:rsidRDefault="00F2494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00FE" w14:textId="77777777" w:rsidR="00F24946" w:rsidRDefault="00F2494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36114"/>
      <w:docPartObj>
        <w:docPartGallery w:val="Page Numbers (Bottom of Page)"/>
        <w:docPartUnique/>
      </w:docPartObj>
    </w:sdtPr>
    <w:sdtEndPr>
      <w:rPr>
        <w:noProof/>
      </w:rPr>
    </w:sdtEndPr>
    <w:sdtContent>
      <w:p w14:paraId="25167880" w14:textId="0D504E9E"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B6037DF" w14:textId="77777777" w:rsidR="00F24946" w:rsidRDefault="00F24946">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1D7A" w14:textId="77777777" w:rsidR="00F24946" w:rsidRDefault="00F2494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43A7" w14:textId="77777777" w:rsidR="00F24946" w:rsidRDefault="00F2494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07974"/>
      <w:docPartObj>
        <w:docPartGallery w:val="Page Numbers (Bottom of Page)"/>
        <w:docPartUnique/>
      </w:docPartObj>
    </w:sdtPr>
    <w:sdtEndPr>
      <w:rPr>
        <w:noProof/>
      </w:rPr>
    </w:sdtEndPr>
    <w:sdtContent>
      <w:p w14:paraId="1811EA1C" w14:textId="44C20AC1"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1988643" w14:textId="77777777" w:rsidR="00F24946" w:rsidRDefault="00F24946">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4B48" w14:textId="77777777" w:rsidR="00F24946" w:rsidRDefault="00F2494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3585" w14:textId="77777777" w:rsidR="00F24946" w:rsidRDefault="00F249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46073"/>
      <w:docPartObj>
        <w:docPartGallery w:val="Page Numbers (Bottom of Page)"/>
        <w:docPartUnique/>
      </w:docPartObj>
    </w:sdtPr>
    <w:sdtEndPr>
      <w:rPr>
        <w:noProof/>
      </w:rPr>
    </w:sdtEndPr>
    <w:sdtContent>
      <w:p w14:paraId="2AA68066" w14:textId="5BE1B43A" w:rsidR="00F24946" w:rsidRDefault="00613B06">
        <w:pPr>
          <w:pStyle w:val="Footer"/>
          <w:jc w:val="center"/>
        </w:pPr>
        <w:r>
          <w:fldChar w:fldCharType="begin"/>
        </w:r>
        <w:r>
          <w:instrText xml:space="preserve"> PAGE   \* MERGEFORMAT </w:instrText>
        </w:r>
        <w:r>
          <w:fldChar w:fldCharType="separate"/>
        </w:r>
        <w:r w:rsidR="00EF7D0E">
          <w:rPr>
            <w:noProof/>
          </w:rPr>
          <w:t>1</w:t>
        </w:r>
        <w:r>
          <w:fldChar w:fldCharType="end"/>
        </w:r>
      </w:p>
    </w:sdtContent>
  </w:sdt>
  <w:p w14:paraId="0DEA6884" w14:textId="77777777" w:rsidR="00F24946" w:rsidRDefault="00F2494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01915"/>
      <w:docPartObj>
        <w:docPartGallery w:val="Page Numbers (Bottom of Page)"/>
        <w:docPartUnique/>
      </w:docPartObj>
    </w:sdtPr>
    <w:sdtEndPr>
      <w:rPr>
        <w:noProof/>
      </w:rPr>
    </w:sdtEndPr>
    <w:sdtContent>
      <w:p w14:paraId="7D3A79CE" w14:textId="724C2B6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8DB9891" w14:textId="77777777" w:rsidR="00F24946" w:rsidRDefault="00F24946">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A8D" w14:textId="77777777" w:rsidR="00F24946" w:rsidRDefault="00F2494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2201" w14:textId="77777777" w:rsidR="00F24946" w:rsidRDefault="00F2494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415558"/>
      <w:docPartObj>
        <w:docPartGallery w:val="Page Numbers (Bottom of Page)"/>
        <w:docPartUnique/>
      </w:docPartObj>
    </w:sdtPr>
    <w:sdtEndPr>
      <w:rPr>
        <w:noProof/>
      </w:rPr>
    </w:sdtEndPr>
    <w:sdtContent>
      <w:p w14:paraId="3C55196F" w14:textId="3F12762B"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08F913B" w14:textId="77777777" w:rsidR="00F24946" w:rsidRDefault="00F24946">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2109" w14:textId="77777777" w:rsidR="00F24946" w:rsidRDefault="00F2494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1565" w14:textId="77777777" w:rsidR="00F24946" w:rsidRDefault="00F2494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578241"/>
      <w:docPartObj>
        <w:docPartGallery w:val="Page Numbers (Bottom of Page)"/>
        <w:docPartUnique/>
      </w:docPartObj>
    </w:sdtPr>
    <w:sdtEndPr>
      <w:rPr>
        <w:noProof/>
      </w:rPr>
    </w:sdtEndPr>
    <w:sdtContent>
      <w:p w14:paraId="491E5022" w14:textId="0DA370AA"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11540942" w14:textId="77777777" w:rsidR="00F24946" w:rsidRDefault="00F24946">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2774" w14:textId="77777777" w:rsidR="00F24946" w:rsidRDefault="00F2494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3ED" w14:textId="77777777" w:rsidR="00F24946" w:rsidRDefault="00F2494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12463"/>
      <w:docPartObj>
        <w:docPartGallery w:val="Page Numbers (Bottom of Page)"/>
        <w:docPartUnique/>
      </w:docPartObj>
    </w:sdtPr>
    <w:sdtEndPr>
      <w:rPr>
        <w:noProof/>
      </w:rPr>
    </w:sdtEndPr>
    <w:sdtContent>
      <w:p w14:paraId="553A0A03" w14:textId="771841E8"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23CC830" w14:textId="77777777" w:rsidR="00F24946" w:rsidRDefault="00F24946">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863A" w14:textId="77777777" w:rsidR="00F24946" w:rsidRDefault="00F2494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3F60" w14:textId="77777777" w:rsidR="00F24946" w:rsidRDefault="00F2494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2836" w14:textId="77777777" w:rsidR="00F24946" w:rsidRDefault="00F2494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33270"/>
      <w:docPartObj>
        <w:docPartGallery w:val="Page Numbers (Bottom of Page)"/>
        <w:docPartUnique/>
      </w:docPartObj>
    </w:sdtPr>
    <w:sdtEndPr>
      <w:rPr>
        <w:noProof/>
      </w:rPr>
    </w:sdtEndPr>
    <w:sdtContent>
      <w:p w14:paraId="0F5CF51F" w14:textId="58203338"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135D1FF" w14:textId="77777777" w:rsidR="00F24946" w:rsidRDefault="00F24946">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5A9E" w14:textId="77777777" w:rsidR="00F24946" w:rsidRDefault="00F2494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CD2B" w14:textId="77777777" w:rsidR="00F24946" w:rsidRDefault="00F2494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83907"/>
      <w:docPartObj>
        <w:docPartGallery w:val="Page Numbers (Bottom of Page)"/>
        <w:docPartUnique/>
      </w:docPartObj>
    </w:sdtPr>
    <w:sdtEndPr>
      <w:rPr>
        <w:noProof/>
      </w:rPr>
    </w:sdtEndPr>
    <w:sdtContent>
      <w:p w14:paraId="1E7DE44E" w14:textId="71994768"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368A7015" w14:textId="77777777" w:rsidR="00F24946" w:rsidRDefault="00F24946">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2D1F" w14:textId="77777777" w:rsidR="00F24946" w:rsidRDefault="00F2494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DB6A" w14:textId="77777777" w:rsidR="00F24946" w:rsidRDefault="00F2494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4488"/>
      <w:docPartObj>
        <w:docPartGallery w:val="Page Numbers (Bottom of Page)"/>
        <w:docPartUnique/>
      </w:docPartObj>
    </w:sdtPr>
    <w:sdtEndPr>
      <w:rPr>
        <w:noProof/>
      </w:rPr>
    </w:sdtEndPr>
    <w:sdtContent>
      <w:p w14:paraId="26B90A8C" w14:textId="16A8AB0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2113364" w14:textId="77777777" w:rsidR="00F24946" w:rsidRDefault="00F24946">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D2FD" w14:textId="77777777" w:rsidR="00F24946" w:rsidRDefault="00F249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AC5B" w14:textId="77777777" w:rsidR="00F201D8" w:rsidRDefault="00F201D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96EC" w14:textId="77777777" w:rsidR="00F24946" w:rsidRDefault="00F2494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375543"/>
      <w:docPartObj>
        <w:docPartGallery w:val="Page Numbers (Bottom of Page)"/>
        <w:docPartUnique/>
      </w:docPartObj>
    </w:sdtPr>
    <w:sdtEndPr>
      <w:rPr>
        <w:noProof/>
      </w:rPr>
    </w:sdtEndPr>
    <w:sdtContent>
      <w:p w14:paraId="20D54BE6" w14:textId="27EB8F5F"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20347BDD" w14:textId="77777777" w:rsidR="00F24946" w:rsidRDefault="00F24946">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22CD" w14:textId="77777777" w:rsidR="00F24946" w:rsidRDefault="00F2494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697E" w14:textId="77777777" w:rsidR="00F24946" w:rsidRDefault="00F2494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2075"/>
      <w:docPartObj>
        <w:docPartGallery w:val="Page Numbers (Bottom of Page)"/>
        <w:docPartUnique/>
      </w:docPartObj>
    </w:sdtPr>
    <w:sdtEndPr>
      <w:rPr>
        <w:noProof/>
      </w:rPr>
    </w:sdtEndPr>
    <w:sdtContent>
      <w:p w14:paraId="27D12E9D" w14:textId="1F2E7166"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CA32D1F" w14:textId="77777777" w:rsidR="00F24946" w:rsidRDefault="00F24946">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6821" w14:textId="77777777" w:rsidR="00F24946" w:rsidRDefault="00F24946">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7E8F" w14:textId="77777777" w:rsidR="00F24946" w:rsidRDefault="00F24946">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046173"/>
      <w:docPartObj>
        <w:docPartGallery w:val="Page Numbers (Bottom of Page)"/>
        <w:docPartUnique/>
      </w:docPartObj>
    </w:sdtPr>
    <w:sdtEndPr>
      <w:rPr>
        <w:noProof/>
      </w:rPr>
    </w:sdtEndPr>
    <w:sdtContent>
      <w:p w14:paraId="7812839D" w14:textId="7C40077D"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00134FDC" w14:textId="77777777" w:rsidR="00F24946" w:rsidRDefault="00F24946">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D1FF" w14:textId="77777777" w:rsidR="00F24946" w:rsidRDefault="00F24946">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67FC" w14:textId="77777777" w:rsidR="00F24946" w:rsidRDefault="00F249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86991"/>
      <w:docPartObj>
        <w:docPartGallery w:val="Page Numbers (Bottom of Page)"/>
        <w:docPartUnique/>
      </w:docPartObj>
    </w:sdtPr>
    <w:sdtEndPr>
      <w:rPr>
        <w:noProof/>
      </w:rPr>
    </w:sdtEndPr>
    <w:sdtContent>
      <w:p w14:paraId="378C018B" w14:textId="4BAAC280" w:rsidR="00F201D8" w:rsidRDefault="00F201D8">
        <w:pPr>
          <w:pStyle w:val="Footer"/>
          <w:jc w:val="center"/>
        </w:pPr>
        <w:r>
          <w:fldChar w:fldCharType="begin"/>
        </w:r>
        <w:r>
          <w:instrText xml:space="preserve"> PAGE   \* MERGEFORMAT </w:instrText>
        </w:r>
        <w:r>
          <w:fldChar w:fldCharType="separate"/>
        </w:r>
        <w:r w:rsidR="00EF7D0E">
          <w:rPr>
            <w:noProof/>
          </w:rPr>
          <w:t>4</w:t>
        </w:r>
        <w:r>
          <w:fldChar w:fldCharType="end"/>
        </w:r>
      </w:p>
    </w:sdtContent>
  </w:sdt>
  <w:p w14:paraId="1124027F" w14:textId="77777777" w:rsidR="00F201D8" w:rsidRDefault="00F201D8">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50081"/>
      <w:docPartObj>
        <w:docPartGallery w:val="Page Numbers (Bottom of Page)"/>
        <w:docPartUnique/>
      </w:docPartObj>
    </w:sdtPr>
    <w:sdtEndPr>
      <w:rPr>
        <w:noProof/>
      </w:rPr>
    </w:sdtEndPr>
    <w:sdtContent>
      <w:p w14:paraId="171ABC93" w14:textId="08F260A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75AA0CD7" w14:textId="77777777" w:rsidR="00F24946" w:rsidRDefault="00F24946">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2D4F" w14:textId="77777777" w:rsidR="00F24946" w:rsidRDefault="00F24946">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F74F" w14:textId="77777777" w:rsidR="00F24946" w:rsidRDefault="00F24946">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17768"/>
      <w:docPartObj>
        <w:docPartGallery w:val="Page Numbers (Bottom of Page)"/>
        <w:docPartUnique/>
      </w:docPartObj>
    </w:sdtPr>
    <w:sdtEndPr>
      <w:rPr>
        <w:noProof/>
      </w:rPr>
    </w:sdtEndPr>
    <w:sdtContent>
      <w:p w14:paraId="5DEDEBC3" w14:textId="2065B74D"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57ED285" w14:textId="77777777" w:rsidR="00F24946" w:rsidRDefault="00F24946">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A91C" w14:textId="77777777" w:rsidR="00F24946" w:rsidRDefault="00F24946">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FFA4" w14:textId="77777777" w:rsidR="00F24946" w:rsidRDefault="00F24946">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580077"/>
      <w:docPartObj>
        <w:docPartGallery w:val="Page Numbers (Bottom of Page)"/>
        <w:docPartUnique/>
      </w:docPartObj>
    </w:sdtPr>
    <w:sdtEndPr>
      <w:rPr>
        <w:noProof/>
      </w:rPr>
    </w:sdtEndPr>
    <w:sdtContent>
      <w:p w14:paraId="38B617B1" w14:textId="29E47AAE"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40204AFC" w14:textId="77777777" w:rsidR="00F24946" w:rsidRDefault="00F24946">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680E" w14:textId="77777777" w:rsidR="00F24946" w:rsidRDefault="00F24946">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ED65" w14:textId="77777777" w:rsidR="00F24946" w:rsidRDefault="00F2494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825800"/>
      <w:docPartObj>
        <w:docPartGallery w:val="Page Numbers (Bottom of Page)"/>
        <w:docPartUnique/>
      </w:docPartObj>
    </w:sdtPr>
    <w:sdtEndPr>
      <w:rPr>
        <w:noProof/>
      </w:rPr>
    </w:sdtEndPr>
    <w:sdtContent>
      <w:p w14:paraId="16F8FF98" w14:textId="3E257F15" w:rsidR="00F24946" w:rsidRDefault="00613B06">
        <w:pPr>
          <w:pStyle w:val="Footer"/>
          <w:jc w:val="center"/>
        </w:pPr>
        <w:r>
          <w:fldChar w:fldCharType="begin"/>
        </w:r>
        <w:r>
          <w:instrText xml:space="preserve"> PAGE   \* MERGEFORMAT </w:instrText>
        </w:r>
        <w:r>
          <w:fldChar w:fldCharType="separate"/>
        </w:r>
        <w:r>
          <w:t>2</w:t>
        </w:r>
        <w:r>
          <w:fldChar w:fldCharType="end"/>
        </w:r>
      </w:p>
    </w:sdtContent>
  </w:sdt>
  <w:p w14:paraId="612C7217" w14:textId="77777777" w:rsidR="00F24946" w:rsidRDefault="00F24946">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4262" w14:textId="77777777" w:rsidR="00F201D8" w:rsidRDefault="00F201D8">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ABC1" w14:textId="77777777" w:rsidR="00F24946" w:rsidRDefault="00F2494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870D" w14:textId="77777777" w:rsidR="00F201D8" w:rsidRDefault="00F201D8">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02047"/>
      <w:docPartObj>
        <w:docPartGallery w:val="Page Numbers (Bottom of Page)"/>
        <w:docPartUnique/>
      </w:docPartObj>
    </w:sdtPr>
    <w:sdtEndPr>
      <w:rPr>
        <w:noProof/>
      </w:rPr>
    </w:sdtEndPr>
    <w:sdtContent>
      <w:p w14:paraId="45D5FB8A" w14:textId="77777777" w:rsidR="00F201D8" w:rsidRDefault="00F201D8">
        <w:pPr>
          <w:pStyle w:val="Footer"/>
          <w:jc w:val="center"/>
        </w:pPr>
        <w:r>
          <w:fldChar w:fldCharType="begin"/>
        </w:r>
        <w:r>
          <w:instrText xml:space="preserve"> PAGE   \* MERGEFORMAT </w:instrText>
        </w:r>
        <w:r>
          <w:fldChar w:fldCharType="separate"/>
        </w:r>
        <w:r>
          <w:t>2</w:t>
        </w:r>
        <w:r>
          <w:fldChar w:fldCharType="end"/>
        </w:r>
      </w:p>
    </w:sdtContent>
  </w:sdt>
  <w:p w14:paraId="3D1FB147" w14:textId="77777777" w:rsidR="00F201D8" w:rsidRDefault="00F201D8">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7FA4" w14:textId="77777777" w:rsidR="00F201D8" w:rsidRDefault="00F201D8">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7C46" w14:textId="77777777" w:rsidR="00F201D8" w:rsidRDefault="00F201D8">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75172"/>
      <w:docPartObj>
        <w:docPartGallery w:val="Page Numbers (Bottom of Page)"/>
        <w:docPartUnique/>
      </w:docPartObj>
    </w:sdtPr>
    <w:sdtEndPr>
      <w:rPr>
        <w:noProof/>
      </w:rPr>
    </w:sdtEndPr>
    <w:sdtContent>
      <w:p w14:paraId="49596C72" w14:textId="77777777" w:rsidR="00F201D8" w:rsidRDefault="00F201D8">
        <w:pPr>
          <w:pStyle w:val="Footer"/>
          <w:jc w:val="center"/>
        </w:pPr>
        <w:r>
          <w:fldChar w:fldCharType="begin"/>
        </w:r>
        <w:r>
          <w:instrText xml:space="preserve"> PAGE   \* MERGEFORMAT </w:instrText>
        </w:r>
        <w:r>
          <w:fldChar w:fldCharType="separate"/>
        </w:r>
        <w:r>
          <w:t>2</w:t>
        </w:r>
        <w:r>
          <w:fldChar w:fldCharType="end"/>
        </w:r>
      </w:p>
    </w:sdtContent>
  </w:sdt>
  <w:p w14:paraId="06A22B68" w14:textId="77777777" w:rsidR="00F201D8" w:rsidRDefault="00F201D8">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C626" w14:textId="77777777" w:rsidR="00F201D8" w:rsidRDefault="00F201D8">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65F7" w14:textId="77777777" w:rsidR="00F201D8" w:rsidRDefault="00F201D8">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373775"/>
      <w:docPartObj>
        <w:docPartGallery w:val="Page Numbers (Bottom of Page)"/>
        <w:docPartUnique/>
      </w:docPartObj>
    </w:sdtPr>
    <w:sdtEndPr>
      <w:rPr>
        <w:noProof/>
      </w:rPr>
    </w:sdtEndPr>
    <w:sdtContent>
      <w:p w14:paraId="5C3ABF9F" w14:textId="77777777" w:rsidR="00F201D8" w:rsidRDefault="00F201D8">
        <w:pPr>
          <w:pStyle w:val="Footer"/>
          <w:jc w:val="center"/>
        </w:pPr>
        <w:r>
          <w:fldChar w:fldCharType="begin"/>
        </w:r>
        <w:r>
          <w:instrText xml:space="preserve"> PAGE   \* MERGEFORMAT </w:instrText>
        </w:r>
        <w:r>
          <w:fldChar w:fldCharType="separate"/>
        </w:r>
        <w:r>
          <w:t>2</w:t>
        </w:r>
        <w:r>
          <w:fldChar w:fldCharType="end"/>
        </w:r>
      </w:p>
    </w:sdtContent>
  </w:sdt>
  <w:p w14:paraId="54D6250E" w14:textId="77777777" w:rsidR="00F201D8" w:rsidRDefault="00F201D8">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2AC6" w14:textId="77777777" w:rsidR="00F201D8" w:rsidRDefault="00F2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16DA" w14:textId="77777777" w:rsidR="00F24946" w:rsidRDefault="00613B06">
      <w:pPr>
        <w:spacing w:after="0" w:line="240" w:lineRule="auto"/>
      </w:pPr>
      <w:r>
        <w:separator/>
      </w:r>
    </w:p>
  </w:footnote>
  <w:footnote w:type="continuationSeparator" w:id="0">
    <w:p w14:paraId="731B09A1" w14:textId="77777777" w:rsidR="00F24946" w:rsidRDefault="00613B06">
      <w:pPr>
        <w:spacing w:after="0" w:line="240" w:lineRule="auto"/>
      </w:pPr>
      <w:r>
        <w:continuationSeparator/>
      </w:r>
    </w:p>
  </w:footnote>
  <w:footnote w:type="continuationNotice" w:id="1">
    <w:p w14:paraId="0371B506" w14:textId="77777777" w:rsidR="00F24946" w:rsidRDefault="00F24946">
      <w:pPr>
        <w:spacing w:after="0" w:line="240" w:lineRule="auto"/>
      </w:pPr>
    </w:p>
  </w:footnote>
  <w:footnote w:id="2">
    <w:p w14:paraId="4F724CD0" w14:textId="77777777" w:rsidR="00F24946" w:rsidRDefault="00613B06">
      <w:pPr>
        <w:pStyle w:val="FootnoteText"/>
        <w:ind w:left="709" w:hanging="709"/>
      </w:pPr>
      <w:r>
        <w:rPr>
          <w:rStyle w:val="FootnoteReference"/>
        </w:rPr>
        <w:footnoteRef/>
      </w:r>
      <w:r>
        <w:t xml:space="preserve"> </w:t>
      </w:r>
      <w:hyperlink r:id="rId1" w:history="1">
        <w:r>
          <w:rPr>
            <w:rStyle w:val="Hyperlink"/>
          </w:rPr>
          <w:t>https://www.un.org/development/desa/disabilities/convention-on-the-rights-of-persons-with-disabilities.html</w:t>
        </w:r>
      </w:hyperlink>
      <w:r>
        <w:t xml:space="preserve">.    </w:t>
      </w:r>
    </w:p>
  </w:footnote>
  <w:footnote w:id="3">
    <w:p w14:paraId="6EF9B016" w14:textId="77777777" w:rsidR="00F24946" w:rsidRDefault="00613B06">
      <w:pPr>
        <w:pStyle w:val="FootnoteText"/>
        <w:ind w:left="709" w:hanging="709"/>
      </w:pPr>
      <w:r>
        <w:rPr>
          <w:rStyle w:val="FootnoteReference"/>
        </w:rPr>
        <w:footnoteRef/>
      </w:r>
      <w:r>
        <w:t xml:space="preserve"> </w:t>
      </w:r>
      <w:hyperlink r:id="rId2" w:history="1">
        <w:r>
          <w:rPr>
            <w:rStyle w:val="Hyperlink"/>
          </w:rPr>
          <w:t>https://ec.europa.eu/social/main.jsp?catId=738&amp;langId=en&amp;pubId=8376&amp;furtherPubs=yes</w:t>
        </w:r>
      </w:hyperlink>
      <w:r>
        <w:t xml:space="preserve"> </w:t>
      </w:r>
    </w:p>
  </w:footnote>
  <w:footnote w:id="4">
    <w:p w14:paraId="7BE524BD" w14:textId="77777777" w:rsidR="00F24946" w:rsidRDefault="00613B06">
      <w:pPr>
        <w:pStyle w:val="FootnoteText"/>
        <w:ind w:left="709" w:hanging="709"/>
      </w:pPr>
      <w:r>
        <w:rPr>
          <w:rStyle w:val="FootnoteReference"/>
        </w:rPr>
        <w:footnoteRef/>
      </w:r>
      <w:r>
        <w:t xml:space="preserve"> </w:t>
      </w:r>
      <w:hyperlink r:id="rId3" w:history="1">
        <w:r>
          <w:rPr>
            <w:rStyle w:val="Hyperlink"/>
          </w:rPr>
          <w:t>https://ec.europa.eu/info/sites/default/files/1_en_act_part1_v8_0.pdf</w:t>
        </w:r>
      </w:hyperlink>
      <w:r>
        <w:t xml:space="preserve"> </w:t>
      </w:r>
    </w:p>
  </w:footnote>
  <w:footnote w:id="5">
    <w:p w14:paraId="20BF6478" w14:textId="77777777" w:rsidR="00F24946" w:rsidRDefault="00613B06">
      <w:pPr>
        <w:pStyle w:val="FootnoteText"/>
        <w:ind w:left="709" w:hanging="709"/>
      </w:pPr>
      <w:r>
        <w:rPr>
          <w:rStyle w:val="FootnoteReference"/>
        </w:rPr>
        <w:footnoteRef/>
      </w:r>
      <w:r>
        <w:t xml:space="preserve"> </w:t>
      </w:r>
      <w:hyperlink r:id="rId4" w:history="1">
        <w:r>
          <w:rPr>
            <w:rStyle w:val="Hyperlink"/>
          </w:rPr>
          <w:t>https://www.un.org/development/desa/disabilities/convention-on-the-rights-of-persons-with-disabilities.html</w:t>
        </w:r>
      </w:hyperlink>
      <w:r>
        <w:t xml:space="preserve">.    </w:t>
      </w:r>
    </w:p>
  </w:footnote>
  <w:footnote w:id="6">
    <w:p w14:paraId="697E022B" w14:textId="77777777" w:rsidR="00F24946" w:rsidRDefault="00613B06">
      <w:pPr>
        <w:pStyle w:val="FootnoteText"/>
        <w:ind w:left="709" w:hanging="709"/>
      </w:pPr>
      <w:r>
        <w:rPr>
          <w:rStyle w:val="FootnoteReference"/>
        </w:rPr>
        <w:footnoteRef/>
      </w:r>
      <w:r>
        <w:t xml:space="preserve"> </w:t>
      </w:r>
      <w:hyperlink r:id="rId5" w:history="1">
        <w:r>
          <w:rPr>
            <w:rStyle w:val="Hyperlink"/>
          </w:rPr>
          <w:t>https://ec.europa.eu/social/main.jsp?catId=738&amp;langId=en&amp;pubId=8376&amp;furtherPubs=yes</w:t>
        </w:r>
      </w:hyperlink>
      <w:r>
        <w:t xml:space="preserve"> </w:t>
      </w:r>
    </w:p>
  </w:footnote>
  <w:footnote w:id="7">
    <w:p w14:paraId="22261CC4" w14:textId="77777777" w:rsidR="00F24946" w:rsidRDefault="00613B06">
      <w:pPr>
        <w:pStyle w:val="FootnoteText"/>
        <w:ind w:left="709" w:hanging="709"/>
      </w:pPr>
      <w: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8">
    <w:p w14:paraId="2B2A4952" w14:textId="77777777" w:rsidR="00F24946" w:rsidRDefault="00613B06">
      <w:pPr>
        <w:pStyle w:val="FootnoteText"/>
        <w:ind w:left="709" w:hanging="709"/>
      </w:pPr>
      <w: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9">
    <w:p w14:paraId="104B9886" w14:textId="77777777" w:rsidR="00F24946" w:rsidRDefault="00613B06">
      <w:pPr>
        <w:pStyle w:val="FootnoteText"/>
        <w:ind w:left="709" w:hanging="709"/>
      </w:pPr>
      <w: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0">
    <w:p w14:paraId="3F26F5F7" w14:textId="77777777" w:rsidR="00F24946" w:rsidRDefault="00613B06">
      <w:pPr>
        <w:pStyle w:val="FootnoteText"/>
        <w:ind w:left="709" w:hanging="709"/>
      </w:pPr>
      <w: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1">
    <w:p w14:paraId="54B6E1CA" w14:textId="77777777" w:rsidR="00F24946" w:rsidRDefault="00613B06">
      <w:pPr>
        <w:pStyle w:val="FootnoteText"/>
        <w:ind w:left="709" w:hanging="709"/>
      </w:pPr>
      <w: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2">
    <w:p w14:paraId="0700F327" w14:textId="77777777" w:rsidR="00F24946" w:rsidRDefault="00613B06">
      <w:pPr>
        <w:pStyle w:val="FootnoteText"/>
        <w:ind w:left="709" w:hanging="709"/>
      </w:pPr>
      <w: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13">
    <w:p w14:paraId="4A7CE0CE" w14:textId="77777777" w:rsidR="00F24946" w:rsidRDefault="00613B06">
      <w:pPr>
        <w:pStyle w:val="FootnoteText"/>
        <w:ind w:left="709" w:hanging="709"/>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4">
    <w:p w14:paraId="33C91D2C" w14:textId="77777777" w:rsidR="00F24946" w:rsidRDefault="00613B06">
      <w:pPr>
        <w:pStyle w:val="FootnoteText"/>
        <w:ind w:left="709" w:hanging="709"/>
      </w:pPr>
      <w: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5">
    <w:p w14:paraId="4570EEC3"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6">
    <w:p w14:paraId="18847726"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17">
    <w:p w14:paraId="2CDBAB26" w14:textId="77777777" w:rsidR="00F24946" w:rsidRDefault="00613B06">
      <w:pPr>
        <w:spacing w:after="0" w:line="240" w:lineRule="auto"/>
        <w:ind w:left="709" w:hanging="709"/>
        <w:jc w:val="both"/>
        <w:rPr>
          <w:rFonts w:ascii="Times New Roman" w:eastAsiaTheme="minorEastAsia"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8">
    <w:p w14:paraId="02418914"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9">
    <w:p w14:paraId="2734878E"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20">
    <w:p w14:paraId="25410A69"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21">
    <w:p w14:paraId="4B3934FC" w14:textId="77777777" w:rsidR="00F24946" w:rsidRDefault="00613B06">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22">
    <w:p w14:paraId="6CB29564"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23">
    <w:p w14:paraId="1A1A021C"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24">
    <w:p w14:paraId="72CFAB7C"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25">
    <w:p w14:paraId="23F2A08C" w14:textId="77777777" w:rsidR="00F24946" w:rsidRDefault="00613B06">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26">
    <w:p w14:paraId="2E05CEF0"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27">
    <w:p w14:paraId="2FE089E1"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28">
    <w:p w14:paraId="54165B86"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29">
    <w:p w14:paraId="78C1F4E6" w14:textId="77777777" w:rsidR="00F24946" w:rsidRDefault="00613B06">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30">
    <w:p w14:paraId="43DD17DC"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31">
    <w:p w14:paraId="27354B64" w14:textId="77777777" w:rsidR="00F24946" w:rsidRDefault="00613B06">
      <w:pPr>
        <w:pStyle w:val="FootnoteText"/>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 </w:t>
      </w:r>
    </w:p>
  </w:footnote>
  <w:footnote w:id="32">
    <w:p w14:paraId="4299F52C" w14:textId="77777777" w:rsidR="00F24946" w:rsidRDefault="00613B06">
      <w:pPr>
        <w:pStyle w:val="FootnoteText"/>
      </w:pPr>
      <w:r>
        <w:rPr>
          <w:rStyle w:val="FootnoteReference"/>
        </w:rPr>
        <w:footnoteRef/>
      </w:r>
      <w:r>
        <w:t xml:space="preserve"> Kadar se s podporo dejavnosti dosežejo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 </w:t>
      </w:r>
    </w:p>
  </w:footnote>
  <w:footnote w:id="33">
    <w:p w14:paraId="275F7B84" w14:textId="77777777" w:rsidR="00F24946" w:rsidRDefault="00613B06">
      <w:pPr>
        <w:pStyle w:val="FootnoteText"/>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34">
    <w:p w14:paraId="15124B53" w14:textId="77777777" w:rsidR="00F24946" w:rsidRDefault="00613B06">
      <w:pPr>
        <w:pStyle w:val="FootnoteText"/>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35">
    <w:p w14:paraId="13E939F4" w14:textId="77777777" w:rsidR="00F24946" w:rsidRDefault="00613B06">
      <w:pPr>
        <w:pStyle w:val="FootnoteText"/>
        <w:spacing w:line="240" w:lineRule="auto"/>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36">
    <w:p w14:paraId="7560EFBF" w14:textId="77777777" w:rsidR="00F24946" w:rsidRDefault="00613B06">
      <w:pPr>
        <w:pStyle w:val="FootnoteText"/>
        <w:spacing w:line="240" w:lineRule="auto"/>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37">
    <w:p w14:paraId="22DA75BD" w14:textId="77777777" w:rsidR="00F24946" w:rsidRDefault="00613B06">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38">
    <w:p w14:paraId="31E3972C" w14:textId="77777777" w:rsidR="00F24946" w:rsidRDefault="00613B06">
      <w:pPr>
        <w:pStyle w:val="FootnoteText"/>
        <w:spacing w:line="240" w:lineRule="auto"/>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39">
    <w:p w14:paraId="032B3FB7" w14:textId="017008BD" w:rsidR="00F24946" w:rsidRDefault="00613B06">
      <w:pPr>
        <w:pStyle w:val="FootnoteText"/>
        <w:ind w:left="709" w:hanging="709"/>
      </w:pPr>
      <w:r>
        <w:rPr>
          <w:rStyle w:val="FootnoteReference"/>
        </w:rPr>
        <w:footnoteRef/>
      </w:r>
      <w:r>
        <w:t xml:space="preserve"> </w:t>
      </w:r>
      <w:r>
        <w:tab/>
        <w:t xml:space="preserve">Decreto Regulamentar št. 9-A/2017: </w:t>
      </w:r>
      <w:hyperlink r:id="rId6" w:history="1">
        <w:r>
          <w:rPr>
            <w:rStyle w:val="Hyperlink"/>
          </w:rPr>
          <w:t>https://dre.pt/application/conteudo/114152782</w:t>
        </w:r>
      </w:hyperlink>
      <w:r>
        <w:t xml:space="preserve">  </w:t>
      </w:r>
    </w:p>
  </w:footnote>
  <w:footnote w:id="40">
    <w:p w14:paraId="0D885102" w14:textId="77777777" w:rsidR="00F24946" w:rsidRDefault="00613B06">
      <w:pPr>
        <w:pStyle w:val="FootnoteText"/>
        <w:spacing w:line="240" w:lineRule="auto"/>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41">
    <w:p w14:paraId="41986EED" w14:textId="77777777" w:rsidR="00F24946" w:rsidRDefault="00613B06">
      <w:pPr>
        <w:pStyle w:val="FootnoteText"/>
        <w:spacing w:line="240" w:lineRule="auto"/>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42">
    <w:p w14:paraId="0FE45297" w14:textId="77777777" w:rsidR="00F24946" w:rsidRDefault="00613B06">
      <w:pPr>
        <w:pStyle w:val="FootnoteText"/>
        <w:spacing w:line="240" w:lineRule="auto"/>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43">
    <w:p w14:paraId="45413230" w14:textId="77777777" w:rsidR="00F24946" w:rsidRDefault="00613B06">
      <w:pPr>
        <w:pStyle w:val="FootnoteText"/>
        <w:spacing w:line="240" w:lineRule="auto"/>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44">
    <w:p w14:paraId="2D3802F5" w14:textId="77777777" w:rsidR="00F24946" w:rsidRDefault="00613B06">
      <w:pPr>
        <w:pStyle w:val="FootnoteText"/>
        <w:spacing w:line="240" w:lineRule="auto"/>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45">
    <w:p w14:paraId="58D642AD" w14:textId="77777777" w:rsidR="00F24946" w:rsidRDefault="00613B06">
      <w:pPr>
        <w:pStyle w:val="FootnoteText"/>
        <w:spacing w:line="240" w:lineRule="auto"/>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46">
    <w:p w14:paraId="2EC8D73E" w14:textId="77777777" w:rsidR="00F24946" w:rsidRDefault="00613B06">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47">
    <w:p w14:paraId="69F62AAE" w14:textId="77777777" w:rsidR="00F24946" w:rsidRDefault="00613B06">
      <w:pPr>
        <w:pStyle w:val="FootnoteText"/>
        <w:spacing w:line="240" w:lineRule="auto"/>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48">
    <w:p w14:paraId="23D04827" w14:textId="77777777" w:rsidR="00F24946" w:rsidRDefault="00613B06">
      <w:pPr>
        <w:pStyle w:val="FootnoteText"/>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49">
    <w:p w14:paraId="086CCC13" w14:textId="77777777" w:rsidR="00F24946" w:rsidRDefault="00613B06">
      <w:pPr>
        <w:pStyle w:val="FootnoteText"/>
        <w:spacing w:line="240" w:lineRule="auto"/>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50">
    <w:p w14:paraId="50DDA874" w14:textId="77777777" w:rsidR="00F24946" w:rsidRDefault="00613B06">
      <w:pPr>
        <w:spacing w:after="0" w:line="240" w:lineRule="auto"/>
        <w:ind w:left="709" w:hanging="709"/>
        <w:jc w:val="both"/>
        <w:rPr>
          <w:rFonts w:ascii="Times New Roman" w:hAnsi="Times New Roman" w:cs="Times New Roman"/>
        </w:rPr>
      </w:pPr>
      <w:r>
        <w:rPr>
          <w:rStyle w:val="FootnoteReference"/>
          <w:sz w:val="20"/>
        </w:rPr>
        <w:footnoteRef/>
      </w:r>
      <w:r>
        <w:rPr>
          <w:rFonts w:ascii="Times New Roman" w:hAnsi="Times New Roman"/>
          <w:sz w:val="20"/>
        </w:rPr>
        <w:t xml:space="preserve"> </w:t>
      </w:r>
      <w:r>
        <w:rPr>
          <w:rFonts w:ascii="Times New Roman" w:hAnsi="Times New Roman"/>
          <w:sz w:val="20"/>
        </w:rP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51">
    <w:p w14:paraId="629442C7" w14:textId="77777777" w:rsidR="00F24946" w:rsidRDefault="00613B06">
      <w:pPr>
        <w:pStyle w:val="FootnoteText"/>
        <w:spacing w:line="240" w:lineRule="auto"/>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52">
    <w:p w14:paraId="6CD2C7EC"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53">
    <w:p w14:paraId="6D4C9DB2"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54">
    <w:p w14:paraId="2F4AA456" w14:textId="77777777" w:rsidR="00F24946" w:rsidRDefault="00613B06">
      <w:pPr>
        <w:pStyle w:val="FootnoteText"/>
        <w:ind w:left="709" w:hanging="709"/>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55">
    <w:p w14:paraId="5D8F35A8"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56">
    <w:p w14:paraId="5A0A53A2"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57">
    <w:p w14:paraId="59375361"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58">
    <w:p w14:paraId="3A868ECC" w14:textId="77777777" w:rsidR="00F24946" w:rsidRDefault="00613B06">
      <w:pPr>
        <w:pStyle w:val="FootnoteText"/>
        <w:ind w:left="709" w:hanging="709"/>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59">
    <w:p w14:paraId="57210ACA"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60">
    <w:p w14:paraId="29A7C9B1" w14:textId="77777777" w:rsidR="00F24946" w:rsidRDefault="00613B06">
      <w:pPr>
        <w:pStyle w:val="FootnoteText"/>
        <w:ind w:left="709" w:hanging="709"/>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61">
    <w:p w14:paraId="24F14AC4" w14:textId="77777777" w:rsidR="00F24946" w:rsidRDefault="00613B06">
      <w:pPr>
        <w:pStyle w:val="FootnoteText"/>
        <w:ind w:left="709" w:hanging="709"/>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62">
    <w:p w14:paraId="57CE1546" w14:textId="77777777" w:rsidR="00F24946" w:rsidRDefault="00613B06">
      <w:pPr>
        <w:pStyle w:val="FootnoteText"/>
        <w:ind w:left="709" w:hanging="709"/>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63">
    <w:p w14:paraId="1812F0A1" w14:textId="77777777" w:rsidR="00F24946" w:rsidRDefault="00613B06">
      <w:pPr>
        <w:pStyle w:val="FootnoteText"/>
        <w:ind w:left="709" w:hanging="709"/>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64">
    <w:p w14:paraId="3705F09F" w14:textId="77777777" w:rsidR="00F24946" w:rsidRDefault="00613B06">
      <w:pPr>
        <w:pStyle w:val="FootnoteText"/>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65">
    <w:p w14:paraId="79ECCF36" w14:textId="77777777" w:rsidR="00F24946" w:rsidRDefault="00613B06">
      <w:pPr>
        <w:pStyle w:val="FootnoteText"/>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66">
    <w:p w14:paraId="0CD64774" w14:textId="77777777" w:rsidR="00F24946" w:rsidRDefault="00613B06">
      <w:pPr>
        <w:pStyle w:val="FootnoteText"/>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67">
    <w:p w14:paraId="137FD1EF" w14:textId="77777777" w:rsidR="00F24946" w:rsidRDefault="00613B06">
      <w:pPr>
        <w:pStyle w:val="FootnoteText"/>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68">
    <w:p w14:paraId="405D3F43" w14:textId="77777777" w:rsidR="00F24946" w:rsidRDefault="00613B06">
      <w:pPr>
        <w:pStyle w:val="FootnoteText"/>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69">
    <w:p w14:paraId="5450CE25" w14:textId="77777777" w:rsidR="00F24946" w:rsidRDefault="00613B06">
      <w:pPr>
        <w:pStyle w:val="FootnoteText"/>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70">
    <w:p w14:paraId="3B01555B" w14:textId="77777777" w:rsidR="00F24946" w:rsidRDefault="00613B06">
      <w:pPr>
        <w:pStyle w:val="FootnoteText"/>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71">
    <w:p w14:paraId="3D345DD3" w14:textId="77777777" w:rsidR="00F24946" w:rsidRDefault="00613B06">
      <w:pPr>
        <w:pStyle w:val="FootnoteText"/>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72">
    <w:p w14:paraId="1D00325C" w14:textId="77777777" w:rsidR="00F24946" w:rsidRDefault="00613B06">
      <w:pPr>
        <w:pStyle w:val="FootnoteText"/>
      </w:pPr>
      <w:r>
        <w:rPr>
          <w:rStyle w:val="FootnoteReference"/>
        </w:rPr>
        <w:footnoteRef/>
      </w:r>
      <w:r>
        <w:t xml:space="preserve"> </w:t>
      </w:r>
      <w:r>
        <w:tab/>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73">
    <w:p w14:paraId="2B98AA92" w14:textId="77777777" w:rsidR="00F24946" w:rsidRDefault="00613B06">
      <w:pPr>
        <w:pStyle w:val="FootnoteText"/>
      </w:pPr>
      <w:r>
        <w:rPr>
          <w:rStyle w:val="FootnoteReference"/>
        </w:rPr>
        <w:footnoteRef/>
      </w:r>
      <w:r>
        <w:t xml:space="preserve"> </w:t>
      </w:r>
      <w:r>
        <w:tab/>
        <w:t>Kadar dejavnost, ki prejema podporo, dosega predvidene emisije toplogrednih plinov, ki niso bistveno nižje od ustreznih referenčnih vrednosti, bi bilo treba pojasniti razloge, zakaj to ni mogoče. Referenčne vrednosti, določene za brezplačno dodelitev za dejavnosti, ki spadajo v področje uporabe sistema za trgovanje z emisijami, kot je določeno v Izvedbeni uredbi Komisije (EU) 2021/447.</w:t>
      </w:r>
    </w:p>
  </w:footnote>
  <w:footnote w:id="74">
    <w:p w14:paraId="1AD470E4" w14:textId="77777777" w:rsidR="00F24946" w:rsidRDefault="00613B06">
      <w:pPr>
        <w:pStyle w:val="FootnoteText"/>
      </w:pPr>
      <w:r>
        <w:rPr>
          <w:rStyle w:val="FootnoteReference"/>
        </w:rPr>
        <w:footnoteRef/>
      </w:r>
      <w:r>
        <w:t xml:space="preserve"> </w:t>
      </w:r>
      <w:r>
        <w:tab/>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75">
    <w:p w14:paraId="62FBAA1A" w14:textId="77777777" w:rsidR="00F24946" w:rsidRDefault="00613B06">
      <w:pPr>
        <w:pStyle w:val="FootnoteText"/>
      </w:pPr>
      <w:r>
        <w:rPr>
          <w:rStyle w:val="FootnoteReference"/>
        </w:rPr>
        <w:footnoteRef/>
      </w:r>
      <w:r>
        <w:t xml:space="preserve"> </w:t>
      </w:r>
      <w:r>
        <w:tab/>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76">
    <w:p w14:paraId="7ECA6AE2" w14:textId="77777777" w:rsidR="00F24946" w:rsidRDefault="00613B06">
      <w:pPr>
        <w:pStyle w:val="FootnoteText"/>
      </w:pPr>
      <w:r>
        <w:rPr>
          <w:rStyle w:val="FootnoteReference"/>
        </w:rPr>
        <w:footnoteRef/>
      </w:r>
      <w:r>
        <w:t xml:space="preserve"> Pojem davčne ugodnosti je opredeljen v členu 2 </w:t>
      </w:r>
      <w:r>
        <w:rPr>
          <w:i/>
        </w:rPr>
        <w:t xml:space="preserve">Estatuto dos Benefícios Fiscais (priloga </w:t>
      </w:r>
      <w:r>
        <w:t>k uredbi-zakonu št. 215/1989 z dne 1. julija). Davčni odhodki so opredeljeni kot proračunski vpliv davčnih ugodnosti.</w:t>
      </w:r>
    </w:p>
  </w:footnote>
  <w:footnote w:id="77">
    <w:p w14:paraId="29A60DEE" w14:textId="77777777" w:rsidR="00F24946" w:rsidRDefault="00613B06">
      <w:pPr>
        <w:pStyle w:val="FootnoteText"/>
        <w:ind w:left="709" w:hanging="709"/>
      </w:pPr>
      <w:r>
        <w:rPr>
          <w:rStyle w:val="FootnoteReference"/>
        </w:rPr>
        <w:footnoteRef/>
      </w:r>
      <w:r>
        <w:t xml:space="preserve"> </w:t>
      </w:r>
      <w:r>
        <w:tab/>
        <w:t>Prostori, ki so nameščeni tako, da vplivajo na senzorični sistem, za opozarjanje ali mirno</w:t>
      </w:r>
    </w:p>
  </w:footnote>
  <w:footnote w:id="78">
    <w:p w14:paraId="4E79D273" w14:textId="77777777" w:rsidR="00F24946" w:rsidRDefault="00613B06">
      <w:pPr>
        <w:pStyle w:val="FootnoteText"/>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 </w:t>
      </w:r>
    </w:p>
  </w:footnote>
  <w:footnote w:id="79">
    <w:p w14:paraId="328B7220" w14:textId="77777777" w:rsidR="00F24946" w:rsidRDefault="00613B06">
      <w:pPr>
        <w:pStyle w:val="FootnoteText"/>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80">
    <w:p w14:paraId="2AA60221" w14:textId="0051F9E1" w:rsidR="00F24946" w:rsidRDefault="00613B06">
      <w:pPr>
        <w:pStyle w:val="FootnoteText"/>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81">
    <w:p w14:paraId="4213660C" w14:textId="77777777" w:rsidR="00F24946" w:rsidRDefault="00613B06">
      <w:pPr>
        <w:pStyle w:val="FootnoteText"/>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82">
    <w:p w14:paraId="7D3EBBC3" w14:textId="63EBD02D" w:rsidR="00F24946" w:rsidRDefault="00613B06">
      <w:pPr>
        <w:pStyle w:val="FootnoteText"/>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40EE7" w14:textId="77777777" w:rsidR="00EF7D0E" w:rsidRPr="00EF7D0E" w:rsidRDefault="00EF7D0E" w:rsidP="00EF7D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6879" w14:textId="77777777" w:rsidR="00F201D8" w:rsidRDefault="00F201D8">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A1E" w14:textId="77777777" w:rsidR="00F24946" w:rsidRDefault="00F24946">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F3E1" w14:textId="77777777" w:rsidR="00F24946" w:rsidRDefault="00F24946">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4980" w14:textId="77777777" w:rsidR="00F24946" w:rsidRDefault="00F24946">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770D" w14:textId="77777777" w:rsidR="00F24946" w:rsidRDefault="00F24946">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5FE9" w14:textId="77777777" w:rsidR="00F24946" w:rsidRDefault="00F24946">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124B8" w14:textId="77777777" w:rsidR="00F24946" w:rsidRDefault="00F24946">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13E6" w14:textId="77777777" w:rsidR="00F24946" w:rsidRDefault="00F24946">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A8AC" w14:textId="77777777" w:rsidR="00F24946" w:rsidRDefault="00F24946">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232E" w14:textId="77777777" w:rsidR="00F24946" w:rsidRDefault="00F24946">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0F5A" w14:textId="77777777" w:rsidR="00F24946" w:rsidRDefault="00F249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4AD93" w14:textId="77777777" w:rsidR="00F201D8" w:rsidRDefault="00F201D8">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8A13" w14:textId="77777777" w:rsidR="00F24946" w:rsidRDefault="00F24946">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C2F1" w14:textId="77777777" w:rsidR="00F24946" w:rsidRDefault="00F24946">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DF1B" w14:textId="77777777" w:rsidR="00F24946" w:rsidRDefault="00F24946">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2C45" w14:textId="77777777" w:rsidR="00F24946" w:rsidRDefault="00F24946">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C8D" w14:textId="77777777" w:rsidR="00F24946" w:rsidRDefault="00F24946">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B982" w14:textId="77777777" w:rsidR="00F24946" w:rsidRDefault="00F24946">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9295" w14:textId="77777777" w:rsidR="00F24946" w:rsidRDefault="00F24946">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0039" w14:textId="77777777" w:rsidR="00F24946" w:rsidRDefault="00F24946">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ED21" w14:textId="77777777" w:rsidR="00F24946" w:rsidRDefault="00F24946">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7854" w14:textId="77777777" w:rsidR="00F24946" w:rsidRDefault="00F2494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716B" w14:textId="77777777" w:rsidR="00F201D8" w:rsidRDefault="00F201D8">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08FE" w14:textId="77777777" w:rsidR="00F24946" w:rsidRDefault="00F24946">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F815" w14:textId="77777777" w:rsidR="00F24946" w:rsidRDefault="00F24946">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4230" w14:textId="77777777" w:rsidR="00F24946" w:rsidRDefault="00F24946">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D6CB" w14:textId="77777777" w:rsidR="00F24946" w:rsidRDefault="00F24946">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4D6A" w14:textId="77777777" w:rsidR="00F24946" w:rsidRDefault="00F24946">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3F1B" w14:textId="77777777" w:rsidR="00F24946" w:rsidRDefault="00F24946">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9215" w14:textId="77777777" w:rsidR="00F24946" w:rsidRDefault="00F24946">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C4D0" w14:textId="77777777" w:rsidR="00F24946" w:rsidRDefault="00F24946">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DB31" w14:textId="77777777" w:rsidR="00F24946" w:rsidRDefault="00F24946">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D58F" w14:textId="77777777" w:rsidR="00F24946" w:rsidRDefault="00F2494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8DEE" w14:textId="77777777" w:rsidR="00F24946" w:rsidRDefault="00F24946">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862C" w14:textId="77777777" w:rsidR="00F24946" w:rsidRDefault="00F24946">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0E8A" w14:textId="77777777" w:rsidR="00F24946" w:rsidRDefault="00F24946">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0F1E" w14:textId="77777777" w:rsidR="00F24946" w:rsidRDefault="00F24946">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6E8" w14:textId="77777777" w:rsidR="00F24946" w:rsidRDefault="00F24946">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D6FE" w14:textId="77777777" w:rsidR="00F24946" w:rsidRDefault="00F24946">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F8BF" w14:textId="77777777" w:rsidR="00F24946" w:rsidRDefault="00F24946">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682" w14:textId="77777777" w:rsidR="00F24946" w:rsidRDefault="00F24946">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EF45" w14:textId="77777777" w:rsidR="00F24946" w:rsidRDefault="00F24946">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2283" w14:textId="77777777" w:rsidR="00F24946" w:rsidRDefault="00F24946">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AFD4" w14:textId="77777777" w:rsidR="00F24946" w:rsidRDefault="00F2494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F86B" w14:textId="77777777" w:rsidR="00F24946" w:rsidRDefault="00F24946">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8B30" w14:textId="77777777" w:rsidR="00F24946" w:rsidRDefault="00F24946">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F833" w14:textId="77777777" w:rsidR="00F24946" w:rsidRDefault="00F24946">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421B" w14:textId="77777777" w:rsidR="00F24946" w:rsidRDefault="00F24946">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132F" w14:textId="77777777" w:rsidR="00F24946" w:rsidRDefault="00F24946">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3FC9" w14:textId="77777777" w:rsidR="00F24946" w:rsidRDefault="00F24946">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AC6D" w14:textId="77777777" w:rsidR="00F24946" w:rsidRDefault="00F24946">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58A8" w14:textId="77777777" w:rsidR="00F24946" w:rsidRDefault="00F24946">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450E" w14:textId="77777777" w:rsidR="00F24946" w:rsidRDefault="00F24946">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DBE5" w14:textId="77777777" w:rsidR="00F24946" w:rsidRDefault="00F24946">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A42D" w14:textId="77777777" w:rsidR="00F24946" w:rsidRDefault="00F249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1AA0" w14:textId="77777777" w:rsidR="00F24946" w:rsidRDefault="00F24946">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B720" w14:textId="77777777" w:rsidR="00F24946" w:rsidRDefault="00F24946">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A31D" w14:textId="77777777" w:rsidR="00F24946" w:rsidRDefault="00F24946">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CB87" w14:textId="77777777" w:rsidR="00F24946" w:rsidRDefault="00F24946">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866D" w14:textId="77777777" w:rsidR="00F24946" w:rsidRDefault="00F24946">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70DF" w14:textId="77777777" w:rsidR="00F24946" w:rsidRDefault="00F24946">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B748" w14:textId="77777777" w:rsidR="00F24946" w:rsidRDefault="00F24946">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44AE" w14:textId="77777777" w:rsidR="00F24946" w:rsidRDefault="00F24946">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5A93" w14:textId="77777777" w:rsidR="00F24946" w:rsidRDefault="00F24946">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66726" w14:textId="77777777" w:rsidR="00F24946" w:rsidRDefault="00F24946">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B7DF" w14:textId="77777777" w:rsidR="00F24946" w:rsidRDefault="00F2494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CA62" w14:textId="77777777" w:rsidR="00F24946" w:rsidRDefault="00F24946">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57C" w14:textId="77777777" w:rsidR="00F24946" w:rsidRDefault="00F24946">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2D3D" w14:textId="77777777" w:rsidR="00F24946" w:rsidRDefault="00F24946">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A90E" w14:textId="77777777" w:rsidR="00F24946" w:rsidRDefault="00F24946">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D0B8" w14:textId="77777777" w:rsidR="00F24946" w:rsidRDefault="00F24946">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D044" w14:textId="77777777" w:rsidR="00F24946" w:rsidRDefault="00F24946">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8225" w14:textId="77777777" w:rsidR="00F24946" w:rsidRDefault="00F24946">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A6BA" w14:textId="77777777" w:rsidR="00F24946" w:rsidRDefault="00F24946">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298E" w14:textId="77777777" w:rsidR="00F24946" w:rsidRDefault="00F24946">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6781" w14:textId="77777777" w:rsidR="00F24946" w:rsidRDefault="00F24946">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5563" w14:textId="77777777" w:rsidR="00F24946" w:rsidRDefault="00F2494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D2EF" w14:textId="77777777" w:rsidR="00F24946" w:rsidRDefault="00F24946">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F637" w14:textId="77777777" w:rsidR="00F24946" w:rsidRDefault="00F24946">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250D" w14:textId="77777777" w:rsidR="00F24946" w:rsidRDefault="00F24946">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7438" w14:textId="77777777" w:rsidR="00F24946" w:rsidRDefault="00F24946">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B3CA" w14:textId="77777777" w:rsidR="00F24946" w:rsidRDefault="00F24946">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D82A" w14:textId="77777777" w:rsidR="00F24946" w:rsidRDefault="00F24946">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B922" w14:textId="77777777" w:rsidR="00F24946" w:rsidRDefault="00F24946">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1FE" w14:textId="77777777" w:rsidR="00F24946" w:rsidRDefault="00F24946">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2D1C" w14:textId="77777777" w:rsidR="00F24946" w:rsidRDefault="00F24946">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39A6" w14:textId="77777777" w:rsidR="00F24946" w:rsidRDefault="00F24946">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FEBF" w14:textId="77777777" w:rsidR="00F24946" w:rsidRDefault="00F2494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A26F" w14:textId="77777777" w:rsidR="00F24946" w:rsidRDefault="00F24946">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7B59" w14:textId="77777777" w:rsidR="00F24946" w:rsidRDefault="00F24946">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728E" w14:textId="77777777" w:rsidR="00F24946" w:rsidRDefault="00F24946">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0B2F" w14:textId="77777777" w:rsidR="00F24946" w:rsidRDefault="00F24946">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09A8" w14:textId="77777777" w:rsidR="00F24946" w:rsidRDefault="00F24946">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07A1" w14:textId="77777777" w:rsidR="00F24946" w:rsidRDefault="00F24946">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ECA3" w14:textId="77777777" w:rsidR="00F24946" w:rsidRDefault="00F24946">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DB52" w14:textId="77777777" w:rsidR="00F24946" w:rsidRDefault="00F24946">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05A9" w14:textId="77777777" w:rsidR="00F24946" w:rsidRDefault="00F24946">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2904" w14:textId="77777777" w:rsidR="00F24946" w:rsidRDefault="00F24946">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033E" w14:textId="77777777" w:rsidR="00F24946" w:rsidRDefault="00F2494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B11B" w14:textId="77777777" w:rsidR="00F201D8" w:rsidRDefault="00F201D8">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54BC" w14:textId="77777777" w:rsidR="00F24946" w:rsidRDefault="00F24946">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19F9" w14:textId="77777777" w:rsidR="00F24946" w:rsidRDefault="00F24946">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3F7" w14:textId="77777777" w:rsidR="00F24946" w:rsidRDefault="00F24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F8C4" w14:textId="77777777" w:rsidR="00EF7D0E" w:rsidRPr="00EF7D0E" w:rsidRDefault="00EF7D0E" w:rsidP="00EF7D0E">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EE3D" w14:textId="77777777" w:rsidR="00F201D8" w:rsidRDefault="00F201D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5AE7C" w14:textId="77777777" w:rsidR="00F201D8" w:rsidRDefault="00F201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DDDB" w14:textId="77777777" w:rsidR="00F24946" w:rsidRDefault="00F2494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94777" w14:textId="77777777" w:rsidR="00F24946" w:rsidRDefault="00F2494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36C8" w14:textId="77777777" w:rsidR="00F24946" w:rsidRDefault="00F2494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7C6F" w14:textId="77777777" w:rsidR="00F24946" w:rsidRDefault="00F2494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3D9F" w14:textId="77777777" w:rsidR="00F24946" w:rsidRDefault="00F2494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0942" w14:textId="77777777" w:rsidR="00F24946" w:rsidRDefault="00F2494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F32A" w14:textId="77777777" w:rsidR="00F24946" w:rsidRDefault="00F2494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A12F" w14:textId="77777777" w:rsidR="00F24946" w:rsidRDefault="00F24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2DBE" w14:textId="77777777" w:rsidR="00EF7D0E" w:rsidRPr="00EF7D0E" w:rsidRDefault="00EF7D0E" w:rsidP="00EF7D0E">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2F4" w14:textId="77777777" w:rsidR="00F24946" w:rsidRDefault="00F2494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224F" w14:textId="77777777" w:rsidR="00F24946" w:rsidRDefault="00F2494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77E7" w14:textId="77777777" w:rsidR="00F24946" w:rsidRDefault="00F2494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9350" w14:textId="77777777" w:rsidR="00F24946" w:rsidRDefault="00F2494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D4E8" w14:textId="77777777" w:rsidR="00F24946" w:rsidRDefault="00F2494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8F10" w14:textId="77777777" w:rsidR="00F24946" w:rsidRDefault="00F2494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DB30" w14:textId="77777777" w:rsidR="00F24946" w:rsidRDefault="00F2494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93A6" w14:textId="77777777" w:rsidR="00F24946" w:rsidRDefault="00F2494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F74" w14:textId="77777777" w:rsidR="00F24946" w:rsidRDefault="00F2494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F793" w14:textId="77777777" w:rsidR="00F24946" w:rsidRDefault="00F24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4584" w14:textId="77777777" w:rsidR="00F24946" w:rsidRDefault="00F2494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B4EF" w14:textId="77777777" w:rsidR="00F24946" w:rsidRDefault="00F2494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D9AC" w14:textId="77777777" w:rsidR="00F24946" w:rsidRDefault="00F2494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D491" w14:textId="77777777" w:rsidR="00F24946" w:rsidRDefault="00F2494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7821" w14:textId="77777777" w:rsidR="00F24946" w:rsidRDefault="00F2494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EAE9" w14:textId="77777777" w:rsidR="00F24946" w:rsidRDefault="00F2494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A868" w14:textId="77777777" w:rsidR="00F24946" w:rsidRDefault="00F2494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D584" w14:textId="77777777" w:rsidR="00F24946" w:rsidRDefault="00F2494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F77A" w14:textId="77777777" w:rsidR="00F24946" w:rsidRDefault="00F2494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AC8F" w14:textId="77777777" w:rsidR="00F24946" w:rsidRDefault="00F2494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29F0" w14:textId="77777777" w:rsidR="00F24946" w:rsidRDefault="00F249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A92B" w14:textId="77777777" w:rsidR="00F24946" w:rsidRDefault="00F2494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42A0" w14:textId="77777777" w:rsidR="00F24946" w:rsidRDefault="00F2494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0269" w14:textId="77777777" w:rsidR="00F24946" w:rsidRDefault="00F2494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1B2" w14:textId="77777777" w:rsidR="00F24946" w:rsidRDefault="00F2494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79D1" w14:textId="77777777" w:rsidR="00F24946" w:rsidRDefault="00F2494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858B" w14:textId="77777777" w:rsidR="00F24946" w:rsidRDefault="00F2494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A12D" w14:textId="77777777" w:rsidR="00F24946" w:rsidRDefault="00F2494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0596" w14:textId="77777777" w:rsidR="00F24946" w:rsidRDefault="00F2494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B726" w14:textId="77777777" w:rsidR="00F24946" w:rsidRDefault="00F2494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07AE" w14:textId="77777777" w:rsidR="00F24946" w:rsidRDefault="00F2494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4CE1" w14:textId="77777777" w:rsidR="00F24946" w:rsidRDefault="00F249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762D" w14:textId="77777777" w:rsidR="00F24946" w:rsidRDefault="00F2494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A0CB" w14:textId="77777777" w:rsidR="00F24946" w:rsidRDefault="00F2494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58FF" w14:textId="77777777" w:rsidR="00F24946" w:rsidRDefault="00F2494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A092" w14:textId="77777777" w:rsidR="00F24946" w:rsidRDefault="00F2494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847C" w14:textId="77777777" w:rsidR="00F24946" w:rsidRDefault="00F2494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D52B" w14:textId="77777777" w:rsidR="00F24946" w:rsidRDefault="00F2494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05E5" w14:textId="77777777" w:rsidR="00F24946" w:rsidRDefault="00F2494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32A9" w14:textId="77777777" w:rsidR="00F24946" w:rsidRDefault="00F2494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465A" w14:textId="77777777" w:rsidR="00F24946" w:rsidRDefault="00F2494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D111" w14:textId="77777777" w:rsidR="00F24946" w:rsidRDefault="00F2494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D576" w14:textId="77777777" w:rsidR="00F24946" w:rsidRDefault="00F249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19B5" w14:textId="77777777" w:rsidR="00F201D8" w:rsidRDefault="00F201D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C6C1" w14:textId="77777777" w:rsidR="00F24946" w:rsidRDefault="00F2494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175B" w14:textId="77777777" w:rsidR="00F24946" w:rsidRDefault="00F2494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AED7" w14:textId="77777777" w:rsidR="00F24946" w:rsidRDefault="00F2494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63C7" w14:textId="77777777" w:rsidR="00F24946" w:rsidRDefault="00F2494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838B" w14:textId="77777777" w:rsidR="00F24946" w:rsidRDefault="00F2494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3AB4" w14:textId="77777777" w:rsidR="00F24946" w:rsidRDefault="00F2494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C8A8" w14:textId="77777777" w:rsidR="00F24946" w:rsidRDefault="00F2494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F6C0" w14:textId="77777777" w:rsidR="00F24946" w:rsidRDefault="00F2494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2196" w14:textId="77777777" w:rsidR="00F24946" w:rsidRDefault="00F2494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D0D7" w14:textId="77777777" w:rsidR="00F24946" w:rsidRDefault="00F249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1F7B" w14:textId="77777777" w:rsidR="00F201D8" w:rsidRDefault="00F201D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D4CB" w14:textId="77777777" w:rsidR="00F24946" w:rsidRDefault="00F2494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DDB9" w14:textId="77777777" w:rsidR="00F24946" w:rsidRDefault="00F2494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1991" w14:textId="77777777" w:rsidR="00F24946" w:rsidRDefault="00F2494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4B4D" w14:textId="77777777" w:rsidR="00F24946" w:rsidRDefault="00F2494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2570" w14:textId="77777777" w:rsidR="00F24946" w:rsidRDefault="00F2494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3226" w14:textId="77777777" w:rsidR="00F24946" w:rsidRDefault="00F2494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3C44" w14:textId="77777777" w:rsidR="00F24946" w:rsidRDefault="00F24946">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BA2" w14:textId="77777777" w:rsidR="00F24946" w:rsidRDefault="00F24946">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9537" w14:textId="77777777" w:rsidR="00F24946" w:rsidRDefault="00F24946">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3420" w14:textId="77777777" w:rsidR="00F24946" w:rsidRDefault="00F249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AF54" w14:textId="77777777" w:rsidR="00F201D8" w:rsidRDefault="00F201D8">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EA38" w14:textId="77777777" w:rsidR="00F24946" w:rsidRDefault="00F24946">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B960" w14:textId="77777777" w:rsidR="00F201D8" w:rsidRDefault="00F201D8">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0AED1" w14:textId="77777777" w:rsidR="00F201D8" w:rsidRDefault="00F201D8">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5515" w14:textId="77777777" w:rsidR="00F201D8" w:rsidRDefault="00F201D8">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E6E8" w14:textId="77777777" w:rsidR="00F201D8" w:rsidRDefault="00F201D8">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0D021" w14:textId="77777777" w:rsidR="00F201D8" w:rsidRDefault="00F201D8">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2AD2" w14:textId="77777777" w:rsidR="00F201D8" w:rsidRDefault="00F201D8">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E079" w14:textId="77777777" w:rsidR="00F201D8" w:rsidRDefault="00F201D8">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A45D" w14:textId="77777777" w:rsidR="00F201D8" w:rsidRDefault="00F201D8">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91E7" w14:textId="77777777" w:rsidR="00F201D8" w:rsidRDefault="00F20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2091B"/>
    <w:multiLevelType w:val="hybridMultilevel"/>
    <w:tmpl w:val="0BDC60C2"/>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9868A0"/>
    <w:multiLevelType w:val="hybridMultilevel"/>
    <w:tmpl w:val="32C2A90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EC3743"/>
    <w:multiLevelType w:val="hybridMultilevel"/>
    <w:tmpl w:val="1E7E21BE"/>
    <w:lvl w:ilvl="0" w:tplc="F9B098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D3768"/>
    <w:multiLevelType w:val="hybridMultilevel"/>
    <w:tmpl w:val="FFFFFFFF"/>
    <w:lvl w:ilvl="0" w:tplc="DDF0C67C">
      <w:start w:val="8"/>
      <w:numFmt w:val="decimal"/>
      <w:lvlText w:val="%1."/>
      <w:lvlJc w:val="left"/>
      <w:pPr>
        <w:ind w:left="720" w:hanging="360"/>
      </w:pPr>
      <w:rPr>
        <w:rFonts w:ascii="Calibri" w:hAnsi="Calibri" w:hint="default"/>
      </w:rPr>
    </w:lvl>
    <w:lvl w:ilvl="1" w:tplc="38E8673E">
      <w:start w:val="1"/>
      <w:numFmt w:val="lowerLetter"/>
      <w:lvlText w:val="%2."/>
      <w:lvlJc w:val="left"/>
      <w:pPr>
        <w:ind w:left="1440" w:hanging="360"/>
      </w:pPr>
    </w:lvl>
    <w:lvl w:ilvl="2" w:tplc="33E8910E">
      <w:start w:val="1"/>
      <w:numFmt w:val="lowerRoman"/>
      <w:lvlText w:val="%3."/>
      <w:lvlJc w:val="right"/>
      <w:pPr>
        <w:ind w:left="2160" w:hanging="180"/>
      </w:pPr>
    </w:lvl>
    <w:lvl w:ilvl="3" w:tplc="50B22B8C">
      <w:start w:val="1"/>
      <w:numFmt w:val="decimal"/>
      <w:lvlText w:val="%4."/>
      <w:lvlJc w:val="left"/>
      <w:pPr>
        <w:ind w:left="2880" w:hanging="360"/>
      </w:pPr>
    </w:lvl>
    <w:lvl w:ilvl="4" w:tplc="090C8E02">
      <w:start w:val="1"/>
      <w:numFmt w:val="lowerLetter"/>
      <w:lvlText w:val="%5."/>
      <w:lvlJc w:val="left"/>
      <w:pPr>
        <w:ind w:left="3600" w:hanging="360"/>
      </w:pPr>
    </w:lvl>
    <w:lvl w:ilvl="5" w:tplc="8660A99C">
      <w:start w:val="1"/>
      <w:numFmt w:val="lowerRoman"/>
      <w:lvlText w:val="%6."/>
      <w:lvlJc w:val="right"/>
      <w:pPr>
        <w:ind w:left="4320" w:hanging="180"/>
      </w:pPr>
    </w:lvl>
    <w:lvl w:ilvl="6" w:tplc="6DE691CE">
      <w:start w:val="1"/>
      <w:numFmt w:val="decimal"/>
      <w:lvlText w:val="%7."/>
      <w:lvlJc w:val="left"/>
      <w:pPr>
        <w:ind w:left="5040" w:hanging="360"/>
      </w:pPr>
    </w:lvl>
    <w:lvl w:ilvl="7" w:tplc="282EBCCE">
      <w:start w:val="1"/>
      <w:numFmt w:val="lowerLetter"/>
      <w:lvlText w:val="%8."/>
      <w:lvlJc w:val="left"/>
      <w:pPr>
        <w:ind w:left="5760" w:hanging="360"/>
      </w:pPr>
    </w:lvl>
    <w:lvl w:ilvl="8" w:tplc="CE7018EC">
      <w:start w:val="1"/>
      <w:numFmt w:val="lowerRoman"/>
      <w:lvlText w:val="%9."/>
      <w:lvlJc w:val="right"/>
      <w:pPr>
        <w:ind w:left="6480" w:hanging="180"/>
      </w:pPr>
    </w:lvl>
  </w:abstractNum>
  <w:abstractNum w:abstractNumId="8" w15:restartNumberingAfterBreak="0">
    <w:nsid w:val="0507090B"/>
    <w:multiLevelType w:val="hybridMultilevel"/>
    <w:tmpl w:val="22E61F54"/>
    <w:lvl w:ilvl="0" w:tplc="FFFFFFFF">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Yu Mincho Light" w:hAnsi="Yu Mincho Light" w:cs="Yu Mincho Light" w:hint="default"/>
      </w:rPr>
    </w:lvl>
    <w:lvl w:ilvl="2" w:tplc="18090005" w:tentative="1">
      <w:start w:val="1"/>
      <w:numFmt w:val="bullet"/>
      <w:lvlText w:val=""/>
      <w:lvlJc w:val="left"/>
      <w:pPr>
        <w:ind w:left="2220" w:hanging="360"/>
      </w:pPr>
      <w:rPr>
        <w:rFonts w:ascii="MS Mincho" w:hAnsi="MS Mincho" w:hint="default"/>
      </w:rPr>
    </w:lvl>
    <w:lvl w:ilvl="3" w:tplc="18090001" w:tentative="1">
      <w:start w:val="1"/>
      <w:numFmt w:val="bullet"/>
      <w:lvlText w:val=""/>
      <w:lvlJc w:val="left"/>
      <w:pPr>
        <w:ind w:left="2940" w:hanging="360"/>
      </w:pPr>
      <w:rPr>
        <w:rFonts w:ascii="MS Mincho" w:hAnsi="MS Mincho" w:hint="default"/>
      </w:rPr>
    </w:lvl>
    <w:lvl w:ilvl="4" w:tplc="18090003" w:tentative="1">
      <w:start w:val="1"/>
      <w:numFmt w:val="bullet"/>
      <w:lvlText w:val="o"/>
      <w:lvlJc w:val="left"/>
      <w:pPr>
        <w:ind w:left="3660" w:hanging="360"/>
      </w:pPr>
      <w:rPr>
        <w:rFonts w:ascii="Yu Mincho Light" w:hAnsi="Yu Mincho Light" w:cs="Yu Mincho Light" w:hint="default"/>
      </w:rPr>
    </w:lvl>
    <w:lvl w:ilvl="5" w:tplc="18090005" w:tentative="1">
      <w:start w:val="1"/>
      <w:numFmt w:val="bullet"/>
      <w:lvlText w:val=""/>
      <w:lvlJc w:val="left"/>
      <w:pPr>
        <w:ind w:left="4380" w:hanging="360"/>
      </w:pPr>
      <w:rPr>
        <w:rFonts w:ascii="MS Mincho" w:hAnsi="MS Mincho" w:hint="default"/>
      </w:rPr>
    </w:lvl>
    <w:lvl w:ilvl="6" w:tplc="18090001" w:tentative="1">
      <w:start w:val="1"/>
      <w:numFmt w:val="bullet"/>
      <w:lvlText w:val=""/>
      <w:lvlJc w:val="left"/>
      <w:pPr>
        <w:ind w:left="5100" w:hanging="360"/>
      </w:pPr>
      <w:rPr>
        <w:rFonts w:ascii="MS Mincho" w:hAnsi="MS Mincho" w:hint="default"/>
      </w:rPr>
    </w:lvl>
    <w:lvl w:ilvl="7" w:tplc="18090003" w:tentative="1">
      <w:start w:val="1"/>
      <w:numFmt w:val="bullet"/>
      <w:lvlText w:val="o"/>
      <w:lvlJc w:val="left"/>
      <w:pPr>
        <w:ind w:left="5820" w:hanging="360"/>
      </w:pPr>
      <w:rPr>
        <w:rFonts w:ascii="Yu Mincho Light" w:hAnsi="Yu Mincho Light" w:cs="Yu Mincho Light" w:hint="default"/>
      </w:rPr>
    </w:lvl>
    <w:lvl w:ilvl="8" w:tplc="18090005" w:tentative="1">
      <w:start w:val="1"/>
      <w:numFmt w:val="bullet"/>
      <w:lvlText w:val=""/>
      <w:lvlJc w:val="left"/>
      <w:pPr>
        <w:ind w:left="6540" w:hanging="360"/>
      </w:pPr>
      <w:rPr>
        <w:rFonts w:ascii="MS Mincho" w:hAnsi="MS Mincho" w:hint="default"/>
      </w:rPr>
    </w:lvl>
  </w:abstractNum>
  <w:abstractNum w:abstractNumId="9" w15:restartNumberingAfterBreak="0">
    <w:nsid w:val="0853DD90"/>
    <w:multiLevelType w:val="hybridMultilevel"/>
    <w:tmpl w:val="FFFFFFFF"/>
    <w:lvl w:ilvl="0" w:tplc="9B86F24C">
      <w:start w:val="1"/>
      <w:numFmt w:val="bullet"/>
      <w:lvlText w:val="-"/>
      <w:lvlJc w:val="left"/>
      <w:pPr>
        <w:ind w:left="720" w:hanging="360"/>
      </w:pPr>
      <w:rPr>
        <w:rFonts w:ascii="Arial" w:hAnsi="Arial" w:hint="default"/>
      </w:rPr>
    </w:lvl>
    <w:lvl w:ilvl="1" w:tplc="0C4E7CFA">
      <w:start w:val="1"/>
      <w:numFmt w:val="bullet"/>
      <w:lvlText w:val="o"/>
      <w:lvlJc w:val="left"/>
      <w:pPr>
        <w:ind w:left="1440" w:hanging="360"/>
      </w:pPr>
      <w:rPr>
        <w:rFonts w:ascii="Segoe UI Emoji" w:hAnsi="Segoe UI Emoji" w:hint="default"/>
      </w:rPr>
    </w:lvl>
    <w:lvl w:ilvl="2" w:tplc="21EE2022">
      <w:start w:val="1"/>
      <w:numFmt w:val="bullet"/>
      <w:lvlText w:val=""/>
      <w:lvlJc w:val="left"/>
      <w:pPr>
        <w:ind w:left="2160" w:hanging="360"/>
      </w:pPr>
      <w:rPr>
        <w:rFonts w:ascii="@MS Mincho" w:hAnsi="@MS Mincho" w:hint="default"/>
      </w:rPr>
    </w:lvl>
    <w:lvl w:ilvl="3" w:tplc="F8FA31DA">
      <w:start w:val="1"/>
      <w:numFmt w:val="bullet"/>
      <w:lvlText w:val=""/>
      <w:lvlJc w:val="left"/>
      <w:pPr>
        <w:ind w:left="2880" w:hanging="360"/>
      </w:pPr>
      <w:rPr>
        <w:rFonts w:ascii="Times New Roman félkövér" w:hAnsi="Times New Roman félkövér" w:hint="default"/>
      </w:rPr>
    </w:lvl>
    <w:lvl w:ilvl="4" w:tplc="045A305A">
      <w:start w:val="1"/>
      <w:numFmt w:val="bullet"/>
      <w:lvlText w:val="o"/>
      <w:lvlJc w:val="left"/>
      <w:pPr>
        <w:ind w:left="3600" w:hanging="360"/>
      </w:pPr>
      <w:rPr>
        <w:rFonts w:ascii="Segoe UI Emoji" w:hAnsi="Segoe UI Emoji" w:hint="default"/>
      </w:rPr>
    </w:lvl>
    <w:lvl w:ilvl="5" w:tplc="74125AAE">
      <w:start w:val="1"/>
      <w:numFmt w:val="bullet"/>
      <w:lvlText w:val=""/>
      <w:lvlJc w:val="left"/>
      <w:pPr>
        <w:ind w:left="4320" w:hanging="360"/>
      </w:pPr>
      <w:rPr>
        <w:rFonts w:ascii="@MS Mincho" w:hAnsi="@MS Mincho" w:hint="default"/>
      </w:rPr>
    </w:lvl>
    <w:lvl w:ilvl="6" w:tplc="2E8C3324">
      <w:start w:val="1"/>
      <w:numFmt w:val="bullet"/>
      <w:lvlText w:val=""/>
      <w:lvlJc w:val="left"/>
      <w:pPr>
        <w:ind w:left="5040" w:hanging="360"/>
      </w:pPr>
      <w:rPr>
        <w:rFonts w:ascii="Times New Roman félkövér" w:hAnsi="Times New Roman félkövér" w:hint="default"/>
      </w:rPr>
    </w:lvl>
    <w:lvl w:ilvl="7" w:tplc="6AD0341A">
      <w:start w:val="1"/>
      <w:numFmt w:val="bullet"/>
      <w:lvlText w:val="o"/>
      <w:lvlJc w:val="left"/>
      <w:pPr>
        <w:ind w:left="5760" w:hanging="360"/>
      </w:pPr>
      <w:rPr>
        <w:rFonts w:ascii="Segoe UI Emoji" w:hAnsi="Segoe UI Emoji" w:hint="default"/>
      </w:rPr>
    </w:lvl>
    <w:lvl w:ilvl="8" w:tplc="53ECFD58">
      <w:start w:val="1"/>
      <w:numFmt w:val="bullet"/>
      <w:lvlText w:val=""/>
      <w:lvlJc w:val="left"/>
      <w:pPr>
        <w:ind w:left="6480" w:hanging="360"/>
      </w:pPr>
      <w:rPr>
        <w:rFonts w:ascii="@MS Mincho" w:hAnsi="@MS Mincho" w:hint="default"/>
      </w:rPr>
    </w:lvl>
  </w:abstractNum>
  <w:abstractNum w:abstractNumId="10" w15:restartNumberingAfterBreak="0">
    <w:nsid w:val="0B7071AF"/>
    <w:multiLevelType w:val="hybridMultilevel"/>
    <w:tmpl w:val="338CE26C"/>
    <w:lvl w:ilvl="0" w:tplc="991C3E1E">
      <w:start w:val="1"/>
      <w:numFmt w:val="bullet"/>
      <w:lvlText w:val="-"/>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B9A3F81"/>
    <w:multiLevelType w:val="hybridMultilevel"/>
    <w:tmpl w:val="E17CE6DE"/>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C583D17"/>
    <w:multiLevelType w:val="hybridMultilevel"/>
    <w:tmpl w:val="B372B45A"/>
    <w:lvl w:ilvl="0" w:tplc="5EC66656">
      <w:start w:val="1"/>
      <w:numFmt w:val="bullet"/>
      <w:lvlText w:val=""/>
      <w:lvlJc w:val="left"/>
      <w:pPr>
        <w:ind w:left="720" w:hanging="360"/>
      </w:pPr>
      <w:rPr>
        <w:rFonts w:ascii="Symbol" w:hAnsi="Symbol"/>
      </w:rPr>
    </w:lvl>
    <w:lvl w:ilvl="1" w:tplc="6C1E4D28">
      <w:start w:val="1"/>
      <w:numFmt w:val="bullet"/>
      <w:lvlText w:val=""/>
      <w:lvlJc w:val="left"/>
      <w:pPr>
        <w:ind w:left="720" w:hanging="360"/>
      </w:pPr>
      <w:rPr>
        <w:rFonts w:ascii="Symbol" w:hAnsi="Symbol"/>
      </w:rPr>
    </w:lvl>
    <w:lvl w:ilvl="2" w:tplc="48B6CD7C">
      <w:start w:val="1"/>
      <w:numFmt w:val="bullet"/>
      <w:lvlText w:val=""/>
      <w:lvlJc w:val="left"/>
      <w:pPr>
        <w:ind w:left="720" w:hanging="360"/>
      </w:pPr>
      <w:rPr>
        <w:rFonts w:ascii="Symbol" w:hAnsi="Symbol"/>
      </w:rPr>
    </w:lvl>
    <w:lvl w:ilvl="3" w:tplc="8804AAEA">
      <w:start w:val="1"/>
      <w:numFmt w:val="bullet"/>
      <w:lvlText w:val=""/>
      <w:lvlJc w:val="left"/>
      <w:pPr>
        <w:ind w:left="720" w:hanging="360"/>
      </w:pPr>
      <w:rPr>
        <w:rFonts w:ascii="Symbol" w:hAnsi="Symbol"/>
      </w:rPr>
    </w:lvl>
    <w:lvl w:ilvl="4" w:tplc="7FBE0D5E">
      <w:start w:val="1"/>
      <w:numFmt w:val="bullet"/>
      <w:lvlText w:val=""/>
      <w:lvlJc w:val="left"/>
      <w:pPr>
        <w:ind w:left="720" w:hanging="360"/>
      </w:pPr>
      <w:rPr>
        <w:rFonts w:ascii="Symbol" w:hAnsi="Symbol"/>
      </w:rPr>
    </w:lvl>
    <w:lvl w:ilvl="5" w:tplc="55204034">
      <w:start w:val="1"/>
      <w:numFmt w:val="bullet"/>
      <w:lvlText w:val=""/>
      <w:lvlJc w:val="left"/>
      <w:pPr>
        <w:ind w:left="720" w:hanging="360"/>
      </w:pPr>
      <w:rPr>
        <w:rFonts w:ascii="Symbol" w:hAnsi="Symbol"/>
      </w:rPr>
    </w:lvl>
    <w:lvl w:ilvl="6" w:tplc="75747AF4">
      <w:start w:val="1"/>
      <w:numFmt w:val="bullet"/>
      <w:lvlText w:val=""/>
      <w:lvlJc w:val="left"/>
      <w:pPr>
        <w:ind w:left="720" w:hanging="360"/>
      </w:pPr>
      <w:rPr>
        <w:rFonts w:ascii="Symbol" w:hAnsi="Symbol"/>
      </w:rPr>
    </w:lvl>
    <w:lvl w:ilvl="7" w:tplc="5A6C7638">
      <w:start w:val="1"/>
      <w:numFmt w:val="bullet"/>
      <w:lvlText w:val=""/>
      <w:lvlJc w:val="left"/>
      <w:pPr>
        <w:ind w:left="720" w:hanging="360"/>
      </w:pPr>
      <w:rPr>
        <w:rFonts w:ascii="Symbol" w:hAnsi="Symbol"/>
      </w:rPr>
    </w:lvl>
    <w:lvl w:ilvl="8" w:tplc="DB141560">
      <w:start w:val="1"/>
      <w:numFmt w:val="bullet"/>
      <w:lvlText w:val=""/>
      <w:lvlJc w:val="left"/>
      <w:pPr>
        <w:ind w:left="720" w:hanging="360"/>
      </w:pPr>
      <w:rPr>
        <w:rFonts w:ascii="Symbol" w:hAnsi="Symbol"/>
      </w:rPr>
    </w:lvl>
  </w:abstractNum>
  <w:abstractNum w:abstractNumId="13" w15:restartNumberingAfterBreak="0">
    <w:nsid w:val="0C681D4E"/>
    <w:multiLevelType w:val="hybridMultilevel"/>
    <w:tmpl w:val="4E9642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0CBC6"/>
    <w:multiLevelType w:val="hybridMultilevel"/>
    <w:tmpl w:val="FFFFFFFF"/>
    <w:lvl w:ilvl="0" w:tplc="5762C3A6">
      <w:start w:val="1"/>
      <w:numFmt w:val="bullet"/>
      <w:lvlText w:val=""/>
      <w:lvlJc w:val="left"/>
      <w:pPr>
        <w:ind w:left="720" w:hanging="360"/>
      </w:pPr>
      <w:rPr>
        <w:rFonts w:ascii="Symbol" w:hAnsi="Symbol" w:hint="default"/>
      </w:rPr>
    </w:lvl>
    <w:lvl w:ilvl="1" w:tplc="523C60EA">
      <w:start w:val="1"/>
      <w:numFmt w:val="bullet"/>
      <w:lvlText w:val="o"/>
      <w:lvlJc w:val="left"/>
      <w:pPr>
        <w:ind w:left="1440" w:hanging="360"/>
      </w:pPr>
      <w:rPr>
        <w:rFonts w:ascii="Courier New" w:hAnsi="Courier New" w:hint="default"/>
      </w:rPr>
    </w:lvl>
    <w:lvl w:ilvl="2" w:tplc="8BFA6B86">
      <w:start w:val="1"/>
      <w:numFmt w:val="bullet"/>
      <w:lvlText w:val=""/>
      <w:lvlJc w:val="left"/>
      <w:pPr>
        <w:ind w:left="2160" w:hanging="360"/>
      </w:pPr>
      <w:rPr>
        <w:rFonts w:ascii="Wingdings" w:hAnsi="Wingdings" w:hint="default"/>
      </w:rPr>
    </w:lvl>
    <w:lvl w:ilvl="3" w:tplc="8842B4AE">
      <w:start w:val="1"/>
      <w:numFmt w:val="bullet"/>
      <w:lvlText w:val=""/>
      <w:lvlJc w:val="left"/>
      <w:pPr>
        <w:ind w:left="2880" w:hanging="360"/>
      </w:pPr>
      <w:rPr>
        <w:rFonts w:ascii="Symbol" w:hAnsi="Symbol" w:hint="default"/>
      </w:rPr>
    </w:lvl>
    <w:lvl w:ilvl="4" w:tplc="04A0D452">
      <w:start w:val="1"/>
      <w:numFmt w:val="bullet"/>
      <w:lvlText w:val="o"/>
      <w:lvlJc w:val="left"/>
      <w:pPr>
        <w:ind w:left="3600" w:hanging="360"/>
      </w:pPr>
      <w:rPr>
        <w:rFonts w:ascii="Courier New" w:hAnsi="Courier New" w:hint="default"/>
      </w:rPr>
    </w:lvl>
    <w:lvl w:ilvl="5" w:tplc="04F21308">
      <w:start w:val="1"/>
      <w:numFmt w:val="bullet"/>
      <w:lvlText w:val=""/>
      <w:lvlJc w:val="left"/>
      <w:pPr>
        <w:ind w:left="4320" w:hanging="360"/>
      </w:pPr>
      <w:rPr>
        <w:rFonts w:ascii="Wingdings" w:hAnsi="Wingdings" w:hint="default"/>
      </w:rPr>
    </w:lvl>
    <w:lvl w:ilvl="6" w:tplc="8BB88B5C">
      <w:start w:val="1"/>
      <w:numFmt w:val="bullet"/>
      <w:lvlText w:val=""/>
      <w:lvlJc w:val="left"/>
      <w:pPr>
        <w:ind w:left="5040" w:hanging="360"/>
      </w:pPr>
      <w:rPr>
        <w:rFonts w:ascii="Symbol" w:hAnsi="Symbol" w:hint="default"/>
      </w:rPr>
    </w:lvl>
    <w:lvl w:ilvl="7" w:tplc="C3DE9168">
      <w:start w:val="1"/>
      <w:numFmt w:val="bullet"/>
      <w:lvlText w:val="o"/>
      <w:lvlJc w:val="left"/>
      <w:pPr>
        <w:ind w:left="5760" w:hanging="360"/>
      </w:pPr>
      <w:rPr>
        <w:rFonts w:ascii="Courier New" w:hAnsi="Courier New" w:hint="default"/>
      </w:rPr>
    </w:lvl>
    <w:lvl w:ilvl="8" w:tplc="CEE831A4">
      <w:start w:val="1"/>
      <w:numFmt w:val="bullet"/>
      <w:lvlText w:val=""/>
      <w:lvlJc w:val="left"/>
      <w:pPr>
        <w:ind w:left="6480" w:hanging="360"/>
      </w:pPr>
      <w:rPr>
        <w:rFonts w:ascii="Wingdings" w:hAnsi="Wingdings" w:hint="default"/>
      </w:rPr>
    </w:lvl>
  </w:abstractNum>
  <w:abstractNum w:abstractNumId="15" w15:restartNumberingAfterBreak="0">
    <w:nsid w:val="0C990D6D"/>
    <w:multiLevelType w:val="hybridMultilevel"/>
    <w:tmpl w:val="9AE27DC0"/>
    <w:lvl w:ilvl="0" w:tplc="18090001">
      <w:start w:val="1"/>
      <w:numFmt w:val="bullet"/>
      <w:lvlText w:val=""/>
      <w:lvlJc w:val="left"/>
      <w:pPr>
        <w:ind w:left="720" w:hanging="360"/>
      </w:pPr>
      <w:rPr>
        <w:rFonts w:ascii="Times New Roman félkövér" w:hAnsi="Times New Roman félkövér" w:hint="default"/>
      </w:rPr>
    </w:lvl>
    <w:lvl w:ilvl="1" w:tplc="18090003" w:tentative="1">
      <w:start w:val="1"/>
      <w:numFmt w:val="bullet"/>
      <w:lvlText w:val="o"/>
      <w:lvlJc w:val="left"/>
      <w:pPr>
        <w:ind w:left="1440" w:hanging="360"/>
      </w:pPr>
      <w:rPr>
        <w:rFonts w:ascii="@MS Mincho" w:hAnsi="@MS Mincho" w:cs="@MS Mincho"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MS Mincho" w:hAnsi="@MS Mincho" w:cs="@MS Mincho"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MS Mincho" w:hAnsi="@MS Mincho" w:cs="@MS Mincho" w:hint="default"/>
      </w:rPr>
    </w:lvl>
    <w:lvl w:ilvl="8" w:tplc="18090005" w:tentative="1">
      <w:start w:val="1"/>
      <w:numFmt w:val="bullet"/>
      <w:lvlText w:val=""/>
      <w:lvlJc w:val="left"/>
      <w:pPr>
        <w:ind w:left="6480" w:hanging="360"/>
      </w:pPr>
      <w:rPr>
        <w:rFonts w:ascii="MS Mincho" w:hAnsi="MS Mincho" w:hint="default"/>
      </w:rPr>
    </w:lvl>
  </w:abstractNum>
  <w:abstractNum w:abstractNumId="16" w15:restartNumberingAfterBreak="0">
    <w:nsid w:val="0DFD6381"/>
    <w:multiLevelType w:val="hybridMultilevel"/>
    <w:tmpl w:val="5FA6E936"/>
    <w:lvl w:ilvl="0" w:tplc="B2AC25C2">
      <w:numFmt w:val="bullet"/>
      <w:lvlText w:val=""/>
      <w:lvlJc w:val="left"/>
      <w:pPr>
        <w:ind w:left="1080" w:hanging="360"/>
      </w:pPr>
      <w:rPr>
        <w:rFonts w:ascii="Symbol" w:eastAsiaTheme="minorEastAsia" w:hAnsi="Symbol" w:cs="Times New Roman" w:hint="default"/>
      </w:rPr>
    </w:lvl>
    <w:lvl w:ilvl="1" w:tplc="FFFFFFFF" w:tentative="1">
      <w:start w:val="1"/>
      <w:numFmt w:val="bullet"/>
      <w:lvlText w:val="o"/>
      <w:lvlJc w:val="left"/>
      <w:pPr>
        <w:ind w:left="1800" w:hanging="360"/>
      </w:pPr>
      <w:rPr>
        <w:rFonts w:ascii="@MS Mincho" w:hAnsi="@MS Mincho" w:cs="@MS Mincho" w:hint="default"/>
      </w:rPr>
    </w:lvl>
    <w:lvl w:ilvl="2" w:tplc="FFFFFFFF" w:tentative="1">
      <w:start w:val="1"/>
      <w:numFmt w:val="bullet"/>
      <w:lvlText w:val=""/>
      <w:lvlJc w:val="left"/>
      <w:pPr>
        <w:ind w:left="2520" w:hanging="360"/>
      </w:pPr>
      <w:rPr>
        <w:rFonts w:ascii="MS Mincho" w:hAnsi="MS Mincho" w:hint="default"/>
      </w:rPr>
    </w:lvl>
    <w:lvl w:ilvl="3" w:tplc="FFFFFFFF" w:tentative="1">
      <w:start w:val="1"/>
      <w:numFmt w:val="bullet"/>
      <w:lvlText w:val=""/>
      <w:lvlJc w:val="left"/>
      <w:pPr>
        <w:ind w:left="3240" w:hanging="360"/>
      </w:pPr>
      <w:rPr>
        <w:rFonts w:ascii="Times New Roman félkövér" w:hAnsi="Times New Roman félkövér" w:hint="default"/>
      </w:rPr>
    </w:lvl>
    <w:lvl w:ilvl="4" w:tplc="FFFFFFFF" w:tentative="1">
      <w:start w:val="1"/>
      <w:numFmt w:val="bullet"/>
      <w:lvlText w:val="o"/>
      <w:lvlJc w:val="left"/>
      <w:pPr>
        <w:ind w:left="3960" w:hanging="360"/>
      </w:pPr>
      <w:rPr>
        <w:rFonts w:ascii="@MS Mincho" w:hAnsi="@MS Mincho" w:cs="@MS Mincho" w:hint="default"/>
      </w:rPr>
    </w:lvl>
    <w:lvl w:ilvl="5" w:tplc="FFFFFFFF" w:tentative="1">
      <w:start w:val="1"/>
      <w:numFmt w:val="bullet"/>
      <w:lvlText w:val=""/>
      <w:lvlJc w:val="left"/>
      <w:pPr>
        <w:ind w:left="4680" w:hanging="360"/>
      </w:pPr>
      <w:rPr>
        <w:rFonts w:ascii="MS Mincho" w:hAnsi="MS Mincho" w:hint="default"/>
      </w:rPr>
    </w:lvl>
    <w:lvl w:ilvl="6" w:tplc="FFFFFFFF" w:tentative="1">
      <w:start w:val="1"/>
      <w:numFmt w:val="bullet"/>
      <w:lvlText w:val=""/>
      <w:lvlJc w:val="left"/>
      <w:pPr>
        <w:ind w:left="5400" w:hanging="360"/>
      </w:pPr>
      <w:rPr>
        <w:rFonts w:ascii="Times New Roman félkövér" w:hAnsi="Times New Roman félkövér" w:hint="default"/>
      </w:rPr>
    </w:lvl>
    <w:lvl w:ilvl="7" w:tplc="FFFFFFFF" w:tentative="1">
      <w:start w:val="1"/>
      <w:numFmt w:val="bullet"/>
      <w:lvlText w:val="o"/>
      <w:lvlJc w:val="left"/>
      <w:pPr>
        <w:ind w:left="6120" w:hanging="360"/>
      </w:pPr>
      <w:rPr>
        <w:rFonts w:ascii="@MS Mincho" w:hAnsi="@MS Mincho" w:cs="@MS Mincho" w:hint="default"/>
      </w:rPr>
    </w:lvl>
    <w:lvl w:ilvl="8" w:tplc="FFFFFFFF" w:tentative="1">
      <w:start w:val="1"/>
      <w:numFmt w:val="bullet"/>
      <w:lvlText w:val=""/>
      <w:lvlJc w:val="left"/>
      <w:pPr>
        <w:ind w:left="6840" w:hanging="360"/>
      </w:pPr>
      <w:rPr>
        <w:rFonts w:ascii="MS Mincho" w:hAnsi="MS Mincho" w:hint="default"/>
      </w:rPr>
    </w:lvl>
  </w:abstractNum>
  <w:abstractNum w:abstractNumId="17" w15:restartNumberingAfterBreak="0">
    <w:nsid w:val="0E686556"/>
    <w:multiLevelType w:val="hybridMultilevel"/>
    <w:tmpl w:val="C554E2BA"/>
    <w:lvl w:ilvl="0" w:tplc="FFFFFFFF">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B2AC25C2">
      <w:numFmt w:val="bullet"/>
      <w:lvlText w:val=""/>
      <w:lvlJc w:val="left"/>
      <w:pPr>
        <w:ind w:left="3600" w:hanging="720"/>
      </w:pPr>
      <w:rPr>
        <w:rFonts w:ascii="Symbol" w:eastAsiaTheme="minorEastAsia"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9FECC5"/>
    <w:multiLevelType w:val="hybridMultilevel"/>
    <w:tmpl w:val="FFFFFFFF"/>
    <w:lvl w:ilvl="0" w:tplc="2DBC04E0">
      <w:start w:val="2"/>
      <w:numFmt w:val="decimal"/>
      <w:lvlText w:val="%1."/>
      <w:lvlJc w:val="left"/>
      <w:pPr>
        <w:ind w:left="720" w:hanging="360"/>
      </w:pPr>
      <w:rPr>
        <w:rFonts w:ascii="Arial" w:hAnsi="Arial" w:hint="default"/>
      </w:rPr>
    </w:lvl>
    <w:lvl w:ilvl="1" w:tplc="66E873C6">
      <w:start w:val="1"/>
      <w:numFmt w:val="lowerLetter"/>
      <w:lvlText w:val="%2."/>
      <w:lvlJc w:val="left"/>
      <w:pPr>
        <w:ind w:left="1440" w:hanging="360"/>
      </w:pPr>
    </w:lvl>
    <w:lvl w:ilvl="2" w:tplc="E3A4A870">
      <w:start w:val="1"/>
      <w:numFmt w:val="lowerRoman"/>
      <w:lvlText w:val="%3."/>
      <w:lvlJc w:val="right"/>
      <w:pPr>
        <w:ind w:left="2160" w:hanging="180"/>
      </w:pPr>
    </w:lvl>
    <w:lvl w:ilvl="3" w:tplc="827099A4">
      <w:start w:val="1"/>
      <w:numFmt w:val="decimal"/>
      <w:lvlText w:val="%4."/>
      <w:lvlJc w:val="left"/>
      <w:pPr>
        <w:ind w:left="2880" w:hanging="360"/>
      </w:pPr>
    </w:lvl>
    <w:lvl w:ilvl="4" w:tplc="8D2EC904">
      <w:start w:val="1"/>
      <w:numFmt w:val="lowerLetter"/>
      <w:lvlText w:val="%5."/>
      <w:lvlJc w:val="left"/>
      <w:pPr>
        <w:ind w:left="3600" w:hanging="360"/>
      </w:pPr>
    </w:lvl>
    <w:lvl w:ilvl="5" w:tplc="291C5CEC">
      <w:start w:val="1"/>
      <w:numFmt w:val="lowerRoman"/>
      <w:lvlText w:val="%6."/>
      <w:lvlJc w:val="right"/>
      <w:pPr>
        <w:ind w:left="4320" w:hanging="180"/>
      </w:pPr>
    </w:lvl>
    <w:lvl w:ilvl="6" w:tplc="3E3E39AA">
      <w:start w:val="1"/>
      <w:numFmt w:val="decimal"/>
      <w:lvlText w:val="%7."/>
      <w:lvlJc w:val="left"/>
      <w:pPr>
        <w:ind w:left="5040" w:hanging="360"/>
      </w:pPr>
    </w:lvl>
    <w:lvl w:ilvl="7" w:tplc="AED002D2">
      <w:start w:val="1"/>
      <w:numFmt w:val="lowerLetter"/>
      <w:lvlText w:val="%8."/>
      <w:lvlJc w:val="left"/>
      <w:pPr>
        <w:ind w:left="5760" w:hanging="360"/>
      </w:pPr>
    </w:lvl>
    <w:lvl w:ilvl="8" w:tplc="896C89B0">
      <w:start w:val="1"/>
      <w:numFmt w:val="lowerRoman"/>
      <w:lvlText w:val="%9."/>
      <w:lvlJc w:val="right"/>
      <w:pPr>
        <w:ind w:left="6480" w:hanging="180"/>
      </w:pPr>
    </w:lvl>
  </w:abstractNum>
  <w:abstractNum w:abstractNumId="19" w15:restartNumberingAfterBreak="0">
    <w:nsid w:val="10B46BD6"/>
    <w:multiLevelType w:val="hybridMultilevel"/>
    <w:tmpl w:val="8FF4FAA2"/>
    <w:lvl w:ilvl="0" w:tplc="991C3E1E">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2242160"/>
    <w:multiLevelType w:val="hybridMultilevel"/>
    <w:tmpl w:val="D43A42EE"/>
    <w:lvl w:ilvl="0" w:tplc="37B223E2">
      <w:start w:val="1"/>
      <w:numFmt w:val="bullet"/>
      <w:lvlText w:val=""/>
      <w:lvlJc w:val="left"/>
      <w:pPr>
        <w:ind w:left="1004" w:hanging="360"/>
      </w:pPr>
      <w:rPr>
        <w:rFonts w:ascii="Times New Roman félkövér" w:hAnsi="Times New Roman félkövér"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21" w15:restartNumberingAfterBreak="0">
    <w:nsid w:val="14BC9304"/>
    <w:multiLevelType w:val="hybridMultilevel"/>
    <w:tmpl w:val="FFFFFFFF"/>
    <w:lvl w:ilvl="0" w:tplc="946A4DA8">
      <w:start w:val="9"/>
      <w:numFmt w:val="decimal"/>
      <w:lvlText w:val="%1."/>
      <w:lvlJc w:val="left"/>
      <w:pPr>
        <w:ind w:left="720" w:hanging="360"/>
      </w:pPr>
      <w:rPr>
        <w:rFonts w:ascii="Calibri" w:hAnsi="Calibri" w:hint="default"/>
      </w:rPr>
    </w:lvl>
    <w:lvl w:ilvl="1" w:tplc="BE925662">
      <w:start w:val="1"/>
      <w:numFmt w:val="lowerLetter"/>
      <w:lvlText w:val="%2."/>
      <w:lvlJc w:val="left"/>
      <w:pPr>
        <w:ind w:left="1440" w:hanging="360"/>
      </w:pPr>
    </w:lvl>
    <w:lvl w:ilvl="2" w:tplc="6972B792">
      <w:start w:val="1"/>
      <w:numFmt w:val="lowerRoman"/>
      <w:lvlText w:val="%3."/>
      <w:lvlJc w:val="right"/>
      <w:pPr>
        <w:ind w:left="2160" w:hanging="180"/>
      </w:pPr>
    </w:lvl>
    <w:lvl w:ilvl="3" w:tplc="D96C8D54">
      <w:start w:val="1"/>
      <w:numFmt w:val="decimal"/>
      <w:lvlText w:val="%4."/>
      <w:lvlJc w:val="left"/>
      <w:pPr>
        <w:ind w:left="2880" w:hanging="360"/>
      </w:pPr>
    </w:lvl>
    <w:lvl w:ilvl="4" w:tplc="7038816E">
      <w:start w:val="1"/>
      <w:numFmt w:val="lowerLetter"/>
      <w:lvlText w:val="%5."/>
      <w:lvlJc w:val="left"/>
      <w:pPr>
        <w:ind w:left="3600" w:hanging="360"/>
      </w:pPr>
    </w:lvl>
    <w:lvl w:ilvl="5" w:tplc="FBFA4DAA">
      <w:start w:val="1"/>
      <w:numFmt w:val="lowerRoman"/>
      <w:lvlText w:val="%6."/>
      <w:lvlJc w:val="right"/>
      <w:pPr>
        <w:ind w:left="4320" w:hanging="180"/>
      </w:pPr>
    </w:lvl>
    <w:lvl w:ilvl="6" w:tplc="F1FE5F90">
      <w:start w:val="1"/>
      <w:numFmt w:val="decimal"/>
      <w:lvlText w:val="%7."/>
      <w:lvlJc w:val="left"/>
      <w:pPr>
        <w:ind w:left="5040" w:hanging="360"/>
      </w:pPr>
    </w:lvl>
    <w:lvl w:ilvl="7" w:tplc="93C44108">
      <w:start w:val="1"/>
      <w:numFmt w:val="lowerLetter"/>
      <w:lvlText w:val="%8."/>
      <w:lvlJc w:val="left"/>
      <w:pPr>
        <w:ind w:left="5760" w:hanging="360"/>
      </w:pPr>
    </w:lvl>
    <w:lvl w:ilvl="8" w:tplc="2AC07D90">
      <w:start w:val="1"/>
      <w:numFmt w:val="lowerRoman"/>
      <w:lvlText w:val="%9."/>
      <w:lvlJc w:val="right"/>
      <w:pPr>
        <w:ind w:left="6480" w:hanging="180"/>
      </w:pPr>
    </w:lvl>
  </w:abstractNum>
  <w:abstractNum w:abstractNumId="22" w15:restartNumberingAfterBreak="0">
    <w:nsid w:val="157F6626"/>
    <w:multiLevelType w:val="hybridMultilevel"/>
    <w:tmpl w:val="3502E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613FA9"/>
    <w:multiLevelType w:val="hybridMultilevel"/>
    <w:tmpl w:val="D0B64B60"/>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F08CF"/>
    <w:multiLevelType w:val="hybridMultilevel"/>
    <w:tmpl w:val="0054108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MS Mincho" w:hAnsi="MS Mincho" w:hint="default"/>
      </w:rPr>
    </w:lvl>
    <w:lvl w:ilvl="3" w:tplc="FFFFFFFF" w:tentative="1">
      <w:start w:val="1"/>
      <w:numFmt w:val="bullet"/>
      <w:lvlText w:val=""/>
      <w:lvlJc w:val="left"/>
      <w:pPr>
        <w:ind w:left="2880" w:hanging="360"/>
      </w:pPr>
      <w:rPr>
        <w:rFonts w:ascii="Times New Roman félkövér" w:hAnsi="Times New Roman félkövér"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MS Mincho" w:hAnsi="MS Mincho" w:hint="default"/>
      </w:rPr>
    </w:lvl>
    <w:lvl w:ilvl="6" w:tplc="FFFFFFFF" w:tentative="1">
      <w:start w:val="1"/>
      <w:numFmt w:val="bullet"/>
      <w:lvlText w:val=""/>
      <w:lvlJc w:val="left"/>
      <w:pPr>
        <w:ind w:left="5040" w:hanging="360"/>
      </w:pPr>
      <w:rPr>
        <w:rFonts w:ascii="Times New Roman félkövér" w:hAnsi="Times New Roman félkövér"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MS Mincho" w:hAnsi="MS Mincho" w:hint="default"/>
      </w:rPr>
    </w:lvl>
  </w:abstractNum>
  <w:abstractNum w:abstractNumId="25" w15:restartNumberingAfterBreak="0">
    <w:nsid w:val="1AB43499"/>
    <w:multiLevelType w:val="hybridMultilevel"/>
    <w:tmpl w:val="229035E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15:restartNumberingAfterBreak="0">
    <w:nsid w:val="2081216A"/>
    <w:multiLevelType w:val="hybridMultilevel"/>
    <w:tmpl w:val="4B021F8C"/>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2624070"/>
    <w:multiLevelType w:val="hybridMultilevel"/>
    <w:tmpl w:val="8E7008C4"/>
    <w:lvl w:ilvl="0" w:tplc="991C3E1E">
      <w:start w:val="1"/>
      <w:numFmt w:val="bullet"/>
      <w:lvlText w:val="-"/>
      <w:lvlJc w:val="left"/>
      <w:pPr>
        <w:ind w:left="776" w:hanging="360"/>
      </w:pPr>
      <w:rPr>
        <w:rFonts w:ascii="Calibri" w:hAnsi="Calibri"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09700"/>
    <w:multiLevelType w:val="hybridMultilevel"/>
    <w:tmpl w:val="FFFFFFFF"/>
    <w:lvl w:ilvl="0" w:tplc="99B43E64">
      <w:start w:val="1"/>
      <w:numFmt w:val="decimal"/>
      <w:lvlText w:val="%1."/>
      <w:lvlJc w:val="left"/>
      <w:pPr>
        <w:ind w:left="720" w:hanging="360"/>
      </w:pPr>
    </w:lvl>
    <w:lvl w:ilvl="1" w:tplc="CCEE7EBA">
      <w:start w:val="1"/>
      <w:numFmt w:val="lowerLetter"/>
      <w:lvlText w:val="%2."/>
      <w:lvlJc w:val="left"/>
      <w:pPr>
        <w:ind w:left="1440" w:hanging="360"/>
      </w:pPr>
    </w:lvl>
    <w:lvl w:ilvl="2" w:tplc="05B68F20">
      <w:start w:val="1"/>
      <w:numFmt w:val="lowerRoman"/>
      <w:lvlText w:val="%3."/>
      <w:lvlJc w:val="right"/>
      <w:pPr>
        <w:ind w:left="2160" w:hanging="180"/>
      </w:pPr>
    </w:lvl>
    <w:lvl w:ilvl="3" w:tplc="4ED244CE">
      <w:start w:val="1"/>
      <w:numFmt w:val="decimal"/>
      <w:lvlText w:val="%4."/>
      <w:lvlJc w:val="left"/>
      <w:pPr>
        <w:ind w:left="2880" w:hanging="360"/>
      </w:pPr>
    </w:lvl>
    <w:lvl w:ilvl="4" w:tplc="EB8266EA">
      <w:start w:val="1"/>
      <w:numFmt w:val="lowerLetter"/>
      <w:lvlText w:val="%5."/>
      <w:lvlJc w:val="left"/>
      <w:pPr>
        <w:ind w:left="3600" w:hanging="360"/>
      </w:pPr>
    </w:lvl>
    <w:lvl w:ilvl="5" w:tplc="BF6ABFE8">
      <w:start w:val="1"/>
      <w:numFmt w:val="lowerRoman"/>
      <w:lvlText w:val="%6."/>
      <w:lvlJc w:val="right"/>
      <w:pPr>
        <w:ind w:left="4320" w:hanging="180"/>
      </w:pPr>
    </w:lvl>
    <w:lvl w:ilvl="6" w:tplc="CD3E4BBE">
      <w:start w:val="1"/>
      <w:numFmt w:val="decimal"/>
      <w:lvlText w:val="%7."/>
      <w:lvlJc w:val="left"/>
      <w:pPr>
        <w:ind w:left="5040" w:hanging="360"/>
      </w:pPr>
    </w:lvl>
    <w:lvl w:ilvl="7" w:tplc="24F2CCC0">
      <w:start w:val="1"/>
      <w:numFmt w:val="lowerLetter"/>
      <w:lvlText w:val="%8."/>
      <w:lvlJc w:val="left"/>
      <w:pPr>
        <w:ind w:left="5760" w:hanging="360"/>
      </w:pPr>
    </w:lvl>
    <w:lvl w:ilvl="8" w:tplc="82AC6408">
      <w:start w:val="1"/>
      <w:numFmt w:val="lowerRoman"/>
      <w:lvlText w:val="%9."/>
      <w:lvlJc w:val="right"/>
      <w:pPr>
        <w:ind w:left="6480" w:hanging="180"/>
      </w:pPr>
    </w:lvl>
  </w:abstractNum>
  <w:abstractNum w:abstractNumId="31" w15:restartNumberingAfterBreak="0">
    <w:nsid w:val="252E0C0D"/>
    <w:multiLevelType w:val="hybridMultilevel"/>
    <w:tmpl w:val="E09411D6"/>
    <w:lvl w:ilvl="0" w:tplc="991C3E1E">
      <w:start w:val="1"/>
      <w:numFmt w:val="bullet"/>
      <w:lvlText w:val="-"/>
      <w:lvlJc w:val="left"/>
      <w:pPr>
        <w:ind w:left="1080" w:hanging="720"/>
      </w:pPr>
      <w:rPr>
        <w:rFonts w:ascii="Calibri" w:hAnsi="Calibri"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53BC87E"/>
    <w:multiLevelType w:val="hybridMultilevel"/>
    <w:tmpl w:val="FFFFFFFF"/>
    <w:lvl w:ilvl="0" w:tplc="DFC40566">
      <w:start w:val="1"/>
      <w:numFmt w:val="bullet"/>
      <w:lvlText w:val="-"/>
      <w:lvlJc w:val="left"/>
      <w:pPr>
        <w:ind w:left="720" w:hanging="360"/>
      </w:pPr>
      <w:rPr>
        <w:rFonts w:ascii="Calibri" w:hAnsi="Calibri" w:hint="default"/>
      </w:rPr>
    </w:lvl>
    <w:lvl w:ilvl="1" w:tplc="605AC882">
      <w:start w:val="1"/>
      <w:numFmt w:val="bullet"/>
      <w:lvlText w:val="o"/>
      <w:lvlJc w:val="left"/>
      <w:pPr>
        <w:ind w:left="1440" w:hanging="360"/>
      </w:pPr>
      <w:rPr>
        <w:rFonts w:ascii="Courier New" w:hAnsi="Courier New" w:hint="default"/>
      </w:rPr>
    </w:lvl>
    <w:lvl w:ilvl="2" w:tplc="B2CCB334">
      <w:start w:val="1"/>
      <w:numFmt w:val="bullet"/>
      <w:lvlText w:val=""/>
      <w:lvlJc w:val="left"/>
      <w:pPr>
        <w:ind w:left="2160" w:hanging="360"/>
      </w:pPr>
      <w:rPr>
        <w:rFonts w:ascii="Wingdings" w:hAnsi="Wingdings" w:hint="default"/>
      </w:rPr>
    </w:lvl>
    <w:lvl w:ilvl="3" w:tplc="62502F0C">
      <w:start w:val="1"/>
      <w:numFmt w:val="bullet"/>
      <w:lvlText w:val=""/>
      <w:lvlJc w:val="left"/>
      <w:pPr>
        <w:ind w:left="2880" w:hanging="360"/>
      </w:pPr>
      <w:rPr>
        <w:rFonts w:ascii="Symbol" w:hAnsi="Symbol" w:hint="default"/>
      </w:rPr>
    </w:lvl>
    <w:lvl w:ilvl="4" w:tplc="6652CB26">
      <w:start w:val="1"/>
      <w:numFmt w:val="bullet"/>
      <w:lvlText w:val="o"/>
      <w:lvlJc w:val="left"/>
      <w:pPr>
        <w:ind w:left="3600" w:hanging="360"/>
      </w:pPr>
      <w:rPr>
        <w:rFonts w:ascii="Courier New" w:hAnsi="Courier New" w:hint="default"/>
      </w:rPr>
    </w:lvl>
    <w:lvl w:ilvl="5" w:tplc="E4E83CC2">
      <w:start w:val="1"/>
      <w:numFmt w:val="bullet"/>
      <w:lvlText w:val=""/>
      <w:lvlJc w:val="left"/>
      <w:pPr>
        <w:ind w:left="4320" w:hanging="360"/>
      </w:pPr>
      <w:rPr>
        <w:rFonts w:ascii="Wingdings" w:hAnsi="Wingdings" w:hint="default"/>
      </w:rPr>
    </w:lvl>
    <w:lvl w:ilvl="6" w:tplc="61C2AD16">
      <w:start w:val="1"/>
      <w:numFmt w:val="bullet"/>
      <w:lvlText w:val=""/>
      <w:lvlJc w:val="left"/>
      <w:pPr>
        <w:ind w:left="5040" w:hanging="360"/>
      </w:pPr>
      <w:rPr>
        <w:rFonts w:ascii="Symbol" w:hAnsi="Symbol" w:hint="default"/>
      </w:rPr>
    </w:lvl>
    <w:lvl w:ilvl="7" w:tplc="D716F0BA">
      <w:start w:val="1"/>
      <w:numFmt w:val="bullet"/>
      <w:lvlText w:val="o"/>
      <w:lvlJc w:val="left"/>
      <w:pPr>
        <w:ind w:left="5760" w:hanging="360"/>
      </w:pPr>
      <w:rPr>
        <w:rFonts w:ascii="Courier New" w:hAnsi="Courier New" w:hint="default"/>
      </w:rPr>
    </w:lvl>
    <w:lvl w:ilvl="8" w:tplc="A27AAE5C">
      <w:start w:val="1"/>
      <w:numFmt w:val="bullet"/>
      <w:lvlText w:val=""/>
      <w:lvlJc w:val="left"/>
      <w:pPr>
        <w:ind w:left="6480" w:hanging="360"/>
      </w:pPr>
      <w:rPr>
        <w:rFonts w:ascii="Wingdings" w:hAnsi="Wingdings" w:hint="default"/>
      </w:rPr>
    </w:lvl>
  </w:abstractNum>
  <w:abstractNum w:abstractNumId="33" w15:restartNumberingAfterBreak="0">
    <w:nsid w:val="25F7EFAC"/>
    <w:multiLevelType w:val="hybridMultilevel"/>
    <w:tmpl w:val="FFFFFFFF"/>
    <w:lvl w:ilvl="0" w:tplc="B4944A2A">
      <w:start w:val="1"/>
      <w:numFmt w:val="bullet"/>
      <w:lvlText w:val=""/>
      <w:lvlJc w:val="left"/>
      <w:pPr>
        <w:ind w:left="720" w:hanging="360"/>
      </w:pPr>
      <w:rPr>
        <w:rFonts w:ascii="Symbol" w:hAnsi="Symbol" w:hint="default"/>
      </w:rPr>
    </w:lvl>
    <w:lvl w:ilvl="1" w:tplc="B386AABC">
      <w:start w:val="1"/>
      <w:numFmt w:val="bullet"/>
      <w:lvlText w:val="o"/>
      <w:lvlJc w:val="left"/>
      <w:pPr>
        <w:ind w:left="1440" w:hanging="360"/>
      </w:pPr>
      <w:rPr>
        <w:rFonts w:ascii="Courier New" w:hAnsi="Courier New" w:hint="default"/>
      </w:rPr>
    </w:lvl>
    <w:lvl w:ilvl="2" w:tplc="88083F64">
      <w:start w:val="1"/>
      <w:numFmt w:val="bullet"/>
      <w:lvlText w:val=""/>
      <w:lvlJc w:val="left"/>
      <w:pPr>
        <w:ind w:left="2160" w:hanging="360"/>
      </w:pPr>
      <w:rPr>
        <w:rFonts w:ascii="Wingdings" w:hAnsi="Wingdings" w:hint="default"/>
      </w:rPr>
    </w:lvl>
    <w:lvl w:ilvl="3" w:tplc="3314D7D4">
      <w:start w:val="1"/>
      <w:numFmt w:val="bullet"/>
      <w:lvlText w:val=""/>
      <w:lvlJc w:val="left"/>
      <w:pPr>
        <w:ind w:left="2880" w:hanging="360"/>
      </w:pPr>
      <w:rPr>
        <w:rFonts w:ascii="Symbol" w:hAnsi="Symbol" w:hint="default"/>
      </w:rPr>
    </w:lvl>
    <w:lvl w:ilvl="4" w:tplc="86B8C04C">
      <w:start w:val="1"/>
      <w:numFmt w:val="bullet"/>
      <w:lvlText w:val="o"/>
      <w:lvlJc w:val="left"/>
      <w:pPr>
        <w:ind w:left="3600" w:hanging="360"/>
      </w:pPr>
      <w:rPr>
        <w:rFonts w:ascii="Courier New" w:hAnsi="Courier New" w:hint="default"/>
      </w:rPr>
    </w:lvl>
    <w:lvl w:ilvl="5" w:tplc="D1F069F0">
      <w:start w:val="1"/>
      <w:numFmt w:val="bullet"/>
      <w:lvlText w:val=""/>
      <w:lvlJc w:val="left"/>
      <w:pPr>
        <w:ind w:left="4320" w:hanging="360"/>
      </w:pPr>
      <w:rPr>
        <w:rFonts w:ascii="Wingdings" w:hAnsi="Wingdings" w:hint="default"/>
      </w:rPr>
    </w:lvl>
    <w:lvl w:ilvl="6" w:tplc="80A26088">
      <w:start w:val="1"/>
      <w:numFmt w:val="bullet"/>
      <w:lvlText w:val=""/>
      <w:lvlJc w:val="left"/>
      <w:pPr>
        <w:ind w:left="5040" w:hanging="360"/>
      </w:pPr>
      <w:rPr>
        <w:rFonts w:ascii="Symbol" w:hAnsi="Symbol" w:hint="default"/>
      </w:rPr>
    </w:lvl>
    <w:lvl w:ilvl="7" w:tplc="A8E01994">
      <w:start w:val="1"/>
      <w:numFmt w:val="bullet"/>
      <w:lvlText w:val="o"/>
      <w:lvlJc w:val="left"/>
      <w:pPr>
        <w:ind w:left="5760" w:hanging="360"/>
      </w:pPr>
      <w:rPr>
        <w:rFonts w:ascii="Courier New" w:hAnsi="Courier New" w:hint="default"/>
      </w:rPr>
    </w:lvl>
    <w:lvl w:ilvl="8" w:tplc="C6124E5A">
      <w:start w:val="1"/>
      <w:numFmt w:val="bullet"/>
      <w:lvlText w:val=""/>
      <w:lvlJc w:val="left"/>
      <w:pPr>
        <w:ind w:left="6480" w:hanging="360"/>
      </w:pPr>
      <w:rPr>
        <w:rFonts w:ascii="Wingdings" w:hAnsi="Wingdings" w:hint="default"/>
      </w:rPr>
    </w:lvl>
  </w:abstractNum>
  <w:abstractNum w:abstractNumId="34" w15:restartNumberingAfterBreak="0">
    <w:nsid w:val="27174F45"/>
    <w:multiLevelType w:val="hybridMultilevel"/>
    <w:tmpl w:val="B30C8676"/>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8B227E"/>
    <w:multiLevelType w:val="hybridMultilevel"/>
    <w:tmpl w:val="ED3E031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AE5023"/>
    <w:multiLevelType w:val="hybridMultilevel"/>
    <w:tmpl w:val="44E8D442"/>
    <w:lvl w:ilvl="0" w:tplc="3F16C13A">
      <w:start w:val="1"/>
      <w:numFmt w:val="decimal"/>
      <w:lvlText w:val="%1."/>
      <w:lvlJc w:val="left"/>
      <w:pPr>
        <w:ind w:left="720" w:hanging="360"/>
      </w:pPr>
      <w:rPr>
        <w:rFonts w:ascii="Segoe UI Emoji" w:eastAsiaTheme="minorHAnsi" w:hAnsi="Segoe UI Emoji" w:cs="Segoe UI Emoj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9" w15:restartNumberingAfterBreak="0">
    <w:nsid w:val="2D27ABB0"/>
    <w:multiLevelType w:val="hybridMultilevel"/>
    <w:tmpl w:val="1348036C"/>
    <w:lvl w:ilvl="0" w:tplc="18090001">
      <w:start w:val="1"/>
      <w:numFmt w:val="bullet"/>
      <w:lvlText w:val=""/>
      <w:lvlJc w:val="left"/>
      <w:pPr>
        <w:ind w:left="720" w:hanging="360"/>
      </w:pPr>
      <w:rPr>
        <w:rFonts w:ascii="Segoe UI Emoji" w:hAnsi="Segoe UI Emoji" w:hint="default"/>
      </w:rPr>
    </w:lvl>
    <w:lvl w:ilvl="1" w:tplc="1CC29F7A">
      <w:start w:val="1"/>
      <w:numFmt w:val="bullet"/>
      <w:lvlText w:val="o"/>
      <w:lvlJc w:val="left"/>
      <w:pPr>
        <w:ind w:left="1440" w:hanging="360"/>
      </w:pPr>
      <w:rPr>
        <w:rFonts w:ascii="Segoe UI Emoji" w:hAnsi="Segoe UI Emoji" w:hint="default"/>
      </w:rPr>
    </w:lvl>
    <w:lvl w:ilvl="2" w:tplc="AF805360">
      <w:start w:val="1"/>
      <w:numFmt w:val="bullet"/>
      <w:lvlText w:val=""/>
      <w:lvlJc w:val="left"/>
      <w:pPr>
        <w:ind w:left="2160" w:hanging="360"/>
      </w:pPr>
      <w:rPr>
        <w:rFonts w:ascii="@MS Mincho" w:hAnsi="@MS Mincho" w:hint="default"/>
      </w:rPr>
    </w:lvl>
    <w:lvl w:ilvl="3" w:tplc="DE9C8254">
      <w:start w:val="1"/>
      <w:numFmt w:val="bullet"/>
      <w:lvlText w:val=""/>
      <w:lvlJc w:val="left"/>
      <w:pPr>
        <w:ind w:left="2880" w:hanging="360"/>
      </w:pPr>
      <w:rPr>
        <w:rFonts w:ascii="Times New Roman félkövér" w:hAnsi="Times New Roman félkövér" w:hint="default"/>
      </w:rPr>
    </w:lvl>
    <w:lvl w:ilvl="4" w:tplc="6A00F8A0">
      <w:start w:val="1"/>
      <w:numFmt w:val="bullet"/>
      <w:lvlText w:val="o"/>
      <w:lvlJc w:val="left"/>
      <w:pPr>
        <w:ind w:left="3600" w:hanging="360"/>
      </w:pPr>
      <w:rPr>
        <w:rFonts w:ascii="Segoe UI Emoji" w:hAnsi="Segoe UI Emoji" w:hint="default"/>
      </w:rPr>
    </w:lvl>
    <w:lvl w:ilvl="5" w:tplc="AA06549C">
      <w:start w:val="1"/>
      <w:numFmt w:val="bullet"/>
      <w:lvlText w:val=""/>
      <w:lvlJc w:val="left"/>
      <w:pPr>
        <w:ind w:left="4320" w:hanging="360"/>
      </w:pPr>
      <w:rPr>
        <w:rFonts w:ascii="@MS Mincho" w:hAnsi="@MS Mincho" w:hint="default"/>
      </w:rPr>
    </w:lvl>
    <w:lvl w:ilvl="6" w:tplc="763448EE">
      <w:start w:val="1"/>
      <w:numFmt w:val="bullet"/>
      <w:lvlText w:val=""/>
      <w:lvlJc w:val="left"/>
      <w:pPr>
        <w:ind w:left="5040" w:hanging="360"/>
      </w:pPr>
      <w:rPr>
        <w:rFonts w:ascii="Times New Roman félkövér" w:hAnsi="Times New Roman félkövér" w:hint="default"/>
      </w:rPr>
    </w:lvl>
    <w:lvl w:ilvl="7" w:tplc="6ADE6886">
      <w:start w:val="1"/>
      <w:numFmt w:val="bullet"/>
      <w:lvlText w:val="o"/>
      <w:lvlJc w:val="left"/>
      <w:pPr>
        <w:ind w:left="5760" w:hanging="360"/>
      </w:pPr>
      <w:rPr>
        <w:rFonts w:ascii="Segoe UI Emoji" w:hAnsi="Segoe UI Emoji" w:hint="default"/>
      </w:rPr>
    </w:lvl>
    <w:lvl w:ilvl="8" w:tplc="68446ED0">
      <w:start w:val="1"/>
      <w:numFmt w:val="bullet"/>
      <w:lvlText w:val=""/>
      <w:lvlJc w:val="left"/>
      <w:pPr>
        <w:ind w:left="6480" w:hanging="360"/>
      </w:pPr>
      <w:rPr>
        <w:rFonts w:ascii="@MS Mincho" w:hAnsi="@MS Mincho" w:hint="default"/>
      </w:rPr>
    </w:lvl>
  </w:abstractNum>
  <w:abstractNum w:abstractNumId="40" w15:restartNumberingAfterBreak="0">
    <w:nsid w:val="2D560457"/>
    <w:multiLevelType w:val="hybridMultilevel"/>
    <w:tmpl w:val="41DE5612"/>
    <w:lvl w:ilvl="0" w:tplc="F9B098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AB5CF0"/>
    <w:multiLevelType w:val="hybridMultilevel"/>
    <w:tmpl w:val="4C723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20A6796"/>
    <w:multiLevelType w:val="hybridMultilevel"/>
    <w:tmpl w:val="7C288002"/>
    <w:lvl w:ilvl="0" w:tplc="991C3E1E">
      <w:start w:val="1"/>
      <w:numFmt w:val="bullet"/>
      <w:lvlText w:val="-"/>
      <w:lvlJc w:val="left"/>
      <w:pPr>
        <w:ind w:left="1080" w:hanging="72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32E83EEB"/>
    <w:multiLevelType w:val="hybridMultilevel"/>
    <w:tmpl w:val="DBDC485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374D93"/>
    <w:multiLevelType w:val="hybridMultilevel"/>
    <w:tmpl w:val="1ADE3B4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45" w15:restartNumberingAfterBreak="0">
    <w:nsid w:val="39A060BB"/>
    <w:multiLevelType w:val="hybridMultilevel"/>
    <w:tmpl w:val="6F16191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6423A5"/>
    <w:multiLevelType w:val="hybridMultilevel"/>
    <w:tmpl w:val="604E2C64"/>
    <w:lvl w:ilvl="0" w:tplc="991C3E1E">
      <w:start w:val="1"/>
      <w:numFmt w:val="bullet"/>
      <w:lvlText w:val="-"/>
      <w:lvlJc w:val="left"/>
      <w:pPr>
        <w:ind w:left="1080" w:hanging="72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3C1FBB88"/>
    <w:multiLevelType w:val="hybridMultilevel"/>
    <w:tmpl w:val="FFFFFFFF"/>
    <w:lvl w:ilvl="0" w:tplc="D6EEFA86">
      <w:start w:val="1"/>
      <w:numFmt w:val="bullet"/>
      <w:lvlText w:val=""/>
      <w:lvlJc w:val="left"/>
      <w:pPr>
        <w:ind w:left="720" w:hanging="360"/>
      </w:pPr>
      <w:rPr>
        <w:rFonts w:ascii="Symbol" w:hAnsi="Symbol" w:hint="default"/>
      </w:rPr>
    </w:lvl>
    <w:lvl w:ilvl="1" w:tplc="9A541C76">
      <w:start w:val="1"/>
      <w:numFmt w:val="bullet"/>
      <w:lvlText w:val="o"/>
      <w:lvlJc w:val="left"/>
      <w:pPr>
        <w:ind w:left="1440" w:hanging="360"/>
      </w:pPr>
      <w:rPr>
        <w:rFonts w:ascii="Courier New" w:hAnsi="Courier New" w:hint="default"/>
      </w:rPr>
    </w:lvl>
    <w:lvl w:ilvl="2" w:tplc="4B103328">
      <w:start w:val="1"/>
      <w:numFmt w:val="bullet"/>
      <w:lvlText w:val=""/>
      <w:lvlJc w:val="left"/>
      <w:pPr>
        <w:ind w:left="2160" w:hanging="360"/>
      </w:pPr>
      <w:rPr>
        <w:rFonts w:ascii="Wingdings" w:hAnsi="Wingdings" w:hint="default"/>
      </w:rPr>
    </w:lvl>
    <w:lvl w:ilvl="3" w:tplc="CEEE1B2E">
      <w:start w:val="1"/>
      <w:numFmt w:val="bullet"/>
      <w:lvlText w:val=""/>
      <w:lvlJc w:val="left"/>
      <w:pPr>
        <w:ind w:left="2880" w:hanging="360"/>
      </w:pPr>
      <w:rPr>
        <w:rFonts w:ascii="Symbol" w:hAnsi="Symbol" w:hint="default"/>
      </w:rPr>
    </w:lvl>
    <w:lvl w:ilvl="4" w:tplc="37C0319C">
      <w:start w:val="1"/>
      <w:numFmt w:val="bullet"/>
      <w:lvlText w:val="o"/>
      <w:lvlJc w:val="left"/>
      <w:pPr>
        <w:ind w:left="3600" w:hanging="360"/>
      </w:pPr>
      <w:rPr>
        <w:rFonts w:ascii="Courier New" w:hAnsi="Courier New" w:hint="default"/>
      </w:rPr>
    </w:lvl>
    <w:lvl w:ilvl="5" w:tplc="81704DB0">
      <w:start w:val="1"/>
      <w:numFmt w:val="bullet"/>
      <w:lvlText w:val=""/>
      <w:lvlJc w:val="left"/>
      <w:pPr>
        <w:ind w:left="4320" w:hanging="360"/>
      </w:pPr>
      <w:rPr>
        <w:rFonts w:ascii="Wingdings" w:hAnsi="Wingdings" w:hint="default"/>
      </w:rPr>
    </w:lvl>
    <w:lvl w:ilvl="6" w:tplc="CE0C449A">
      <w:start w:val="1"/>
      <w:numFmt w:val="bullet"/>
      <w:lvlText w:val=""/>
      <w:lvlJc w:val="left"/>
      <w:pPr>
        <w:ind w:left="5040" w:hanging="360"/>
      </w:pPr>
      <w:rPr>
        <w:rFonts w:ascii="Symbol" w:hAnsi="Symbol" w:hint="default"/>
      </w:rPr>
    </w:lvl>
    <w:lvl w:ilvl="7" w:tplc="567E876E">
      <w:start w:val="1"/>
      <w:numFmt w:val="bullet"/>
      <w:lvlText w:val="o"/>
      <w:lvlJc w:val="left"/>
      <w:pPr>
        <w:ind w:left="5760" w:hanging="360"/>
      </w:pPr>
      <w:rPr>
        <w:rFonts w:ascii="Courier New" w:hAnsi="Courier New" w:hint="default"/>
      </w:rPr>
    </w:lvl>
    <w:lvl w:ilvl="8" w:tplc="26F00DEC">
      <w:start w:val="1"/>
      <w:numFmt w:val="bullet"/>
      <w:lvlText w:val=""/>
      <w:lvlJc w:val="left"/>
      <w:pPr>
        <w:ind w:left="6480" w:hanging="360"/>
      </w:pPr>
      <w:rPr>
        <w:rFonts w:ascii="Wingdings" w:hAnsi="Wingdings" w:hint="default"/>
      </w:rPr>
    </w:lvl>
  </w:abstractNum>
  <w:abstractNum w:abstractNumId="48" w15:restartNumberingAfterBreak="0">
    <w:nsid w:val="3CFD68E5"/>
    <w:multiLevelType w:val="hybridMultilevel"/>
    <w:tmpl w:val="B650A786"/>
    <w:lvl w:ilvl="0" w:tplc="1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49" w15:restartNumberingAfterBreak="0">
    <w:nsid w:val="400A7B18"/>
    <w:multiLevelType w:val="multilevel"/>
    <w:tmpl w:val="2F7AC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021A52"/>
    <w:multiLevelType w:val="hybridMultilevel"/>
    <w:tmpl w:val="D736BEA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E4070A"/>
    <w:multiLevelType w:val="hybridMultilevel"/>
    <w:tmpl w:val="59AC8B4E"/>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4" w15:restartNumberingAfterBreak="0">
    <w:nsid w:val="432C32C9"/>
    <w:multiLevelType w:val="multilevel"/>
    <w:tmpl w:val="6136D4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A30E35"/>
    <w:multiLevelType w:val="hybridMultilevel"/>
    <w:tmpl w:val="541044B2"/>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A72B3A"/>
    <w:multiLevelType w:val="hybridMultilevel"/>
    <w:tmpl w:val="AFCC963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3B1786A"/>
    <w:multiLevelType w:val="hybridMultilevel"/>
    <w:tmpl w:val="0AA84568"/>
    <w:lvl w:ilvl="0" w:tplc="18090001">
      <w:start w:val="1"/>
      <w:numFmt w:val="bullet"/>
      <w:lvlText w:val=""/>
      <w:lvlJc w:val="left"/>
      <w:pPr>
        <w:ind w:left="720" w:hanging="360"/>
      </w:pPr>
      <w:rPr>
        <w:rFonts w:ascii="Symbol" w:hAnsi="Symbol" w:hint="default"/>
        <w:sz w:val="20"/>
        <w:szCs w:val="20"/>
      </w:rPr>
    </w:lvl>
    <w:lvl w:ilvl="1" w:tplc="260E68B2">
      <w:start w:val="1"/>
      <w:numFmt w:val="bullet"/>
      <w:lvlText w:val="o"/>
      <w:lvlJc w:val="left"/>
      <w:pPr>
        <w:ind w:left="1440" w:hanging="360"/>
      </w:pPr>
      <w:rPr>
        <w:rFonts w:ascii="Segoe UI Emoji" w:hAnsi="Segoe UI Emoji" w:hint="default"/>
      </w:rPr>
    </w:lvl>
    <w:lvl w:ilvl="2" w:tplc="E0024634">
      <w:start w:val="1"/>
      <w:numFmt w:val="bullet"/>
      <w:lvlText w:val=""/>
      <w:lvlJc w:val="left"/>
      <w:pPr>
        <w:ind w:left="2160" w:hanging="360"/>
      </w:pPr>
      <w:rPr>
        <w:rFonts w:ascii="@MS Mincho" w:hAnsi="@MS Mincho" w:hint="default"/>
      </w:rPr>
    </w:lvl>
    <w:lvl w:ilvl="3" w:tplc="92FC7814">
      <w:start w:val="1"/>
      <w:numFmt w:val="bullet"/>
      <w:lvlText w:val=""/>
      <w:lvlJc w:val="left"/>
      <w:pPr>
        <w:ind w:left="2880" w:hanging="360"/>
      </w:pPr>
      <w:rPr>
        <w:rFonts w:ascii="Times New Roman félkövér" w:hAnsi="Times New Roman félkövér" w:hint="default"/>
      </w:rPr>
    </w:lvl>
    <w:lvl w:ilvl="4" w:tplc="0D4A42B8">
      <w:start w:val="1"/>
      <w:numFmt w:val="bullet"/>
      <w:lvlText w:val="o"/>
      <w:lvlJc w:val="left"/>
      <w:pPr>
        <w:ind w:left="3600" w:hanging="360"/>
      </w:pPr>
      <w:rPr>
        <w:rFonts w:ascii="Segoe UI Emoji" w:hAnsi="Segoe UI Emoji" w:hint="default"/>
      </w:rPr>
    </w:lvl>
    <w:lvl w:ilvl="5" w:tplc="E1DAE3B8">
      <w:start w:val="1"/>
      <w:numFmt w:val="bullet"/>
      <w:lvlText w:val=""/>
      <w:lvlJc w:val="left"/>
      <w:pPr>
        <w:ind w:left="4320" w:hanging="360"/>
      </w:pPr>
      <w:rPr>
        <w:rFonts w:ascii="@MS Mincho" w:hAnsi="@MS Mincho" w:hint="default"/>
      </w:rPr>
    </w:lvl>
    <w:lvl w:ilvl="6" w:tplc="8DB4CBD2">
      <w:start w:val="1"/>
      <w:numFmt w:val="bullet"/>
      <w:lvlText w:val=""/>
      <w:lvlJc w:val="left"/>
      <w:pPr>
        <w:ind w:left="5040" w:hanging="360"/>
      </w:pPr>
      <w:rPr>
        <w:rFonts w:ascii="Times New Roman félkövér" w:hAnsi="Times New Roman félkövér" w:hint="default"/>
      </w:rPr>
    </w:lvl>
    <w:lvl w:ilvl="7" w:tplc="BDBA31D6">
      <w:start w:val="1"/>
      <w:numFmt w:val="bullet"/>
      <w:lvlText w:val="o"/>
      <w:lvlJc w:val="left"/>
      <w:pPr>
        <w:ind w:left="5760" w:hanging="360"/>
      </w:pPr>
      <w:rPr>
        <w:rFonts w:ascii="Segoe UI Emoji" w:hAnsi="Segoe UI Emoji" w:hint="default"/>
      </w:rPr>
    </w:lvl>
    <w:lvl w:ilvl="8" w:tplc="270C7E80">
      <w:start w:val="1"/>
      <w:numFmt w:val="bullet"/>
      <w:lvlText w:val=""/>
      <w:lvlJc w:val="left"/>
      <w:pPr>
        <w:ind w:left="6480" w:hanging="360"/>
      </w:pPr>
      <w:rPr>
        <w:rFonts w:ascii="@MS Mincho" w:hAnsi="@MS Mincho" w:hint="default"/>
      </w:rPr>
    </w:lvl>
  </w:abstractNum>
  <w:abstractNum w:abstractNumId="58" w15:restartNumberingAfterBreak="0">
    <w:nsid w:val="44136177"/>
    <w:multiLevelType w:val="hybridMultilevel"/>
    <w:tmpl w:val="D31ECAFC"/>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0" w15:restartNumberingAfterBreak="0">
    <w:nsid w:val="456A440E"/>
    <w:multiLevelType w:val="hybridMultilevel"/>
    <w:tmpl w:val="193469B6"/>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6A236D"/>
    <w:multiLevelType w:val="hybridMultilevel"/>
    <w:tmpl w:val="DC487180"/>
    <w:lvl w:ilvl="0" w:tplc="991C3E1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8477D5B"/>
    <w:multiLevelType w:val="hybridMultilevel"/>
    <w:tmpl w:val="A41A242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5C3822"/>
    <w:multiLevelType w:val="hybridMultilevel"/>
    <w:tmpl w:val="4BB007BE"/>
    <w:lvl w:ilvl="0" w:tplc="08160001">
      <w:start w:val="1"/>
      <w:numFmt w:val="bullet"/>
      <w:lvlText w:val=""/>
      <w:lvlJc w:val="left"/>
      <w:pPr>
        <w:ind w:left="6881"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4" w15:restartNumberingAfterBreak="0">
    <w:nsid w:val="4A1837DC"/>
    <w:multiLevelType w:val="multilevel"/>
    <w:tmpl w:val="5ED821E4"/>
    <w:lvl w:ilvl="0">
      <w:start w:val="1"/>
      <w:numFmt w:val="bullet"/>
      <w:lvlText w:val="-"/>
      <w:lvlJc w:val="left"/>
      <w:rPr>
        <w:rFonts w:ascii="Calibri" w:hAnsi="Calibri" w:hint="default"/>
        <w:b w:val="0"/>
        <w:bCs w:val="0"/>
        <w:i w:val="0"/>
        <w:iCs w:val="0"/>
        <w:smallCaps w:val="0"/>
        <w:strike w:val="0"/>
        <w:color w:val="000000"/>
        <w:spacing w:val="0"/>
        <w:w w:val="100"/>
        <w:position w:val="0"/>
        <w:sz w:val="21"/>
        <w:szCs w:val="21"/>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BB3D79"/>
    <w:multiLevelType w:val="hybridMultilevel"/>
    <w:tmpl w:val="C06EC8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MS Mincho" w:hAnsi="@MS Mincho"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MS Mincho" w:hAnsi="@MS Mincho"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MS Mincho" w:hAnsi="@MS Mincho" w:hint="default"/>
      </w:rPr>
    </w:lvl>
    <w:lvl w:ilvl="8" w:tplc="FFFFFFFF">
      <w:start w:val="1"/>
      <w:numFmt w:val="bullet"/>
      <w:lvlText w:val=""/>
      <w:lvlJc w:val="left"/>
      <w:pPr>
        <w:ind w:left="6480" w:hanging="360"/>
      </w:pPr>
      <w:rPr>
        <w:rFonts w:ascii="MS Mincho" w:hAnsi="MS Mincho" w:hint="default"/>
      </w:rPr>
    </w:lvl>
  </w:abstractNum>
  <w:abstractNum w:abstractNumId="66" w15:restartNumberingAfterBreak="0">
    <w:nsid w:val="4B1B1BD9"/>
    <w:multiLevelType w:val="hybridMultilevel"/>
    <w:tmpl w:val="30E29848"/>
    <w:lvl w:ilvl="0" w:tplc="B8D40F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9818A8"/>
    <w:multiLevelType w:val="hybridMultilevel"/>
    <w:tmpl w:val="2FD8C976"/>
    <w:lvl w:ilvl="0" w:tplc="991C3E1E">
      <w:start w:val="1"/>
      <w:numFmt w:val="bullet"/>
      <w:lvlText w:val="-"/>
      <w:lvlJc w:val="left"/>
      <w:pPr>
        <w:ind w:left="720" w:hanging="360"/>
      </w:pPr>
      <w:rPr>
        <w:rFonts w:ascii="Calibri" w:hAnsi="Calibri" w:hint="default"/>
      </w:rPr>
    </w:lvl>
    <w:lvl w:ilvl="1" w:tplc="991C3E1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B12C54"/>
    <w:multiLevelType w:val="hybridMultilevel"/>
    <w:tmpl w:val="FFFFFFFF"/>
    <w:lvl w:ilvl="0" w:tplc="67BE596E">
      <w:start w:val="1"/>
      <w:numFmt w:val="bullet"/>
      <w:lvlText w:val="-"/>
      <w:lvlJc w:val="left"/>
      <w:pPr>
        <w:ind w:left="720" w:hanging="360"/>
      </w:pPr>
      <w:rPr>
        <w:rFonts w:ascii="Calibri" w:hAnsi="Calibri" w:hint="default"/>
      </w:rPr>
    </w:lvl>
    <w:lvl w:ilvl="1" w:tplc="39DCF4AA">
      <w:start w:val="1"/>
      <w:numFmt w:val="bullet"/>
      <w:lvlText w:val="o"/>
      <w:lvlJc w:val="left"/>
      <w:pPr>
        <w:ind w:left="1440" w:hanging="360"/>
      </w:pPr>
      <w:rPr>
        <w:rFonts w:ascii="Courier New" w:hAnsi="Courier New" w:hint="default"/>
      </w:rPr>
    </w:lvl>
    <w:lvl w:ilvl="2" w:tplc="E71A66AE">
      <w:start w:val="1"/>
      <w:numFmt w:val="bullet"/>
      <w:lvlText w:val=""/>
      <w:lvlJc w:val="left"/>
      <w:pPr>
        <w:ind w:left="2160" w:hanging="360"/>
      </w:pPr>
      <w:rPr>
        <w:rFonts w:ascii="Wingdings" w:hAnsi="Wingdings" w:hint="default"/>
      </w:rPr>
    </w:lvl>
    <w:lvl w:ilvl="3" w:tplc="7D04A362">
      <w:start w:val="1"/>
      <w:numFmt w:val="bullet"/>
      <w:lvlText w:val=""/>
      <w:lvlJc w:val="left"/>
      <w:pPr>
        <w:ind w:left="2880" w:hanging="360"/>
      </w:pPr>
      <w:rPr>
        <w:rFonts w:ascii="Symbol" w:hAnsi="Symbol" w:hint="default"/>
      </w:rPr>
    </w:lvl>
    <w:lvl w:ilvl="4" w:tplc="6DBC2DA6">
      <w:start w:val="1"/>
      <w:numFmt w:val="bullet"/>
      <w:lvlText w:val="o"/>
      <w:lvlJc w:val="left"/>
      <w:pPr>
        <w:ind w:left="3600" w:hanging="360"/>
      </w:pPr>
      <w:rPr>
        <w:rFonts w:ascii="Courier New" w:hAnsi="Courier New" w:hint="default"/>
      </w:rPr>
    </w:lvl>
    <w:lvl w:ilvl="5" w:tplc="A5CCEC06">
      <w:start w:val="1"/>
      <w:numFmt w:val="bullet"/>
      <w:lvlText w:val=""/>
      <w:lvlJc w:val="left"/>
      <w:pPr>
        <w:ind w:left="4320" w:hanging="360"/>
      </w:pPr>
      <w:rPr>
        <w:rFonts w:ascii="Wingdings" w:hAnsi="Wingdings" w:hint="default"/>
      </w:rPr>
    </w:lvl>
    <w:lvl w:ilvl="6" w:tplc="2BEEA494">
      <w:start w:val="1"/>
      <w:numFmt w:val="bullet"/>
      <w:lvlText w:val=""/>
      <w:lvlJc w:val="left"/>
      <w:pPr>
        <w:ind w:left="5040" w:hanging="360"/>
      </w:pPr>
      <w:rPr>
        <w:rFonts w:ascii="Symbol" w:hAnsi="Symbol" w:hint="default"/>
      </w:rPr>
    </w:lvl>
    <w:lvl w:ilvl="7" w:tplc="5B7C1BD2">
      <w:start w:val="1"/>
      <w:numFmt w:val="bullet"/>
      <w:lvlText w:val="o"/>
      <w:lvlJc w:val="left"/>
      <w:pPr>
        <w:ind w:left="5760" w:hanging="360"/>
      </w:pPr>
      <w:rPr>
        <w:rFonts w:ascii="Courier New" w:hAnsi="Courier New" w:hint="default"/>
      </w:rPr>
    </w:lvl>
    <w:lvl w:ilvl="8" w:tplc="BE265C54">
      <w:start w:val="1"/>
      <w:numFmt w:val="bullet"/>
      <w:lvlText w:val=""/>
      <w:lvlJc w:val="left"/>
      <w:pPr>
        <w:ind w:left="6480" w:hanging="360"/>
      </w:pPr>
      <w:rPr>
        <w:rFonts w:ascii="Wingdings" w:hAnsi="Wingdings" w:hint="default"/>
      </w:rPr>
    </w:lvl>
  </w:abstractNum>
  <w:abstractNum w:abstractNumId="69" w15:restartNumberingAfterBreak="0">
    <w:nsid w:val="4ED0C028"/>
    <w:multiLevelType w:val="hybridMultilevel"/>
    <w:tmpl w:val="FFFFFFFF"/>
    <w:lvl w:ilvl="0" w:tplc="70B664EC">
      <w:start w:val="1"/>
      <w:numFmt w:val="bullet"/>
      <w:lvlText w:val=""/>
      <w:lvlJc w:val="left"/>
      <w:pPr>
        <w:ind w:left="720" w:hanging="360"/>
      </w:pPr>
      <w:rPr>
        <w:rFonts w:ascii="Symbol" w:hAnsi="Symbol" w:hint="default"/>
      </w:rPr>
    </w:lvl>
    <w:lvl w:ilvl="1" w:tplc="229C186A">
      <w:start w:val="1"/>
      <w:numFmt w:val="bullet"/>
      <w:lvlText w:val="o"/>
      <w:lvlJc w:val="left"/>
      <w:pPr>
        <w:ind w:left="1440" w:hanging="360"/>
      </w:pPr>
      <w:rPr>
        <w:rFonts w:ascii="Courier New" w:hAnsi="Courier New" w:hint="default"/>
      </w:rPr>
    </w:lvl>
    <w:lvl w:ilvl="2" w:tplc="DEAAE380">
      <w:start w:val="1"/>
      <w:numFmt w:val="bullet"/>
      <w:lvlText w:val=""/>
      <w:lvlJc w:val="left"/>
      <w:pPr>
        <w:ind w:left="2160" w:hanging="360"/>
      </w:pPr>
      <w:rPr>
        <w:rFonts w:ascii="Wingdings" w:hAnsi="Wingdings" w:hint="default"/>
      </w:rPr>
    </w:lvl>
    <w:lvl w:ilvl="3" w:tplc="3A6A8586">
      <w:start w:val="1"/>
      <w:numFmt w:val="bullet"/>
      <w:lvlText w:val=""/>
      <w:lvlJc w:val="left"/>
      <w:pPr>
        <w:ind w:left="2880" w:hanging="360"/>
      </w:pPr>
      <w:rPr>
        <w:rFonts w:ascii="Symbol" w:hAnsi="Symbol" w:hint="default"/>
      </w:rPr>
    </w:lvl>
    <w:lvl w:ilvl="4" w:tplc="0652EBEC">
      <w:start w:val="1"/>
      <w:numFmt w:val="bullet"/>
      <w:lvlText w:val="o"/>
      <w:lvlJc w:val="left"/>
      <w:pPr>
        <w:ind w:left="3600" w:hanging="360"/>
      </w:pPr>
      <w:rPr>
        <w:rFonts w:ascii="Courier New" w:hAnsi="Courier New" w:hint="default"/>
      </w:rPr>
    </w:lvl>
    <w:lvl w:ilvl="5" w:tplc="61A2DDD2">
      <w:start w:val="1"/>
      <w:numFmt w:val="bullet"/>
      <w:lvlText w:val=""/>
      <w:lvlJc w:val="left"/>
      <w:pPr>
        <w:ind w:left="4320" w:hanging="360"/>
      </w:pPr>
      <w:rPr>
        <w:rFonts w:ascii="Wingdings" w:hAnsi="Wingdings" w:hint="default"/>
      </w:rPr>
    </w:lvl>
    <w:lvl w:ilvl="6" w:tplc="53E013E6">
      <w:start w:val="1"/>
      <w:numFmt w:val="bullet"/>
      <w:lvlText w:val=""/>
      <w:lvlJc w:val="left"/>
      <w:pPr>
        <w:ind w:left="5040" w:hanging="360"/>
      </w:pPr>
      <w:rPr>
        <w:rFonts w:ascii="Symbol" w:hAnsi="Symbol" w:hint="default"/>
      </w:rPr>
    </w:lvl>
    <w:lvl w:ilvl="7" w:tplc="E646C87C">
      <w:start w:val="1"/>
      <w:numFmt w:val="bullet"/>
      <w:lvlText w:val="o"/>
      <w:lvlJc w:val="left"/>
      <w:pPr>
        <w:ind w:left="5760" w:hanging="360"/>
      </w:pPr>
      <w:rPr>
        <w:rFonts w:ascii="Courier New" w:hAnsi="Courier New" w:hint="default"/>
      </w:rPr>
    </w:lvl>
    <w:lvl w:ilvl="8" w:tplc="D16C9752">
      <w:start w:val="1"/>
      <w:numFmt w:val="bullet"/>
      <w:lvlText w:val=""/>
      <w:lvlJc w:val="left"/>
      <w:pPr>
        <w:ind w:left="6480" w:hanging="360"/>
      </w:pPr>
      <w:rPr>
        <w:rFonts w:ascii="Wingdings" w:hAnsi="Wingdings" w:hint="default"/>
      </w:rPr>
    </w:lvl>
  </w:abstractNum>
  <w:abstractNum w:abstractNumId="70" w15:restartNumberingAfterBreak="0">
    <w:nsid w:val="5193D5D3"/>
    <w:multiLevelType w:val="hybridMultilevel"/>
    <w:tmpl w:val="FFFFFFFF"/>
    <w:lvl w:ilvl="0" w:tplc="D2221486">
      <w:start w:val="1"/>
      <w:numFmt w:val="bullet"/>
      <w:lvlText w:val="-"/>
      <w:lvlJc w:val="left"/>
      <w:pPr>
        <w:ind w:left="720" w:hanging="360"/>
      </w:pPr>
      <w:rPr>
        <w:rFonts w:ascii="Calibri" w:hAnsi="Calibri" w:hint="default"/>
      </w:rPr>
    </w:lvl>
    <w:lvl w:ilvl="1" w:tplc="CB146F18">
      <w:start w:val="1"/>
      <w:numFmt w:val="bullet"/>
      <w:lvlText w:val="o"/>
      <w:lvlJc w:val="left"/>
      <w:pPr>
        <w:ind w:left="1440" w:hanging="360"/>
      </w:pPr>
      <w:rPr>
        <w:rFonts w:ascii="Courier New" w:hAnsi="Courier New" w:hint="default"/>
      </w:rPr>
    </w:lvl>
    <w:lvl w:ilvl="2" w:tplc="51661310">
      <w:start w:val="1"/>
      <w:numFmt w:val="bullet"/>
      <w:lvlText w:val=""/>
      <w:lvlJc w:val="left"/>
      <w:pPr>
        <w:ind w:left="2160" w:hanging="360"/>
      </w:pPr>
      <w:rPr>
        <w:rFonts w:ascii="Wingdings" w:hAnsi="Wingdings" w:hint="default"/>
      </w:rPr>
    </w:lvl>
    <w:lvl w:ilvl="3" w:tplc="906C137C">
      <w:start w:val="1"/>
      <w:numFmt w:val="bullet"/>
      <w:lvlText w:val=""/>
      <w:lvlJc w:val="left"/>
      <w:pPr>
        <w:ind w:left="2880" w:hanging="360"/>
      </w:pPr>
      <w:rPr>
        <w:rFonts w:ascii="Symbol" w:hAnsi="Symbol" w:hint="default"/>
      </w:rPr>
    </w:lvl>
    <w:lvl w:ilvl="4" w:tplc="EB9A1A44">
      <w:start w:val="1"/>
      <w:numFmt w:val="bullet"/>
      <w:lvlText w:val="o"/>
      <w:lvlJc w:val="left"/>
      <w:pPr>
        <w:ind w:left="3600" w:hanging="360"/>
      </w:pPr>
      <w:rPr>
        <w:rFonts w:ascii="Courier New" w:hAnsi="Courier New" w:hint="default"/>
      </w:rPr>
    </w:lvl>
    <w:lvl w:ilvl="5" w:tplc="F35E1ABE">
      <w:start w:val="1"/>
      <w:numFmt w:val="bullet"/>
      <w:lvlText w:val=""/>
      <w:lvlJc w:val="left"/>
      <w:pPr>
        <w:ind w:left="4320" w:hanging="360"/>
      </w:pPr>
      <w:rPr>
        <w:rFonts w:ascii="Wingdings" w:hAnsi="Wingdings" w:hint="default"/>
      </w:rPr>
    </w:lvl>
    <w:lvl w:ilvl="6" w:tplc="2EFE484C">
      <w:start w:val="1"/>
      <w:numFmt w:val="bullet"/>
      <w:lvlText w:val=""/>
      <w:lvlJc w:val="left"/>
      <w:pPr>
        <w:ind w:left="5040" w:hanging="360"/>
      </w:pPr>
      <w:rPr>
        <w:rFonts w:ascii="Symbol" w:hAnsi="Symbol" w:hint="default"/>
      </w:rPr>
    </w:lvl>
    <w:lvl w:ilvl="7" w:tplc="FC420202">
      <w:start w:val="1"/>
      <w:numFmt w:val="bullet"/>
      <w:lvlText w:val="o"/>
      <w:lvlJc w:val="left"/>
      <w:pPr>
        <w:ind w:left="5760" w:hanging="360"/>
      </w:pPr>
      <w:rPr>
        <w:rFonts w:ascii="Courier New" w:hAnsi="Courier New" w:hint="default"/>
      </w:rPr>
    </w:lvl>
    <w:lvl w:ilvl="8" w:tplc="4B182AFA">
      <w:start w:val="1"/>
      <w:numFmt w:val="bullet"/>
      <w:lvlText w:val=""/>
      <w:lvlJc w:val="left"/>
      <w:pPr>
        <w:ind w:left="6480" w:hanging="360"/>
      </w:pPr>
      <w:rPr>
        <w:rFonts w:ascii="Wingdings" w:hAnsi="Wingdings" w:hint="default"/>
      </w:rPr>
    </w:lvl>
  </w:abstractNum>
  <w:abstractNum w:abstractNumId="71" w15:restartNumberingAfterBreak="0">
    <w:nsid w:val="546F43D9"/>
    <w:multiLevelType w:val="hybridMultilevel"/>
    <w:tmpl w:val="FFFFFFFF"/>
    <w:lvl w:ilvl="0" w:tplc="601C9C88">
      <w:start w:val="6"/>
      <w:numFmt w:val="decimal"/>
      <w:lvlText w:val="%1."/>
      <w:lvlJc w:val="left"/>
      <w:pPr>
        <w:ind w:left="720" w:hanging="360"/>
      </w:pPr>
      <w:rPr>
        <w:rFonts w:ascii="Arial" w:hAnsi="Arial" w:hint="default"/>
      </w:rPr>
    </w:lvl>
    <w:lvl w:ilvl="1" w:tplc="BC4A186E">
      <w:start w:val="1"/>
      <w:numFmt w:val="lowerLetter"/>
      <w:lvlText w:val="%2."/>
      <w:lvlJc w:val="left"/>
      <w:pPr>
        <w:ind w:left="1440" w:hanging="360"/>
      </w:pPr>
    </w:lvl>
    <w:lvl w:ilvl="2" w:tplc="98BA893C">
      <w:start w:val="1"/>
      <w:numFmt w:val="lowerRoman"/>
      <w:lvlText w:val="%3."/>
      <w:lvlJc w:val="right"/>
      <w:pPr>
        <w:ind w:left="2160" w:hanging="180"/>
      </w:pPr>
    </w:lvl>
    <w:lvl w:ilvl="3" w:tplc="6484B7FA">
      <w:start w:val="1"/>
      <w:numFmt w:val="decimal"/>
      <w:lvlText w:val="%4."/>
      <w:lvlJc w:val="left"/>
      <w:pPr>
        <w:ind w:left="2880" w:hanging="360"/>
      </w:pPr>
    </w:lvl>
    <w:lvl w:ilvl="4" w:tplc="7374820E">
      <w:start w:val="1"/>
      <w:numFmt w:val="lowerLetter"/>
      <w:lvlText w:val="%5."/>
      <w:lvlJc w:val="left"/>
      <w:pPr>
        <w:ind w:left="3600" w:hanging="360"/>
      </w:pPr>
    </w:lvl>
    <w:lvl w:ilvl="5" w:tplc="CEC29C34">
      <w:start w:val="1"/>
      <w:numFmt w:val="lowerRoman"/>
      <w:lvlText w:val="%6."/>
      <w:lvlJc w:val="right"/>
      <w:pPr>
        <w:ind w:left="4320" w:hanging="180"/>
      </w:pPr>
    </w:lvl>
    <w:lvl w:ilvl="6" w:tplc="23CA4A52">
      <w:start w:val="1"/>
      <w:numFmt w:val="decimal"/>
      <w:lvlText w:val="%7."/>
      <w:lvlJc w:val="left"/>
      <w:pPr>
        <w:ind w:left="5040" w:hanging="360"/>
      </w:pPr>
    </w:lvl>
    <w:lvl w:ilvl="7" w:tplc="B5A617FE">
      <w:start w:val="1"/>
      <w:numFmt w:val="lowerLetter"/>
      <w:lvlText w:val="%8."/>
      <w:lvlJc w:val="left"/>
      <w:pPr>
        <w:ind w:left="5760" w:hanging="360"/>
      </w:pPr>
    </w:lvl>
    <w:lvl w:ilvl="8" w:tplc="EF2CE8C4">
      <w:start w:val="1"/>
      <w:numFmt w:val="lowerRoman"/>
      <w:lvlText w:val="%9."/>
      <w:lvlJc w:val="right"/>
      <w:pPr>
        <w:ind w:left="6480" w:hanging="180"/>
      </w:pPr>
    </w:lvl>
  </w:abstractNum>
  <w:abstractNum w:abstractNumId="72" w15:restartNumberingAfterBreak="0">
    <w:nsid w:val="5562828A"/>
    <w:multiLevelType w:val="hybridMultilevel"/>
    <w:tmpl w:val="FFFFFFFF"/>
    <w:lvl w:ilvl="0" w:tplc="98AED4AE">
      <w:start w:val="1"/>
      <w:numFmt w:val="bullet"/>
      <w:lvlText w:val="-"/>
      <w:lvlJc w:val="left"/>
      <w:pPr>
        <w:ind w:left="720" w:hanging="360"/>
      </w:pPr>
      <w:rPr>
        <w:rFonts w:ascii="Calibri" w:hAnsi="Calibri" w:hint="default"/>
      </w:rPr>
    </w:lvl>
    <w:lvl w:ilvl="1" w:tplc="9184ECD6">
      <w:start w:val="1"/>
      <w:numFmt w:val="bullet"/>
      <w:lvlText w:val="o"/>
      <w:lvlJc w:val="left"/>
      <w:pPr>
        <w:ind w:left="1440" w:hanging="360"/>
      </w:pPr>
      <w:rPr>
        <w:rFonts w:ascii="Courier New" w:hAnsi="Courier New" w:hint="default"/>
      </w:rPr>
    </w:lvl>
    <w:lvl w:ilvl="2" w:tplc="5F6E988E">
      <w:start w:val="1"/>
      <w:numFmt w:val="bullet"/>
      <w:lvlText w:val=""/>
      <w:lvlJc w:val="left"/>
      <w:pPr>
        <w:ind w:left="2160" w:hanging="360"/>
      </w:pPr>
      <w:rPr>
        <w:rFonts w:ascii="Wingdings" w:hAnsi="Wingdings" w:hint="default"/>
      </w:rPr>
    </w:lvl>
    <w:lvl w:ilvl="3" w:tplc="180828B2">
      <w:start w:val="1"/>
      <w:numFmt w:val="bullet"/>
      <w:lvlText w:val=""/>
      <w:lvlJc w:val="left"/>
      <w:pPr>
        <w:ind w:left="2880" w:hanging="360"/>
      </w:pPr>
      <w:rPr>
        <w:rFonts w:ascii="Symbol" w:hAnsi="Symbol" w:hint="default"/>
      </w:rPr>
    </w:lvl>
    <w:lvl w:ilvl="4" w:tplc="90082408">
      <w:start w:val="1"/>
      <w:numFmt w:val="bullet"/>
      <w:lvlText w:val="o"/>
      <w:lvlJc w:val="left"/>
      <w:pPr>
        <w:ind w:left="3600" w:hanging="360"/>
      </w:pPr>
      <w:rPr>
        <w:rFonts w:ascii="Courier New" w:hAnsi="Courier New" w:hint="default"/>
      </w:rPr>
    </w:lvl>
    <w:lvl w:ilvl="5" w:tplc="BCE087CA">
      <w:start w:val="1"/>
      <w:numFmt w:val="bullet"/>
      <w:lvlText w:val=""/>
      <w:lvlJc w:val="left"/>
      <w:pPr>
        <w:ind w:left="4320" w:hanging="360"/>
      </w:pPr>
      <w:rPr>
        <w:rFonts w:ascii="Wingdings" w:hAnsi="Wingdings" w:hint="default"/>
      </w:rPr>
    </w:lvl>
    <w:lvl w:ilvl="6" w:tplc="EEC8FCD8">
      <w:start w:val="1"/>
      <w:numFmt w:val="bullet"/>
      <w:lvlText w:val=""/>
      <w:lvlJc w:val="left"/>
      <w:pPr>
        <w:ind w:left="5040" w:hanging="360"/>
      </w:pPr>
      <w:rPr>
        <w:rFonts w:ascii="Symbol" w:hAnsi="Symbol" w:hint="default"/>
      </w:rPr>
    </w:lvl>
    <w:lvl w:ilvl="7" w:tplc="A46C5D0E">
      <w:start w:val="1"/>
      <w:numFmt w:val="bullet"/>
      <w:lvlText w:val="o"/>
      <w:lvlJc w:val="left"/>
      <w:pPr>
        <w:ind w:left="5760" w:hanging="360"/>
      </w:pPr>
      <w:rPr>
        <w:rFonts w:ascii="Courier New" w:hAnsi="Courier New" w:hint="default"/>
      </w:rPr>
    </w:lvl>
    <w:lvl w:ilvl="8" w:tplc="3E50D7EC">
      <w:start w:val="1"/>
      <w:numFmt w:val="bullet"/>
      <w:lvlText w:val=""/>
      <w:lvlJc w:val="left"/>
      <w:pPr>
        <w:ind w:left="6480" w:hanging="360"/>
      </w:pPr>
      <w:rPr>
        <w:rFonts w:ascii="Wingdings" w:hAnsi="Wingdings" w:hint="default"/>
      </w:rPr>
    </w:lvl>
  </w:abstractNum>
  <w:abstractNum w:abstractNumId="7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4" w15:restartNumberingAfterBreak="0">
    <w:nsid w:val="55722B6B"/>
    <w:multiLevelType w:val="hybridMultilevel"/>
    <w:tmpl w:val="B8C4C9B2"/>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C806B2"/>
    <w:multiLevelType w:val="hybridMultilevel"/>
    <w:tmpl w:val="29FE3B06"/>
    <w:lvl w:ilvl="0" w:tplc="FFFFFFFF">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7" w15:restartNumberingAfterBreak="0">
    <w:nsid w:val="5B61650C"/>
    <w:multiLevelType w:val="hybridMultilevel"/>
    <w:tmpl w:val="3BAED582"/>
    <w:lvl w:ilvl="0" w:tplc="18090001">
      <w:start w:val="1"/>
      <w:numFmt w:val="bullet"/>
      <w:lvlText w:val=""/>
      <w:lvlJc w:val="left"/>
      <w:pPr>
        <w:ind w:left="720" w:hanging="360"/>
      </w:pPr>
      <w:rPr>
        <w:rFonts w:ascii="MS Mincho" w:hAnsi="MS Mincho"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78" w15:restartNumberingAfterBreak="0">
    <w:nsid w:val="5B7B4212"/>
    <w:multiLevelType w:val="hybridMultilevel"/>
    <w:tmpl w:val="FFFFFFFF"/>
    <w:lvl w:ilvl="0" w:tplc="5584427E">
      <w:start w:val="1"/>
      <w:numFmt w:val="bullet"/>
      <w:lvlText w:val="-"/>
      <w:lvlJc w:val="left"/>
      <w:pPr>
        <w:ind w:left="720" w:hanging="360"/>
      </w:pPr>
      <w:rPr>
        <w:rFonts w:ascii="Yu Mincho Light" w:hAnsi="Yu Mincho Light" w:hint="default"/>
      </w:rPr>
    </w:lvl>
    <w:lvl w:ilvl="1" w:tplc="70109100">
      <w:start w:val="1"/>
      <w:numFmt w:val="bullet"/>
      <w:lvlText w:val="o"/>
      <w:lvlJc w:val="left"/>
      <w:pPr>
        <w:ind w:left="1440" w:hanging="360"/>
      </w:pPr>
      <w:rPr>
        <w:rFonts w:ascii="@MS Mincho" w:hAnsi="@MS Mincho" w:hint="default"/>
      </w:rPr>
    </w:lvl>
    <w:lvl w:ilvl="2" w:tplc="530A15BE">
      <w:start w:val="1"/>
      <w:numFmt w:val="bullet"/>
      <w:lvlText w:val=""/>
      <w:lvlJc w:val="left"/>
      <w:pPr>
        <w:ind w:left="2160" w:hanging="360"/>
      </w:pPr>
      <w:rPr>
        <w:rFonts w:ascii="MS Mincho" w:hAnsi="MS Mincho" w:hint="default"/>
      </w:rPr>
    </w:lvl>
    <w:lvl w:ilvl="3" w:tplc="9E56B07C">
      <w:start w:val="1"/>
      <w:numFmt w:val="bullet"/>
      <w:lvlText w:val=""/>
      <w:lvlJc w:val="left"/>
      <w:pPr>
        <w:ind w:left="2880" w:hanging="360"/>
      </w:pPr>
      <w:rPr>
        <w:rFonts w:ascii="Times New Roman félkövér" w:hAnsi="Times New Roman félkövér" w:hint="default"/>
      </w:rPr>
    </w:lvl>
    <w:lvl w:ilvl="4" w:tplc="0D1AF1FA">
      <w:start w:val="1"/>
      <w:numFmt w:val="bullet"/>
      <w:lvlText w:val="o"/>
      <w:lvlJc w:val="left"/>
      <w:pPr>
        <w:ind w:left="3600" w:hanging="360"/>
      </w:pPr>
      <w:rPr>
        <w:rFonts w:ascii="@MS Mincho" w:hAnsi="@MS Mincho" w:hint="default"/>
      </w:rPr>
    </w:lvl>
    <w:lvl w:ilvl="5" w:tplc="ADC02602">
      <w:start w:val="1"/>
      <w:numFmt w:val="bullet"/>
      <w:lvlText w:val=""/>
      <w:lvlJc w:val="left"/>
      <w:pPr>
        <w:ind w:left="4320" w:hanging="360"/>
      </w:pPr>
      <w:rPr>
        <w:rFonts w:ascii="MS Mincho" w:hAnsi="MS Mincho" w:hint="default"/>
      </w:rPr>
    </w:lvl>
    <w:lvl w:ilvl="6" w:tplc="5EB4AE94">
      <w:start w:val="1"/>
      <w:numFmt w:val="bullet"/>
      <w:lvlText w:val=""/>
      <w:lvlJc w:val="left"/>
      <w:pPr>
        <w:ind w:left="5040" w:hanging="360"/>
      </w:pPr>
      <w:rPr>
        <w:rFonts w:ascii="Times New Roman félkövér" w:hAnsi="Times New Roman félkövér" w:hint="default"/>
      </w:rPr>
    </w:lvl>
    <w:lvl w:ilvl="7" w:tplc="02AAB518">
      <w:start w:val="1"/>
      <w:numFmt w:val="bullet"/>
      <w:lvlText w:val="o"/>
      <w:lvlJc w:val="left"/>
      <w:pPr>
        <w:ind w:left="5760" w:hanging="360"/>
      </w:pPr>
      <w:rPr>
        <w:rFonts w:ascii="@MS Mincho" w:hAnsi="@MS Mincho" w:hint="default"/>
      </w:rPr>
    </w:lvl>
    <w:lvl w:ilvl="8" w:tplc="F31AB2AC">
      <w:start w:val="1"/>
      <w:numFmt w:val="bullet"/>
      <w:lvlText w:val=""/>
      <w:lvlJc w:val="left"/>
      <w:pPr>
        <w:ind w:left="6480" w:hanging="360"/>
      </w:pPr>
      <w:rPr>
        <w:rFonts w:ascii="MS Mincho" w:hAnsi="MS Mincho" w:hint="default"/>
      </w:rPr>
    </w:lvl>
  </w:abstractNum>
  <w:abstractNum w:abstractNumId="7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5670C0"/>
    <w:multiLevelType w:val="hybridMultilevel"/>
    <w:tmpl w:val="0B3074BC"/>
    <w:lvl w:ilvl="0" w:tplc="B2AC25C2">
      <w:numFmt w:val="bullet"/>
      <w:lvlText w:val=""/>
      <w:lvlJc w:val="left"/>
      <w:pPr>
        <w:ind w:left="787" w:hanging="360"/>
      </w:pPr>
      <w:rPr>
        <w:rFonts w:ascii="Symbol" w:eastAsiaTheme="minorEastAsia" w:hAnsi="Symbol" w:cs="Times New Roman" w:hint="default"/>
      </w:rPr>
    </w:lvl>
    <w:lvl w:ilvl="1" w:tplc="FFFFFFFF">
      <w:start w:val="1"/>
      <w:numFmt w:val="bullet"/>
      <w:lvlText w:val="o"/>
      <w:lvlJc w:val="left"/>
      <w:pPr>
        <w:ind w:left="1507" w:hanging="360"/>
      </w:pPr>
      <w:rPr>
        <w:rFonts w:ascii="@MS Mincho" w:eastAsia="Times New Roman" w:hAnsi="@MS Mincho" w:cs="@MS Mincho" w:hint="eastAsia"/>
      </w:rPr>
    </w:lvl>
    <w:lvl w:ilvl="2" w:tplc="FFFFFFFF">
      <w:start w:val="1"/>
      <w:numFmt w:val="bullet"/>
      <w:lvlText w:val=""/>
      <w:lvlJc w:val="left"/>
      <w:pPr>
        <w:ind w:left="2227" w:hanging="360"/>
      </w:pPr>
      <w:rPr>
        <w:rFonts w:ascii="MS Mincho" w:eastAsia="Times New Roman" w:hAnsi="MS Mincho" w:hint="eastAsia"/>
      </w:rPr>
    </w:lvl>
    <w:lvl w:ilvl="3" w:tplc="FFFFFFFF">
      <w:start w:val="1"/>
      <w:numFmt w:val="bullet"/>
      <w:lvlText w:val=""/>
      <w:lvlJc w:val="left"/>
      <w:pPr>
        <w:ind w:left="2947" w:hanging="360"/>
      </w:pPr>
      <w:rPr>
        <w:rFonts w:ascii="Times New Roman félkövér" w:hAnsi="Times New Roman félkövér" w:hint="default"/>
      </w:rPr>
    </w:lvl>
    <w:lvl w:ilvl="4" w:tplc="FFFFFFFF">
      <w:start w:val="1"/>
      <w:numFmt w:val="bullet"/>
      <w:lvlText w:val="o"/>
      <w:lvlJc w:val="left"/>
      <w:pPr>
        <w:ind w:left="3667" w:hanging="360"/>
      </w:pPr>
      <w:rPr>
        <w:rFonts w:ascii="@MS Mincho" w:eastAsia="Times New Roman" w:hAnsi="@MS Mincho" w:cs="@MS Mincho" w:hint="eastAsia"/>
      </w:rPr>
    </w:lvl>
    <w:lvl w:ilvl="5" w:tplc="FFFFFFFF">
      <w:start w:val="1"/>
      <w:numFmt w:val="bullet"/>
      <w:lvlText w:val=""/>
      <w:lvlJc w:val="left"/>
      <w:pPr>
        <w:ind w:left="4387" w:hanging="360"/>
      </w:pPr>
      <w:rPr>
        <w:rFonts w:ascii="MS Mincho" w:eastAsia="Times New Roman" w:hAnsi="MS Mincho" w:hint="eastAsia"/>
      </w:rPr>
    </w:lvl>
    <w:lvl w:ilvl="6" w:tplc="FFFFFFFF">
      <w:start w:val="1"/>
      <w:numFmt w:val="bullet"/>
      <w:lvlText w:val=""/>
      <w:lvlJc w:val="left"/>
      <w:pPr>
        <w:ind w:left="5107" w:hanging="360"/>
      </w:pPr>
      <w:rPr>
        <w:rFonts w:ascii="Times New Roman félkövér" w:hAnsi="Times New Roman félkövér" w:hint="default"/>
      </w:rPr>
    </w:lvl>
    <w:lvl w:ilvl="7" w:tplc="FFFFFFFF">
      <w:start w:val="1"/>
      <w:numFmt w:val="bullet"/>
      <w:lvlText w:val="o"/>
      <w:lvlJc w:val="left"/>
      <w:pPr>
        <w:ind w:left="5827" w:hanging="360"/>
      </w:pPr>
      <w:rPr>
        <w:rFonts w:ascii="@MS Mincho" w:eastAsia="Times New Roman" w:hAnsi="@MS Mincho" w:cs="@MS Mincho" w:hint="eastAsia"/>
      </w:rPr>
    </w:lvl>
    <w:lvl w:ilvl="8" w:tplc="FFFFFFFF">
      <w:start w:val="1"/>
      <w:numFmt w:val="bullet"/>
      <w:lvlText w:val=""/>
      <w:lvlJc w:val="left"/>
      <w:pPr>
        <w:ind w:left="6547" w:hanging="360"/>
      </w:pPr>
      <w:rPr>
        <w:rFonts w:ascii="MS Mincho" w:eastAsia="Times New Roman" w:hAnsi="MS Mincho" w:hint="eastAsia"/>
      </w:rPr>
    </w:lvl>
  </w:abstractNum>
  <w:abstractNum w:abstractNumId="82" w15:restartNumberingAfterBreak="0">
    <w:nsid w:val="5F42C4D7"/>
    <w:multiLevelType w:val="hybridMultilevel"/>
    <w:tmpl w:val="FFFFFFFF"/>
    <w:lvl w:ilvl="0" w:tplc="85908E40">
      <w:start w:val="5"/>
      <w:numFmt w:val="decimal"/>
      <w:lvlText w:val="%1."/>
      <w:lvlJc w:val="left"/>
      <w:pPr>
        <w:ind w:left="720" w:hanging="360"/>
      </w:pPr>
      <w:rPr>
        <w:rFonts w:ascii="Arial" w:hAnsi="Arial" w:hint="default"/>
      </w:rPr>
    </w:lvl>
    <w:lvl w:ilvl="1" w:tplc="9E30FE2E">
      <w:start w:val="1"/>
      <w:numFmt w:val="lowerLetter"/>
      <w:lvlText w:val="%2."/>
      <w:lvlJc w:val="left"/>
      <w:pPr>
        <w:ind w:left="1440" w:hanging="360"/>
      </w:pPr>
    </w:lvl>
    <w:lvl w:ilvl="2" w:tplc="CDF60808">
      <w:start w:val="1"/>
      <w:numFmt w:val="lowerRoman"/>
      <w:lvlText w:val="%3."/>
      <w:lvlJc w:val="right"/>
      <w:pPr>
        <w:ind w:left="2160" w:hanging="180"/>
      </w:pPr>
    </w:lvl>
    <w:lvl w:ilvl="3" w:tplc="570274F8">
      <w:start w:val="1"/>
      <w:numFmt w:val="decimal"/>
      <w:lvlText w:val="%4."/>
      <w:lvlJc w:val="left"/>
      <w:pPr>
        <w:ind w:left="2880" w:hanging="360"/>
      </w:pPr>
    </w:lvl>
    <w:lvl w:ilvl="4" w:tplc="BAE6A98E">
      <w:start w:val="1"/>
      <w:numFmt w:val="lowerLetter"/>
      <w:lvlText w:val="%5."/>
      <w:lvlJc w:val="left"/>
      <w:pPr>
        <w:ind w:left="3600" w:hanging="360"/>
      </w:pPr>
    </w:lvl>
    <w:lvl w:ilvl="5" w:tplc="3DB267C0">
      <w:start w:val="1"/>
      <w:numFmt w:val="lowerRoman"/>
      <w:lvlText w:val="%6."/>
      <w:lvlJc w:val="right"/>
      <w:pPr>
        <w:ind w:left="4320" w:hanging="180"/>
      </w:pPr>
    </w:lvl>
    <w:lvl w:ilvl="6" w:tplc="90FA4D30">
      <w:start w:val="1"/>
      <w:numFmt w:val="decimal"/>
      <w:lvlText w:val="%7."/>
      <w:lvlJc w:val="left"/>
      <w:pPr>
        <w:ind w:left="5040" w:hanging="360"/>
      </w:pPr>
    </w:lvl>
    <w:lvl w:ilvl="7" w:tplc="B61CC490">
      <w:start w:val="1"/>
      <w:numFmt w:val="lowerLetter"/>
      <w:lvlText w:val="%8."/>
      <w:lvlJc w:val="left"/>
      <w:pPr>
        <w:ind w:left="5760" w:hanging="360"/>
      </w:pPr>
    </w:lvl>
    <w:lvl w:ilvl="8" w:tplc="4BE2B3D2">
      <w:start w:val="1"/>
      <w:numFmt w:val="lowerRoman"/>
      <w:lvlText w:val="%9."/>
      <w:lvlJc w:val="right"/>
      <w:pPr>
        <w:ind w:left="6480" w:hanging="180"/>
      </w:pPr>
    </w:lvl>
  </w:abstractNum>
  <w:abstractNum w:abstractNumId="83" w15:restartNumberingAfterBreak="0">
    <w:nsid w:val="63FA6C6C"/>
    <w:multiLevelType w:val="hybridMultilevel"/>
    <w:tmpl w:val="FFFFFFFF"/>
    <w:lvl w:ilvl="0" w:tplc="BFE443FC">
      <w:start w:val="1"/>
      <w:numFmt w:val="decimal"/>
      <w:lvlText w:val="%1."/>
      <w:lvlJc w:val="left"/>
      <w:pPr>
        <w:ind w:left="720" w:hanging="360"/>
      </w:pPr>
      <w:rPr>
        <w:rFonts w:ascii="Arial" w:hAnsi="Arial" w:hint="default"/>
      </w:rPr>
    </w:lvl>
    <w:lvl w:ilvl="1" w:tplc="78AAB50E">
      <w:start w:val="1"/>
      <w:numFmt w:val="lowerLetter"/>
      <w:lvlText w:val="%2."/>
      <w:lvlJc w:val="left"/>
      <w:pPr>
        <w:ind w:left="1440" w:hanging="360"/>
      </w:pPr>
    </w:lvl>
    <w:lvl w:ilvl="2" w:tplc="4874DBE6">
      <w:start w:val="1"/>
      <w:numFmt w:val="lowerRoman"/>
      <w:lvlText w:val="%3."/>
      <w:lvlJc w:val="right"/>
      <w:pPr>
        <w:ind w:left="2160" w:hanging="180"/>
      </w:pPr>
    </w:lvl>
    <w:lvl w:ilvl="3" w:tplc="9C58804C">
      <w:start w:val="1"/>
      <w:numFmt w:val="decimal"/>
      <w:lvlText w:val="%4."/>
      <w:lvlJc w:val="left"/>
      <w:pPr>
        <w:ind w:left="2880" w:hanging="360"/>
      </w:pPr>
    </w:lvl>
    <w:lvl w:ilvl="4" w:tplc="54A484DA">
      <w:start w:val="1"/>
      <w:numFmt w:val="lowerLetter"/>
      <w:lvlText w:val="%5."/>
      <w:lvlJc w:val="left"/>
      <w:pPr>
        <w:ind w:left="3600" w:hanging="360"/>
      </w:pPr>
    </w:lvl>
    <w:lvl w:ilvl="5" w:tplc="3A1A5CD2">
      <w:start w:val="1"/>
      <w:numFmt w:val="lowerRoman"/>
      <w:lvlText w:val="%6."/>
      <w:lvlJc w:val="right"/>
      <w:pPr>
        <w:ind w:left="4320" w:hanging="180"/>
      </w:pPr>
    </w:lvl>
    <w:lvl w:ilvl="6" w:tplc="5FF49A50">
      <w:start w:val="1"/>
      <w:numFmt w:val="decimal"/>
      <w:lvlText w:val="%7."/>
      <w:lvlJc w:val="left"/>
      <w:pPr>
        <w:ind w:left="5040" w:hanging="360"/>
      </w:pPr>
    </w:lvl>
    <w:lvl w:ilvl="7" w:tplc="7E62052A">
      <w:start w:val="1"/>
      <w:numFmt w:val="lowerLetter"/>
      <w:lvlText w:val="%8."/>
      <w:lvlJc w:val="left"/>
      <w:pPr>
        <w:ind w:left="5760" w:hanging="360"/>
      </w:pPr>
    </w:lvl>
    <w:lvl w:ilvl="8" w:tplc="5AB6589C">
      <w:start w:val="1"/>
      <w:numFmt w:val="lowerRoman"/>
      <w:lvlText w:val="%9."/>
      <w:lvlJc w:val="right"/>
      <w:pPr>
        <w:ind w:left="6480" w:hanging="180"/>
      </w:pPr>
    </w:lvl>
  </w:abstractNum>
  <w:abstractNum w:abstractNumId="84" w15:restartNumberingAfterBreak="0">
    <w:nsid w:val="647B00E9"/>
    <w:multiLevelType w:val="hybridMultilevel"/>
    <w:tmpl w:val="4E965456"/>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5F29AB7"/>
    <w:multiLevelType w:val="hybridMultilevel"/>
    <w:tmpl w:val="FFFFFFFF"/>
    <w:lvl w:ilvl="0" w:tplc="58201CB0">
      <w:start w:val="1"/>
      <w:numFmt w:val="bullet"/>
      <w:lvlText w:val="·"/>
      <w:lvlJc w:val="left"/>
      <w:pPr>
        <w:ind w:left="720" w:hanging="360"/>
      </w:pPr>
      <w:rPr>
        <w:rFonts w:ascii="Symbol" w:hAnsi="Symbol" w:hint="default"/>
      </w:rPr>
    </w:lvl>
    <w:lvl w:ilvl="1" w:tplc="F21CCB48">
      <w:start w:val="1"/>
      <w:numFmt w:val="bullet"/>
      <w:lvlText w:val="o"/>
      <w:lvlJc w:val="left"/>
      <w:pPr>
        <w:ind w:left="1440" w:hanging="360"/>
      </w:pPr>
      <w:rPr>
        <w:rFonts w:ascii="Courier New" w:hAnsi="Courier New" w:hint="default"/>
      </w:rPr>
    </w:lvl>
    <w:lvl w:ilvl="2" w:tplc="FFCE4578">
      <w:start w:val="1"/>
      <w:numFmt w:val="bullet"/>
      <w:lvlText w:val=""/>
      <w:lvlJc w:val="left"/>
      <w:pPr>
        <w:ind w:left="2160" w:hanging="360"/>
      </w:pPr>
      <w:rPr>
        <w:rFonts w:ascii="Wingdings" w:hAnsi="Wingdings" w:hint="default"/>
      </w:rPr>
    </w:lvl>
    <w:lvl w:ilvl="3" w:tplc="7CAA1FD6">
      <w:start w:val="1"/>
      <w:numFmt w:val="bullet"/>
      <w:lvlText w:val=""/>
      <w:lvlJc w:val="left"/>
      <w:pPr>
        <w:ind w:left="2880" w:hanging="360"/>
      </w:pPr>
      <w:rPr>
        <w:rFonts w:ascii="Symbol" w:hAnsi="Symbol" w:hint="default"/>
      </w:rPr>
    </w:lvl>
    <w:lvl w:ilvl="4" w:tplc="AF8E51E4">
      <w:start w:val="1"/>
      <w:numFmt w:val="bullet"/>
      <w:lvlText w:val="o"/>
      <w:lvlJc w:val="left"/>
      <w:pPr>
        <w:ind w:left="3600" w:hanging="360"/>
      </w:pPr>
      <w:rPr>
        <w:rFonts w:ascii="Courier New" w:hAnsi="Courier New" w:hint="default"/>
      </w:rPr>
    </w:lvl>
    <w:lvl w:ilvl="5" w:tplc="EFFE6B0C">
      <w:start w:val="1"/>
      <w:numFmt w:val="bullet"/>
      <w:lvlText w:val=""/>
      <w:lvlJc w:val="left"/>
      <w:pPr>
        <w:ind w:left="4320" w:hanging="360"/>
      </w:pPr>
      <w:rPr>
        <w:rFonts w:ascii="Wingdings" w:hAnsi="Wingdings" w:hint="default"/>
      </w:rPr>
    </w:lvl>
    <w:lvl w:ilvl="6" w:tplc="29447762">
      <w:start w:val="1"/>
      <w:numFmt w:val="bullet"/>
      <w:lvlText w:val=""/>
      <w:lvlJc w:val="left"/>
      <w:pPr>
        <w:ind w:left="5040" w:hanging="360"/>
      </w:pPr>
      <w:rPr>
        <w:rFonts w:ascii="Symbol" w:hAnsi="Symbol" w:hint="default"/>
      </w:rPr>
    </w:lvl>
    <w:lvl w:ilvl="7" w:tplc="6E262278">
      <w:start w:val="1"/>
      <w:numFmt w:val="bullet"/>
      <w:lvlText w:val="o"/>
      <w:lvlJc w:val="left"/>
      <w:pPr>
        <w:ind w:left="5760" w:hanging="360"/>
      </w:pPr>
      <w:rPr>
        <w:rFonts w:ascii="Courier New" w:hAnsi="Courier New" w:hint="default"/>
      </w:rPr>
    </w:lvl>
    <w:lvl w:ilvl="8" w:tplc="DAA0A588">
      <w:start w:val="1"/>
      <w:numFmt w:val="bullet"/>
      <w:lvlText w:val=""/>
      <w:lvlJc w:val="left"/>
      <w:pPr>
        <w:ind w:left="6480" w:hanging="360"/>
      </w:pPr>
      <w:rPr>
        <w:rFonts w:ascii="Wingdings" w:hAnsi="Wingdings" w:hint="default"/>
      </w:rPr>
    </w:lvl>
  </w:abstractNum>
  <w:abstractNum w:abstractNumId="87" w15:restartNumberingAfterBreak="0">
    <w:nsid w:val="6611570F"/>
    <w:multiLevelType w:val="hybridMultilevel"/>
    <w:tmpl w:val="3EA0F0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8" w15:restartNumberingAfterBreak="0">
    <w:nsid w:val="664D70F5"/>
    <w:multiLevelType w:val="hybridMultilevel"/>
    <w:tmpl w:val="7926427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4E5F2B"/>
    <w:multiLevelType w:val="hybridMultilevel"/>
    <w:tmpl w:val="A07C50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1" w15:restartNumberingAfterBreak="0">
    <w:nsid w:val="693606FA"/>
    <w:multiLevelType w:val="hybridMultilevel"/>
    <w:tmpl w:val="8D6280A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B46E49"/>
    <w:multiLevelType w:val="hybridMultilevel"/>
    <w:tmpl w:val="71CE6D68"/>
    <w:lvl w:ilvl="0" w:tplc="991C3E1E">
      <w:start w:val="1"/>
      <w:numFmt w:val="bullet"/>
      <w:lvlText w:val="-"/>
      <w:lvlJc w:val="left"/>
      <w:pPr>
        <w:ind w:left="776" w:hanging="360"/>
      </w:pPr>
      <w:rPr>
        <w:rFonts w:ascii="Calibri" w:hAnsi="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3" w15:restartNumberingAfterBreak="0">
    <w:nsid w:val="6A9F1F71"/>
    <w:multiLevelType w:val="hybridMultilevel"/>
    <w:tmpl w:val="BBD8C89C"/>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65415B"/>
    <w:multiLevelType w:val="hybridMultilevel"/>
    <w:tmpl w:val="E76CD6B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7957C5"/>
    <w:multiLevelType w:val="hybridMultilevel"/>
    <w:tmpl w:val="CB48133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A97145"/>
    <w:multiLevelType w:val="hybridMultilevel"/>
    <w:tmpl w:val="4A84F69C"/>
    <w:lvl w:ilvl="0" w:tplc="B8D40F1C">
      <w:start w:val="1"/>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CD3309"/>
    <w:multiLevelType w:val="hybridMultilevel"/>
    <w:tmpl w:val="4A98382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E050C4A"/>
    <w:multiLevelType w:val="hybridMultilevel"/>
    <w:tmpl w:val="505EAFF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5E64AD"/>
    <w:multiLevelType w:val="hybridMultilevel"/>
    <w:tmpl w:val="300A349C"/>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726FF"/>
    <w:multiLevelType w:val="hybridMultilevel"/>
    <w:tmpl w:val="FFFFFFFF"/>
    <w:lvl w:ilvl="0" w:tplc="98380C30">
      <w:start w:val="3"/>
      <w:numFmt w:val="decimal"/>
      <w:lvlText w:val="%1."/>
      <w:lvlJc w:val="left"/>
      <w:pPr>
        <w:ind w:left="720" w:hanging="360"/>
      </w:pPr>
      <w:rPr>
        <w:rFonts w:ascii="Arial" w:hAnsi="Arial" w:hint="default"/>
      </w:rPr>
    </w:lvl>
    <w:lvl w:ilvl="1" w:tplc="DD021EF2">
      <w:start w:val="1"/>
      <w:numFmt w:val="lowerLetter"/>
      <w:lvlText w:val="%2."/>
      <w:lvlJc w:val="left"/>
      <w:pPr>
        <w:ind w:left="1440" w:hanging="360"/>
      </w:pPr>
    </w:lvl>
    <w:lvl w:ilvl="2" w:tplc="AC98F804">
      <w:start w:val="1"/>
      <w:numFmt w:val="lowerRoman"/>
      <w:lvlText w:val="%3."/>
      <w:lvlJc w:val="right"/>
      <w:pPr>
        <w:ind w:left="2160" w:hanging="180"/>
      </w:pPr>
    </w:lvl>
    <w:lvl w:ilvl="3" w:tplc="389E5DE2">
      <w:start w:val="1"/>
      <w:numFmt w:val="decimal"/>
      <w:lvlText w:val="%4."/>
      <w:lvlJc w:val="left"/>
      <w:pPr>
        <w:ind w:left="2880" w:hanging="360"/>
      </w:pPr>
    </w:lvl>
    <w:lvl w:ilvl="4" w:tplc="365EFD8C">
      <w:start w:val="1"/>
      <w:numFmt w:val="lowerLetter"/>
      <w:lvlText w:val="%5."/>
      <w:lvlJc w:val="left"/>
      <w:pPr>
        <w:ind w:left="3600" w:hanging="360"/>
      </w:pPr>
    </w:lvl>
    <w:lvl w:ilvl="5" w:tplc="A1AE07A0">
      <w:start w:val="1"/>
      <w:numFmt w:val="lowerRoman"/>
      <w:lvlText w:val="%6."/>
      <w:lvlJc w:val="right"/>
      <w:pPr>
        <w:ind w:left="4320" w:hanging="180"/>
      </w:pPr>
    </w:lvl>
    <w:lvl w:ilvl="6" w:tplc="D096CB8E">
      <w:start w:val="1"/>
      <w:numFmt w:val="decimal"/>
      <w:lvlText w:val="%7."/>
      <w:lvlJc w:val="left"/>
      <w:pPr>
        <w:ind w:left="5040" w:hanging="360"/>
      </w:pPr>
    </w:lvl>
    <w:lvl w:ilvl="7" w:tplc="9BDCC560">
      <w:start w:val="1"/>
      <w:numFmt w:val="lowerLetter"/>
      <w:lvlText w:val="%8."/>
      <w:lvlJc w:val="left"/>
      <w:pPr>
        <w:ind w:left="5760" w:hanging="360"/>
      </w:pPr>
    </w:lvl>
    <w:lvl w:ilvl="8" w:tplc="8C92628C">
      <w:start w:val="1"/>
      <w:numFmt w:val="lowerRoman"/>
      <w:lvlText w:val="%9."/>
      <w:lvlJc w:val="right"/>
      <w:pPr>
        <w:ind w:left="6480" w:hanging="180"/>
      </w:pPr>
    </w:lvl>
  </w:abstractNum>
  <w:abstractNum w:abstractNumId="101" w15:restartNumberingAfterBreak="0">
    <w:nsid w:val="72770BB9"/>
    <w:multiLevelType w:val="hybridMultilevel"/>
    <w:tmpl w:val="B61263DC"/>
    <w:lvl w:ilvl="0" w:tplc="CDB2D0AC">
      <w:start w:val="1"/>
      <w:numFmt w:val="lowerRoman"/>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2" w15:restartNumberingAfterBreak="0">
    <w:nsid w:val="72AE595F"/>
    <w:multiLevelType w:val="hybridMultilevel"/>
    <w:tmpl w:val="11FA201C"/>
    <w:lvl w:ilvl="0" w:tplc="3B1621C6">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73DE680C"/>
    <w:multiLevelType w:val="hybridMultilevel"/>
    <w:tmpl w:val="E2D254FE"/>
    <w:lvl w:ilvl="0" w:tplc="786419CC">
      <w:start w:val="1"/>
      <w:numFmt w:val="bullet"/>
      <w:lvlText w:val="-"/>
      <w:lvlJc w:val="left"/>
      <w:pPr>
        <w:ind w:left="720" w:hanging="360"/>
      </w:pPr>
      <w:rPr>
        <w:rFonts w:ascii="MS Mincho" w:eastAsiaTheme="minorHAnsi" w:hAnsi="MS Mincho" w:cs="MS Mincho" w:hint="default"/>
      </w:rPr>
    </w:lvl>
    <w:lvl w:ilvl="1" w:tplc="18090003">
      <w:start w:val="1"/>
      <w:numFmt w:val="bullet"/>
      <w:lvlText w:val="o"/>
      <w:lvlJc w:val="left"/>
      <w:pPr>
        <w:ind w:left="1440" w:hanging="360"/>
      </w:pPr>
      <w:rPr>
        <w:rFonts w:ascii="Segoe UI Emoji" w:hAnsi="Segoe UI Emoji" w:cs="Segoe UI Emoji"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Segoe UI Emoji" w:hAnsi="Segoe UI Emoji" w:cs="Segoe UI Emoji"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Segoe UI Emoji" w:hAnsi="Segoe UI Emoji" w:cs="Segoe UI Emoji" w:hint="default"/>
      </w:rPr>
    </w:lvl>
    <w:lvl w:ilvl="8" w:tplc="18090005" w:tentative="1">
      <w:start w:val="1"/>
      <w:numFmt w:val="bullet"/>
      <w:lvlText w:val=""/>
      <w:lvlJc w:val="left"/>
      <w:pPr>
        <w:ind w:left="6480" w:hanging="360"/>
      </w:pPr>
      <w:rPr>
        <w:rFonts w:ascii="@MS Mincho" w:hAnsi="@MS Mincho" w:hint="default"/>
      </w:rPr>
    </w:lvl>
  </w:abstractNum>
  <w:abstractNum w:abstractNumId="104" w15:restartNumberingAfterBreak="0">
    <w:nsid w:val="743FC4E8"/>
    <w:multiLevelType w:val="hybridMultilevel"/>
    <w:tmpl w:val="FFFFFFFF"/>
    <w:lvl w:ilvl="0" w:tplc="68E0B802">
      <w:start w:val="7"/>
      <w:numFmt w:val="decimal"/>
      <w:lvlText w:val="%1."/>
      <w:lvlJc w:val="left"/>
      <w:pPr>
        <w:ind w:left="720" w:hanging="360"/>
      </w:pPr>
      <w:rPr>
        <w:rFonts w:ascii="Arial" w:hAnsi="Arial" w:hint="default"/>
      </w:rPr>
    </w:lvl>
    <w:lvl w:ilvl="1" w:tplc="95AEC662">
      <w:start w:val="1"/>
      <w:numFmt w:val="lowerLetter"/>
      <w:lvlText w:val="%2."/>
      <w:lvlJc w:val="left"/>
      <w:pPr>
        <w:ind w:left="1440" w:hanging="360"/>
      </w:pPr>
    </w:lvl>
    <w:lvl w:ilvl="2" w:tplc="298A1246">
      <w:start w:val="1"/>
      <w:numFmt w:val="lowerRoman"/>
      <w:lvlText w:val="%3."/>
      <w:lvlJc w:val="right"/>
      <w:pPr>
        <w:ind w:left="2160" w:hanging="180"/>
      </w:pPr>
    </w:lvl>
    <w:lvl w:ilvl="3" w:tplc="73F03BEA">
      <w:start w:val="1"/>
      <w:numFmt w:val="decimal"/>
      <w:lvlText w:val="%4."/>
      <w:lvlJc w:val="left"/>
      <w:pPr>
        <w:ind w:left="2880" w:hanging="360"/>
      </w:pPr>
    </w:lvl>
    <w:lvl w:ilvl="4" w:tplc="0FE29DB2">
      <w:start w:val="1"/>
      <w:numFmt w:val="lowerLetter"/>
      <w:lvlText w:val="%5."/>
      <w:lvlJc w:val="left"/>
      <w:pPr>
        <w:ind w:left="3600" w:hanging="360"/>
      </w:pPr>
    </w:lvl>
    <w:lvl w:ilvl="5" w:tplc="5A98CA7C">
      <w:start w:val="1"/>
      <w:numFmt w:val="lowerRoman"/>
      <w:lvlText w:val="%6."/>
      <w:lvlJc w:val="right"/>
      <w:pPr>
        <w:ind w:left="4320" w:hanging="180"/>
      </w:pPr>
    </w:lvl>
    <w:lvl w:ilvl="6" w:tplc="A2B0AE06">
      <w:start w:val="1"/>
      <w:numFmt w:val="decimal"/>
      <w:lvlText w:val="%7."/>
      <w:lvlJc w:val="left"/>
      <w:pPr>
        <w:ind w:left="5040" w:hanging="360"/>
      </w:pPr>
    </w:lvl>
    <w:lvl w:ilvl="7" w:tplc="94F03984">
      <w:start w:val="1"/>
      <w:numFmt w:val="lowerLetter"/>
      <w:lvlText w:val="%8."/>
      <w:lvlJc w:val="left"/>
      <w:pPr>
        <w:ind w:left="5760" w:hanging="360"/>
      </w:pPr>
    </w:lvl>
    <w:lvl w:ilvl="8" w:tplc="F01E3496">
      <w:start w:val="1"/>
      <w:numFmt w:val="lowerRoman"/>
      <w:lvlText w:val="%9."/>
      <w:lvlJc w:val="right"/>
      <w:pPr>
        <w:ind w:left="6480" w:hanging="180"/>
      </w:pPr>
    </w:lvl>
  </w:abstractNum>
  <w:abstractNum w:abstractNumId="105" w15:restartNumberingAfterBreak="0">
    <w:nsid w:val="74C36343"/>
    <w:multiLevelType w:val="hybridMultilevel"/>
    <w:tmpl w:val="FFFFFFFF"/>
    <w:lvl w:ilvl="0" w:tplc="18FE0878">
      <w:start w:val="1"/>
      <w:numFmt w:val="decimal"/>
      <w:lvlText w:val="%1."/>
      <w:lvlJc w:val="left"/>
      <w:pPr>
        <w:ind w:left="720" w:hanging="360"/>
      </w:pPr>
    </w:lvl>
    <w:lvl w:ilvl="1" w:tplc="30F481D2">
      <w:start w:val="1"/>
      <w:numFmt w:val="lowerLetter"/>
      <w:lvlText w:val="%2."/>
      <w:lvlJc w:val="left"/>
      <w:pPr>
        <w:ind w:left="1440" w:hanging="360"/>
      </w:pPr>
    </w:lvl>
    <w:lvl w:ilvl="2" w:tplc="BC2A330E">
      <w:start w:val="1"/>
      <w:numFmt w:val="lowerRoman"/>
      <w:lvlText w:val="%3."/>
      <w:lvlJc w:val="right"/>
      <w:pPr>
        <w:ind w:left="2160" w:hanging="180"/>
      </w:pPr>
    </w:lvl>
    <w:lvl w:ilvl="3" w:tplc="0AD85EA2">
      <w:start w:val="1"/>
      <w:numFmt w:val="decimal"/>
      <w:lvlText w:val="%4."/>
      <w:lvlJc w:val="left"/>
      <w:pPr>
        <w:ind w:left="2880" w:hanging="360"/>
      </w:pPr>
    </w:lvl>
    <w:lvl w:ilvl="4" w:tplc="EFE821FA">
      <w:start w:val="1"/>
      <w:numFmt w:val="lowerLetter"/>
      <w:lvlText w:val="%5."/>
      <w:lvlJc w:val="left"/>
      <w:pPr>
        <w:ind w:left="3600" w:hanging="360"/>
      </w:pPr>
    </w:lvl>
    <w:lvl w:ilvl="5" w:tplc="EF6A7952">
      <w:start w:val="1"/>
      <w:numFmt w:val="lowerRoman"/>
      <w:lvlText w:val="%6."/>
      <w:lvlJc w:val="right"/>
      <w:pPr>
        <w:ind w:left="4320" w:hanging="180"/>
      </w:pPr>
    </w:lvl>
    <w:lvl w:ilvl="6" w:tplc="AA54EB3A">
      <w:start w:val="1"/>
      <w:numFmt w:val="decimal"/>
      <w:lvlText w:val="%7."/>
      <w:lvlJc w:val="left"/>
      <w:pPr>
        <w:ind w:left="5040" w:hanging="360"/>
      </w:pPr>
    </w:lvl>
    <w:lvl w:ilvl="7" w:tplc="A3E27F76">
      <w:start w:val="1"/>
      <w:numFmt w:val="lowerLetter"/>
      <w:lvlText w:val="%8."/>
      <w:lvlJc w:val="left"/>
      <w:pPr>
        <w:ind w:left="5760" w:hanging="360"/>
      </w:pPr>
    </w:lvl>
    <w:lvl w:ilvl="8" w:tplc="715AFDE4">
      <w:start w:val="1"/>
      <w:numFmt w:val="lowerRoman"/>
      <w:lvlText w:val="%9."/>
      <w:lvlJc w:val="right"/>
      <w:pPr>
        <w:ind w:left="6480" w:hanging="180"/>
      </w:pPr>
    </w:lvl>
  </w:abstractNum>
  <w:abstractNum w:abstractNumId="106" w15:restartNumberingAfterBreak="0">
    <w:nsid w:val="74EFE3A3"/>
    <w:multiLevelType w:val="hybridMultilevel"/>
    <w:tmpl w:val="FFFFFFFF"/>
    <w:lvl w:ilvl="0" w:tplc="D40AFDD8">
      <w:start w:val="1"/>
      <w:numFmt w:val="bullet"/>
      <w:lvlText w:val="-"/>
      <w:lvlJc w:val="left"/>
      <w:pPr>
        <w:ind w:left="720" w:hanging="360"/>
      </w:pPr>
      <w:rPr>
        <w:rFonts w:ascii="Calibri" w:hAnsi="Calibri" w:hint="default"/>
      </w:rPr>
    </w:lvl>
    <w:lvl w:ilvl="1" w:tplc="D1B00D96">
      <w:start w:val="1"/>
      <w:numFmt w:val="bullet"/>
      <w:lvlText w:val="o"/>
      <w:lvlJc w:val="left"/>
      <w:pPr>
        <w:ind w:left="1440" w:hanging="360"/>
      </w:pPr>
      <w:rPr>
        <w:rFonts w:ascii="Courier New" w:hAnsi="Courier New" w:hint="default"/>
      </w:rPr>
    </w:lvl>
    <w:lvl w:ilvl="2" w:tplc="A9468258">
      <w:start w:val="1"/>
      <w:numFmt w:val="bullet"/>
      <w:lvlText w:val=""/>
      <w:lvlJc w:val="left"/>
      <w:pPr>
        <w:ind w:left="2160" w:hanging="360"/>
      </w:pPr>
      <w:rPr>
        <w:rFonts w:ascii="Wingdings" w:hAnsi="Wingdings" w:hint="default"/>
      </w:rPr>
    </w:lvl>
    <w:lvl w:ilvl="3" w:tplc="017AF1BE">
      <w:start w:val="1"/>
      <w:numFmt w:val="bullet"/>
      <w:lvlText w:val=""/>
      <w:lvlJc w:val="left"/>
      <w:pPr>
        <w:ind w:left="2880" w:hanging="360"/>
      </w:pPr>
      <w:rPr>
        <w:rFonts w:ascii="Symbol" w:hAnsi="Symbol" w:hint="default"/>
      </w:rPr>
    </w:lvl>
    <w:lvl w:ilvl="4" w:tplc="C460106C">
      <w:start w:val="1"/>
      <w:numFmt w:val="bullet"/>
      <w:lvlText w:val="o"/>
      <w:lvlJc w:val="left"/>
      <w:pPr>
        <w:ind w:left="3600" w:hanging="360"/>
      </w:pPr>
      <w:rPr>
        <w:rFonts w:ascii="Courier New" w:hAnsi="Courier New" w:hint="default"/>
      </w:rPr>
    </w:lvl>
    <w:lvl w:ilvl="5" w:tplc="7AF2F49E">
      <w:start w:val="1"/>
      <w:numFmt w:val="bullet"/>
      <w:lvlText w:val=""/>
      <w:lvlJc w:val="left"/>
      <w:pPr>
        <w:ind w:left="4320" w:hanging="360"/>
      </w:pPr>
      <w:rPr>
        <w:rFonts w:ascii="Wingdings" w:hAnsi="Wingdings" w:hint="default"/>
      </w:rPr>
    </w:lvl>
    <w:lvl w:ilvl="6" w:tplc="0A64F4B2">
      <w:start w:val="1"/>
      <w:numFmt w:val="bullet"/>
      <w:lvlText w:val=""/>
      <w:lvlJc w:val="left"/>
      <w:pPr>
        <w:ind w:left="5040" w:hanging="360"/>
      </w:pPr>
      <w:rPr>
        <w:rFonts w:ascii="Symbol" w:hAnsi="Symbol" w:hint="default"/>
      </w:rPr>
    </w:lvl>
    <w:lvl w:ilvl="7" w:tplc="1B526E5E">
      <w:start w:val="1"/>
      <w:numFmt w:val="bullet"/>
      <w:lvlText w:val="o"/>
      <w:lvlJc w:val="left"/>
      <w:pPr>
        <w:ind w:left="5760" w:hanging="360"/>
      </w:pPr>
      <w:rPr>
        <w:rFonts w:ascii="Courier New" w:hAnsi="Courier New" w:hint="default"/>
      </w:rPr>
    </w:lvl>
    <w:lvl w:ilvl="8" w:tplc="A08E0D68">
      <w:start w:val="1"/>
      <w:numFmt w:val="bullet"/>
      <w:lvlText w:val=""/>
      <w:lvlJc w:val="left"/>
      <w:pPr>
        <w:ind w:left="6480" w:hanging="360"/>
      </w:pPr>
      <w:rPr>
        <w:rFonts w:ascii="Wingdings" w:hAnsi="Wingdings" w:hint="default"/>
      </w:rPr>
    </w:lvl>
  </w:abstractNum>
  <w:abstractNum w:abstractNumId="107" w15:restartNumberingAfterBreak="0">
    <w:nsid w:val="760233E5"/>
    <w:multiLevelType w:val="hybridMultilevel"/>
    <w:tmpl w:val="FFFFFFFF"/>
    <w:lvl w:ilvl="0" w:tplc="7C04136C">
      <w:start w:val="4"/>
      <w:numFmt w:val="decimal"/>
      <w:lvlText w:val="%1."/>
      <w:lvlJc w:val="left"/>
      <w:pPr>
        <w:ind w:left="720" w:hanging="360"/>
      </w:pPr>
      <w:rPr>
        <w:rFonts w:ascii="Arial" w:hAnsi="Arial" w:hint="default"/>
      </w:rPr>
    </w:lvl>
    <w:lvl w:ilvl="1" w:tplc="62AA8E5E">
      <w:start w:val="1"/>
      <w:numFmt w:val="lowerLetter"/>
      <w:lvlText w:val="%2."/>
      <w:lvlJc w:val="left"/>
      <w:pPr>
        <w:ind w:left="1440" w:hanging="360"/>
      </w:pPr>
    </w:lvl>
    <w:lvl w:ilvl="2" w:tplc="1632CA88">
      <w:start w:val="1"/>
      <w:numFmt w:val="lowerRoman"/>
      <w:lvlText w:val="%3."/>
      <w:lvlJc w:val="right"/>
      <w:pPr>
        <w:ind w:left="2160" w:hanging="180"/>
      </w:pPr>
    </w:lvl>
    <w:lvl w:ilvl="3" w:tplc="5394B2C6">
      <w:start w:val="1"/>
      <w:numFmt w:val="decimal"/>
      <w:lvlText w:val="%4."/>
      <w:lvlJc w:val="left"/>
      <w:pPr>
        <w:ind w:left="2880" w:hanging="360"/>
      </w:pPr>
    </w:lvl>
    <w:lvl w:ilvl="4" w:tplc="C2E20A78">
      <w:start w:val="1"/>
      <w:numFmt w:val="lowerLetter"/>
      <w:lvlText w:val="%5."/>
      <w:lvlJc w:val="left"/>
      <w:pPr>
        <w:ind w:left="3600" w:hanging="360"/>
      </w:pPr>
    </w:lvl>
    <w:lvl w:ilvl="5" w:tplc="EEDE72C8">
      <w:start w:val="1"/>
      <w:numFmt w:val="lowerRoman"/>
      <w:lvlText w:val="%6."/>
      <w:lvlJc w:val="right"/>
      <w:pPr>
        <w:ind w:left="4320" w:hanging="180"/>
      </w:pPr>
    </w:lvl>
    <w:lvl w:ilvl="6" w:tplc="F2F8A98C">
      <w:start w:val="1"/>
      <w:numFmt w:val="decimal"/>
      <w:lvlText w:val="%7."/>
      <w:lvlJc w:val="left"/>
      <w:pPr>
        <w:ind w:left="5040" w:hanging="360"/>
      </w:pPr>
    </w:lvl>
    <w:lvl w:ilvl="7" w:tplc="015C6054">
      <w:start w:val="1"/>
      <w:numFmt w:val="lowerLetter"/>
      <w:lvlText w:val="%8."/>
      <w:lvlJc w:val="left"/>
      <w:pPr>
        <w:ind w:left="5760" w:hanging="360"/>
      </w:pPr>
    </w:lvl>
    <w:lvl w:ilvl="8" w:tplc="E7A68F56">
      <w:start w:val="1"/>
      <w:numFmt w:val="lowerRoman"/>
      <w:lvlText w:val="%9."/>
      <w:lvlJc w:val="right"/>
      <w:pPr>
        <w:ind w:left="6480" w:hanging="180"/>
      </w:pPr>
    </w:lvl>
  </w:abstractNum>
  <w:abstractNum w:abstractNumId="108"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9" w15:restartNumberingAfterBreak="0">
    <w:nsid w:val="775F47F8"/>
    <w:multiLevelType w:val="hybridMultilevel"/>
    <w:tmpl w:val="6E3A0784"/>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0" w15:restartNumberingAfterBreak="0">
    <w:nsid w:val="779C80A7"/>
    <w:multiLevelType w:val="hybridMultilevel"/>
    <w:tmpl w:val="FFFFFFFF"/>
    <w:lvl w:ilvl="0" w:tplc="54163D2E">
      <w:start w:val="1"/>
      <w:numFmt w:val="bullet"/>
      <w:lvlText w:val=""/>
      <w:lvlJc w:val="left"/>
      <w:pPr>
        <w:ind w:left="720" w:hanging="360"/>
      </w:pPr>
      <w:rPr>
        <w:rFonts w:ascii="Times New Roman félkövér" w:hAnsi="Times New Roman félkövér" w:hint="default"/>
      </w:rPr>
    </w:lvl>
    <w:lvl w:ilvl="1" w:tplc="59C8D084">
      <w:start w:val="1"/>
      <w:numFmt w:val="bullet"/>
      <w:lvlText w:val="o"/>
      <w:lvlJc w:val="left"/>
      <w:pPr>
        <w:ind w:left="1440" w:hanging="360"/>
      </w:pPr>
      <w:rPr>
        <w:rFonts w:ascii="@MS Mincho" w:hAnsi="@MS Mincho" w:hint="default"/>
      </w:rPr>
    </w:lvl>
    <w:lvl w:ilvl="2" w:tplc="F878DE84">
      <w:start w:val="1"/>
      <w:numFmt w:val="bullet"/>
      <w:lvlText w:val=""/>
      <w:lvlJc w:val="left"/>
      <w:pPr>
        <w:ind w:left="2160" w:hanging="360"/>
      </w:pPr>
      <w:rPr>
        <w:rFonts w:ascii="MS Mincho" w:hAnsi="MS Mincho" w:hint="default"/>
      </w:rPr>
    </w:lvl>
    <w:lvl w:ilvl="3" w:tplc="02A253C2">
      <w:start w:val="1"/>
      <w:numFmt w:val="bullet"/>
      <w:lvlText w:val=""/>
      <w:lvlJc w:val="left"/>
      <w:pPr>
        <w:ind w:left="2880" w:hanging="360"/>
      </w:pPr>
      <w:rPr>
        <w:rFonts w:ascii="Times New Roman félkövér" w:hAnsi="Times New Roman félkövér" w:hint="default"/>
      </w:rPr>
    </w:lvl>
    <w:lvl w:ilvl="4" w:tplc="9AFC300C">
      <w:start w:val="1"/>
      <w:numFmt w:val="bullet"/>
      <w:lvlText w:val="o"/>
      <w:lvlJc w:val="left"/>
      <w:pPr>
        <w:ind w:left="3600" w:hanging="360"/>
      </w:pPr>
      <w:rPr>
        <w:rFonts w:ascii="@MS Mincho" w:hAnsi="@MS Mincho" w:hint="default"/>
      </w:rPr>
    </w:lvl>
    <w:lvl w:ilvl="5" w:tplc="C7EC5E7C">
      <w:start w:val="1"/>
      <w:numFmt w:val="bullet"/>
      <w:lvlText w:val=""/>
      <w:lvlJc w:val="left"/>
      <w:pPr>
        <w:ind w:left="4320" w:hanging="360"/>
      </w:pPr>
      <w:rPr>
        <w:rFonts w:ascii="MS Mincho" w:hAnsi="MS Mincho" w:hint="default"/>
      </w:rPr>
    </w:lvl>
    <w:lvl w:ilvl="6" w:tplc="3A4CF30A">
      <w:start w:val="1"/>
      <w:numFmt w:val="bullet"/>
      <w:lvlText w:val=""/>
      <w:lvlJc w:val="left"/>
      <w:pPr>
        <w:ind w:left="5040" w:hanging="360"/>
      </w:pPr>
      <w:rPr>
        <w:rFonts w:ascii="Times New Roman félkövér" w:hAnsi="Times New Roman félkövér" w:hint="default"/>
      </w:rPr>
    </w:lvl>
    <w:lvl w:ilvl="7" w:tplc="541E8A4E">
      <w:start w:val="1"/>
      <w:numFmt w:val="bullet"/>
      <w:lvlText w:val="o"/>
      <w:lvlJc w:val="left"/>
      <w:pPr>
        <w:ind w:left="5760" w:hanging="360"/>
      </w:pPr>
      <w:rPr>
        <w:rFonts w:ascii="@MS Mincho" w:hAnsi="@MS Mincho" w:hint="default"/>
      </w:rPr>
    </w:lvl>
    <w:lvl w:ilvl="8" w:tplc="4D926666">
      <w:start w:val="1"/>
      <w:numFmt w:val="bullet"/>
      <w:lvlText w:val=""/>
      <w:lvlJc w:val="left"/>
      <w:pPr>
        <w:ind w:left="6480" w:hanging="360"/>
      </w:pPr>
      <w:rPr>
        <w:rFonts w:ascii="MS Mincho" w:hAnsi="MS Mincho" w:hint="default"/>
      </w:rPr>
    </w:lvl>
  </w:abstractNum>
  <w:abstractNum w:abstractNumId="111" w15:restartNumberingAfterBreak="0">
    <w:nsid w:val="78262A7E"/>
    <w:multiLevelType w:val="hybridMultilevel"/>
    <w:tmpl w:val="9CA2A382"/>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2" w15:restartNumberingAfterBreak="0">
    <w:nsid w:val="793F767C"/>
    <w:multiLevelType w:val="hybridMultilevel"/>
    <w:tmpl w:val="FFFFFFFF"/>
    <w:lvl w:ilvl="0" w:tplc="B324EFFE">
      <w:start w:val="1"/>
      <w:numFmt w:val="bullet"/>
      <w:lvlText w:val=""/>
      <w:lvlJc w:val="left"/>
      <w:pPr>
        <w:ind w:left="720" w:hanging="360"/>
      </w:pPr>
      <w:rPr>
        <w:rFonts w:ascii="Symbol" w:hAnsi="Symbol" w:hint="default"/>
      </w:rPr>
    </w:lvl>
    <w:lvl w:ilvl="1" w:tplc="756C3CEE">
      <w:start w:val="1"/>
      <w:numFmt w:val="bullet"/>
      <w:lvlText w:val="o"/>
      <w:lvlJc w:val="left"/>
      <w:pPr>
        <w:ind w:left="1440" w:hanging="360"/>
      </w:pPr>
      <w:rPr>
        <w:rFonts w:ascii="Courier New" w:hAnsi="Courier New" w:hint="default"/>
      </w:rPr>
    </w:lvl>
    <w:lvl w:ilvl="2" w:tplc="01FEDD98">
      <w:start w:val="1"/>
      <w:numFmt w:val="bullet"/>
      <w:lvlText w:val=""/>
      <w:lvlJc w:val="left"/>
      <w:pPr>
        <w:ind w:left="2160" w:hanging="360"/>
      </w:pPr>
      <w:rPr>
        <w:rFonts w:ascii="Wingdings" w:hAnsi="Wingdings" w:hint="default"/>
      </w:rPr>
    </w:lvl>
    <w:lvl w:ilvl="3" w:tplc="A0069A78">
      <w:start w:val="1"/>
      <w:numFmt w:val="bullet"/>
      <w:lvlText w:val=""/>
      <w:lvlJc w:val="left"/>
      <w:pPr>
        <w:ind w:left="2880" w:hanging="360"/>
      </w:pPr>
      <w:rPr>
        <w:rFonts w:ascii="Symbol" w:hAnsi="Symbol" w:hint="default"/>
      </w:rPr>
    </w:lvl>
    <w:lvl w:ilvl="4" w:tplc="732A6CD8">
      <w:start w:val="1"/>
      <w:numFmt w:val="bullet"/>
      <w:lvlText w:val="o"/>
      <w:lvlJc w:val="left"/>
      <w:pPr>
        <w:ind w:left="3600" w:hanging="360"/>
      </w:pPr>
      <w:rPr>
        <w:rFonts w:ascii="Courier New" w:hAnsi="Courier New" w:hint="default"/>
      </w:rPr>
    </w:lvl>
    <w:lvl w:ilvl="5" w:tplc="113801C8">
      <w:start w:val="1"/>
      <w:numFmt w:val="bullet"/>
      <w:lvlText w:val=""/>
      <w:lvlJc w:val="left"/>
      <w:pPr>
        <w:ind w:left="4320" w:hanging="360"/>
      </w:pPr>
      <w:rPr>
        <w:rFonts w:ascii="Wingdings" w:hAnsi="Wingdings" w:hint="default"/>
      </w:rPr>
    </w:lvl>
    <w:lvl w:ilvl="6" w:tplc="A3DEF026">
      <w:start w:val="1"/>
      <w:numFmt w:val="bullet"/>
      <w:lvlText w:val=""/>
      <w:lvlJc w:val="left"/>
      <w:pPr>
        <w:ind w:left="5040" w:hanging="360"/>
      </w:pPr>
      <w:rPr>
        <w:rFonts w:ascii="Symbol" w:hAnsi="Symbol" w:hint="default"/>
      </w:rPr>
    </w:lvl>
    <w:lvl w:ilvl="7" w:tplc="71180BE6">
      <w:start w:val="1"/>
      <w:numFmt w:val="bullet"/>
      <w:lvlText w:val="o"/>
      <w:lvlJc w:val="left"/>
      <w:pPr>
        <w:ind w:left="5760" w:hanging="360"/>
      </w:pPr>
      <w:rPr>
        <w:rFonts w:ascii="Courier New" w:hAnsi="Courier New" w:hint="default"/>
      </w:rPr>
    </w:lvl>
    <w:lvl w:ilvl="8" w:tplc="D84EC670">
      <w:start w:val="1"/>
      <w:numFmt w:val="bullet"/>
      <w:lvlText w:val=""/>
      <w:lvlJc w:val="left"/>
      <w:pPr>
        <w:ind w:left="6480" w:hanging="360"/>
      </w:pPr>
      <w:rPr>
        <w:rFonts w:ascii="Wingdings" w:hAnsi="Wingdings" w:hint="default"/>
      </w:rPr>
    </w:lvl>
  </w:abstractNum>
  <w:abstractNum w:abstractNumId="113" w15:restartNumberingAfterBreak="0">
    <w:nsid w:val="7AE7528F"/>
    <w:multiLevelType w:val="hybridMultilevel"/>
    <w:tmpl w:val="DE7489B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11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15" w15:restartNumberingAfterBreak="0">
    <w:nsid w:val="7E3501D0"/>
    <w:multiLevelType w:val="hybridMultilevel"/>
    <w:tmpl w:val="6ADE2398"/>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5E2960"/>
    <w:multiLevelType w:val="hybridMultilevel"/>
    <w:tmpl w:val="071658B8"/>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7" w15:restartNumberingAfterBreak="0">
    <w:nsid w:val="7EC4DE57"/>
    <w:multiLevelType w:val="hybridMultilevel"/>
    <w:tmpl w:val="FFFFFFFF"/>
    <w:lvl w:ilvl="0" w:tplc="D4F209E8">
      <w:start w:val="1"/>
      <w:numFmt w:val="decimal"/>
      <w:lvlText w:val="%1."/>
      <w:lvlJc w:val="left"/>
      <w:pPr>
        <w:ind w:left="720" w:hanging="360"/>
      </w:pPr>
    </w:lvl>
    <w:lvl w:ilvl="1" w:tplc="62467640">
      <w:start w:val="1"/>
      <w:numFmt w:val="lowerLetter"/>
      <w:lvlText w:val="%2."/>
      <w:lvlJc w:val="left"/>
      <w:pPr>
        <w:ind w:left="1440" w:hanging="360"/>
      </w:pPr>
    </w:lvl>
    <w:lvl w:ilvl="2" w:tplc="F086DE0E">
      <w:start w:val="1"/>
      <w:numFmt w:val="lowerRoman"/>
      <w:lvlText w:val="%3."/>
      <w:lvlJc w:val="right"/>
      <w:pPr>
        <w:ind w:left="2160" w:hanging="180"/>
      </w:pPr>
    </w:lvl>
    <w:lvl w:ilvl="3" w:tplc="7512D428">
      <w:start w:val="1"/>
      <w:numFmt w:val="decimal"/>
      <w:lvlText w:val="%4."/>
      <w:lvlJc w:val="left"/>
      <w:pPr>
        <w:ind w:left="2880" w:hanging="360"/>
      </w:pPr>
    </w:lvl>
    <w:lvl w:ilvl="4" w:tplc="A4003B70">
      <w:start w:val="1"/>
      <w:numFmt w:val="lowerLetter"/>
      <w:lvlText w:val="%5."/>
      <w:lvlJc w:val="left"/>
      <w:pPr>
        <w:ind w:left="3600" w:hanging="360"/>
      </w:pPr>
    </w:lvl>
    <w:lvl w:ilvl="5" w:tplc="ADD0A6B6">
      <w:start w:val="1"/>
      <w:numFmt w:val="lowerRoman"/>
      <w:lvlText w:val="%6."/>
      <w:lvlJc w:val="right"/>
      <w:pPr>
        <w:ind w:left="4320" w:hanging="180"/>
      </w:pPr>
    </w:lvl>
    <w:lvl w:ilvl="6" w:tplc="3F4220BC">
      <w:start w:val="1"/>
      <w:numFmt w:val="decimal"/>
      <w:lvlText w:val="%7."/>
      <w:lvlJc w:val="left"/>
      <w:pPr>
        <w:ind w:left="5040" w:hanging="360"/>
      </w:pPr>
    </w:lvl>
    <w:lvl w:ilvl="7" w:tplc="1968FFC4">
      <w:start w:val="1"/>
      <w:numFmt w:val="lowerLetter"/>
      <w:lvlText w:val="%8."/>
      <w:lvlJc w:val="left"/>
      <w:pPr>
        <w:ind w:left="5760" w:hanging="360"/>
      </w:pPr>
    </w:lvl>
    <w:lvl w:ilvl="8" w:tplc="9730985E">
      <w:start w:val="1"/>
      <w:numFmt w:val="lowerRoman"/>
      <w:lvlText w:val="%9."/>
      <w:lvlJc w:val="right"/>
      <w:pPr>
        <w:ind w:left="6480" w:hanging="180"/>
      </w:pPr>
    </w:lvl>
  </w:abstractNum>
  <w:num w:numId="1">
    <w:abstractNumId w:val="80"/>
  </w:num>
  <w:num w:numId="2">
    <w:abstractNumId w:val="52"/>
  </w:num>
  <w:num w:numId="3">
    <w:abstractNumId w:val="90"/>
  </w:num>
  <w:num w:numId="4">
    <w:abstractNumId w:val="38"/>
  </w:num>
  <w:num w:numId="5">
    <w:abstractNumId w:val="53"/>
  </w:num>
  <w:num w:numId="6">
    <w:abstractNumId w:val="29"/>
  </w:num>
  <w:num w:numId="7">
    <w:abstractNumId w:val="85"/>
  </w:num>
  <w:num w:numId="8">
    <w:abstractNumId w:val="26"/>
  </w:num>
  <w:num w:numId="9">
    <w:abstractNumId w:val="59"/>
  </w:num>
  <w:num w:numId="10">
    <w:abstractNumId w:val="76"/>
  </w:num>
  <w:num w:numId="11">
    <w:abstractNumId w:val="79"/>
  </w:num>
  <w:num w:numId="12">
    <w:abstractNumId w:val="37"/>
  </w:num>
  <w:num w:numId="13">
    <w:abstractNumId w:val="73"/>
  </w:num>
  <w:num w:numId="14">
    <w:abstractNumId w:val="114"/>
  </w:num>
  <w:num w:numId="15">
    <w:abstractNumId w:val="3"/>
  </w:num>
  <w:num w:numId="16">
    <w:abstractNumId w:val="2"/>
  </w:num>
  <w:num w:numId="17">
    <w:abstractNumId w:val="1"/>
  </w:num>
  <w:num w:numId="18">
    <w:abstractNumId w:val="0"/>
  </w:num>
  <w:num w:numId="19">
    <w:abstractNumId w:val="49"/>
  </w:num>
  <w:num w:numId="20">
    <w:abstractNumId w:val="13"/>
  </w:num>
  <w:num w:numId="21">
    <w:abstractNumId w:val="51"/>
  </w:num>
  <w:num w:numId="22">
    <w:abstractNumId w:val="11"/>
  </w:num>
  <w:num w:numId="23">
    <w:abstractNumId w:val="27"/>
  </w:num>
  <w:num w:numId="24">
    <w:abstractNumId w:val="84"/>
  </w:num>
  <w:num w:numId="25">
    <w:abstractNumId w:val="89"/>
  </w:num>
  <w:num w:numId="26">
    <w:abstractNumId w:val="45"/>
  </w:num>
  <w:num w:numId="27">
    <w:abstractNumId w:val="28"/>
  </w:num>
  <w:num w:numId="28">
    <w:abstractNumId w:val="115"/>
  </w:num>
  <w:num w:numId="29">
    <w:abstractNumId w:val="25"/>
  </w:num>
  <w:num w:numId="30">
    <w:abstractNumId w:val="64"/>
  </w:num>
  <w:num w:numId="31">
    <w:abstractNumId w:val="99"/>
  </w:num>
  <w:num w:numId="32">
    <w:abstractNumId w:val="5"/>
  </w:num>
  <w:num w:numId="33">
    <w:abstractNumId w:val="95"/>
  </w:num>
  <w:num w:numId="34">
    <w:abstractNumId w:val="92"/>
  </w:num>
  <w:num w:numId="35">
    <w:abstractNumId w:val="91"/>
  </w:num>
  <w:num w:numId="36">
    <w:abstractNumId w:val="88"/>
  </w:num>
  <w:num w:numId="37">
    <w:abstractNumId w:val="43"/>
  </w:num>
  <w:num w:numId="38">
    <w:abstractNumId w:val="34"/>
  </w:num>
  <w:num w:numId="39">
    <w:abstractNumId w:val="93"/>
  </w:num>
  <w:num w:numId="40">
    <w:abstractNumId w:val="62"/>
  </w:num>
  <w:num w:numId="41">
    <w:abstractNumId w:val="111"/>
  </w:num>
  <w:num w:numId="42">
    <w:abstractNumId w:val="101"/>
  </w:num>
  <w:num w:numId="43">
    <w:abstractNumId w:val="19"/>
  </w:num>
  <w:num w:numId="44">
    <w:abstractNumId w:val="109"/>
  </w:num>
  <w:num w:numId="45">
    <w:abstractNumId w:val="10"/>
  </w:num>
  <w:num w:numId="46">
    <w:abstractNumId w:val="108"/>
  </w:num>
  <w:num w:numId="47">
    <w:abstractNumId w:val="46"/>
  </w:num>
  <w:num w:numId="48">
    <w:abstractNumId w:val="50"/>
  </w:num>
  <w:num w:numId="49">
    <w:abstractNumId w:val="54"/>
  </w:num>
  <w:num w:numId="50">
    <w:abstractNumId w:val="60"/>
  </w:num>
  <w:num w:numId="51">
    <w:abstractNumId w:val="75"/>
  </w:num>
  <w:num w:numId="52">
    <w:abstractNumId w:val="6"/>
  </w:num>
  <w:num w:numId="53">
    <w:abstractNumId w:val="4"/>
  </w:num>
  <w:num w:numId="54">
    <w:abstractNumId w:val="22"/>
  </w:num>
  <w:num w:numId="55">
    <w:abstractNumId w:val="98"/>
  </w:num>
  <w:num w:numId="56">
    <w:abstractNumId w:val="97"/>
  </w:num>
  <w:num w:numId="57">
    <w:abstractNumId w:val="55"/>
  </w:num>
  <w:num w:numId="58">
    <w:abstractNumId w:val="58"/>
  </w:num>
  <w:num w:numId="59">
    <w:abstractNumId w:val="35"/>
  </w:num>
  <w:num w:numId="60">
    <w:abstractNumId w:val="41"/>
  </w:num>
  <w:num w:numId="61">
    <w:abstractNumId w:val="74"/>
  </w:num>
  <w:num w:numId="62">
    <w:abstractNumId w:val="96"/>
  </w:num>
  <w:num w:numId="63">
    <w:abstractNumId w:val="66"/>
  </w:num>
  <w:num w:numId="64">
    <w:abstractNumId w:val="67"/>
  </w:num>
  <w:num w:numId="65">
    <w:abstractNumId w:val="56"/>
  </w:num>
  <w:num w:numId="66">
    <w:abstractNumId w:val="42"/>
  </w:num>
  <w:num w:numId="67">
    <w:abstractNumId w:val="40"/>
  </w:num>
  <w:num w:numId="68">
    <w:abstractNumId w:val="23"/>
  </w:num>
  <w:num w:numId="69">
    <w:abstractNumId w:val="94"/>
  </w:num>
  <w:num w:numId="70">
    <w:abstractNumId w:val="17"/>
  </w:num>
  <w:num w:numId="71">
    <w:abstractNumId w:val="33"/>
  </w:num>
  <w:num w:numId="72">
    <w:abstractNumId w:val="87"/>
  </w:num>
  <w:num w:numId="73">
    <w:abstractNumId w:val="16"/>
  </w:num>
  <w:num w:numId="74">
    <w:abstractNumId w:val="103"/>
  </w:num>
  <w:num w:numId="75">
    <w:abstractNumId w:val="81"/>
  </w:num>
  <w:num w:numId="76">
    <w:abstractNumId w:val="12"/>
  </w:num>
  <w:num w:numId="77">
    <w:abstractNumId w:val="36"/>
  </w:num>
  <w:num w:numId="78">
    <w:abstractNumId w:val="15"/>
  </w:num>
  <w:num w:numId="79">
    <w:abstractNumId w:val="24"/>
  </w:num>
  <w:num w:numId="80">
    <w:abstractNumId w:val="20"/>
  </w:num>
  <w:num w:numId="81">
    <w:abstractNumId w:val="48"/>
  </w:num>
  <w:num w:numId="82">
    <w:abstractNumId w:val="8"/>
  </w:num>
  <w:num w:numId="83">
    <w:abstractNumId w:val="39"/>
  </w:num>
  <w:num w:numId="84">
    <w:abstractNumId w:val="116"/>
  </w:num>
  <w:num w:numId="85">
    <w:abstractNumId w:val="77"/>
  </w:num>
  <w:num w:numId="86">
    <w:abstractNumId w:val="44"/>
  </w:num>
  <w:num w:numId="87">
    <w:abstractNumId w:val="113"/>
  </w:num>
  <w:num w:numId="88">
    <w:abstractNumId w:val="9"/>
  </w:num>
  <w:num w:numId="89">
    <w:abstractNumId w:val="57"/>
  </w:num>
  <w:num w:numId="90">
    <w:abstractNumId w:val="110"/>
  </w:num>
  <w:num w:numId="91">
    <w:abstractNumId w:val="78"/>
  </w:num>
  <w:num w:numId="92">
    <w:abstractNumId w:val="65"/>
  </w:num>
  <w:num w:numId="93">
    <w:abstractNumId w:val="31"/>
  </w:num>
  <w:num w:numId="94">
    <w:abstractNumId w:val="63"/>
  </w:num>
  <w:num w:numId="95">
    <w:abstractNumId w:val="102"/>
  </w:num>
  <w:num w:numId="96">
    <w:abstractNumId w:val="30"/>
  </w:num>
  <w:num w:numId="97">
    <w:abstractNumId w:val="117"/>
  </w:num>
  <w:num w:numId="98">
    <w:abstractNumId w:val="86"/>
  </w:num>
  <w:num w:numId="99">
    <w:abstractNumId w:val="21"/>
  </w:num>
  <w:num w:numId="100">
    <w:abstractNumId w:val="7"/>
  </w:num>
  <w:num w:numId="101">
    <w:abstractNumId w:val="104"/>
  </w:num>
  <w:num w:numId="102">
    <w:abstractNumId w:val="71"/>
  </w:num>
  <w:num w:numId="103">
    <w:abstractNumId w:val="82"/>
  </w:num>
  <w:num w:numId="104">
    <w:abstractNumId w:val="107"/>
  </w:num>
  <w:num w:numId="105">
    <w:abstractNumId w:val="100"/>
  </w:num>
  <w:num w:numId="106">
    <w:abstractNumId w:val="18"/>
  </w:num>
  <w:num w:numId="107">
    <w:abstractNumId w:val="83"/>
  </w:num>
  <w:num w:numId="108">
    <w:abstractNumId w:val="70"/>
  </w:num>
  <w:num w:numId="109">
    <w:abstractNumId w:val="106"/>
  </w:num>
  <w:num w:numId="110">
    <w:abstractNumId w:val="32"/>
  </w:num>
  <w:num w:numId="111">
    <w:abstractNumId w:val="68"/>
  </w:num>
  <w:num w:numId="112">
    <w:abstractNumId w:val="72"/>
  </w:num>
  <w:num w:numId="113">
    <w:abstractNumId w:val="112"/>
  </w:num>
  <w:num w:numId="114">
    <w:abstractNumId w:val="47"/>
  </w:num>
  <w:num w:numId="115">
    <w:abstractNumId w:val="14"/>
  </w:num>
  <w:num w:numId="116">
    <w:abstractNumId w:val="69"/>
  </w:num>
  <w:num w:numId="117">
    <w:abstractNumId w:val="105"/>
  </w:num>
  <w:num w:numId="118">
    <w:abstractNumId w:val="6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NotTrackFormatting/>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5.2&quot; technicalblockguid=&quot;465543694134879200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7&lt;/text&gt;_x000d__x000a_  &lt;/metadata&gt;_x000d__x000a_  &lt;metadata key=&quot;md_Prefix&quot;&gt;_x000d__x000a_    &lt;text&gt;&lt;/text&gt;_x000d__x000a_  &lt;/metadata&gt;_x000d__x000a_  &lt;metadata key=&quot;md_DocumentNumber&quot;&gt;_x000d__x000a_    &lt;text&gt;10149&lt;/text&gt;_x000d__x000a_  &lt;/metadata&gt;_x000d__x000a_  &lt;metadata key=&quot;md_YearDocumentNumber&quot;&gt;_x000d__x000a_    &lt;text&gt;2021&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636&lt;/text&gt;_x000d__x000a_      &lt;text&gt;CADREFIN 331&lt;/text&gt;_x000d__x000a_      &lt;text&gt;UEM 171&lt;/text&gt;_x000d__x000a_      &lt;text&gt;FIN 51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154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VISED ANNEX to the Council Implementing Decision on the approval of the assessment of the recovery and resilience plan for Portugal&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 xml:space=&quot;preserve&quot;&amp;gt;REVISED &amp;lt;/Run&amp;gt;ANNEX to the Council Implementing Decision on the approval of the assessment of the recovery and resilience plan for &amp;lt;Run xml:lang=&quot;fr-be&quot;&amp;gt;Portugal&amp;lt;/Run&amp;gt;&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FDC/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LW_ACCOMPAGNANT.CP" w:val="k "/>
    <w:docVar w:name="LW_ANNEX_NBR_FIRST" w:val="1"/>
    <w:docVar w:name="LW_ANNEX_NBR_LAST" w:val="1"/>
    <w:docVar w:name="LW_ANNEX_UNIQUE" w:val="1"/>
    <w:docVar w:name="LW_CORRIGENDUM" w:val="&lt;UNUSED&gt;"/>
    <w:docVar w:name="LW_COVERPAGE_EXISTS" w:val="True"/>
    <w:docVar w:name="LW_COVERPAGE_GUID" w:val="CD1CEB90-84E6-47A9-9024-64D0FA840C60"/>
    <w:docVar w:name="LW_COVERPAGE_TYPE" w:val="1"/>
    <w:docVar w:name="LW_CROSSREFERENCE" w:val="{SWD(2023) 318 final}"/>
    <w:docVar w:name="LW_DocType" w:val="NORMAL"/>
    <w:docVar w:name="LW_EMISSION" w:val="22.9.2023"/>
    <w:docVar w:name="LW_EMISSION_ISODATE" w:val="2023-09-22"/>
    <w:docVar w:name="LW_EMISSION_LOCATION" w:val="BRX"/>
    <w:docVar w:name="LW_EMISSION_PREFIX" w:val="Bruselj, "/>
    <w:docVar w:name="LW_EMISSION_SUFFIX" w:val=" "/>
    <w:docVar w:name="LW_ID_DOCTYPE_NONLW" w:val="CP-036"/>
    <w:docVar w:name="LW_LANGUE" w:val="SL"/>
    <w:docVar w:name="LW_LEVEL_OF_SENSITIVITY" w:val="Standard treatment"/>
    <w:docVar w:name="LW_NOM.INST" w:val="EVROPSKA KOMISIJA"/>
    <w:docVar w:name="LW_NOM.INST_JOINTDOC" w:val="&lt;EMPTY&gt;"/>
    <w:docVar w:name="LW_OBJETACTEPRINCIPAL.CP" w:val="o spremembi Izvedbenega sklepa (EU) ST 10149/2021; ST 10149/2021 ADD 1 z dne 6. julija 2021 o odobritvi ocene načrta za okrevanje in odpornost za Portugalsko"/>
    <w:docVar w:name="LW_PART_NBR" w:val="1"/>
    <w:docVar w:name="LW_PART_NBR_TOTAL" w:val="1"/>
    <w:docVar w:name="LW_REF.INST.NEW" w:val="COM"/>
    <w:docVar w:name="LW_REF.INST.NEW_ADOPTED" w:val="final"/>
    <w:docVar w:name="LW_REF.INST.NEW_TEXT" w:val="(2023) 5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A_x000b_"/>
    <w:docVar w:name="LW_TYPEACTEPRINCIPAL.CP" w:val="Predlogu IZVEDBENEGA SKLEPA SVETA"/>
    <w:docVar w:name="LwApiVersions" w:val="LW4CoDe 1.23.2.0; LW 8.0, Build 20211117"/>
  </w:docVars>
  <w:rsids>
    <w:rsidRoot w:val="007C40E9"/>
    <w:rsid w:val="0000008D"/>
    <w:rsid w:val="000000F3"/>
    <w:rsid w:val="00000323"/>
    <w:rsid w:val="00000529"/>
    <w:rsid w:val="00000576"/>
    <w:rsid w:val="000005FF"/>
    <w:rsid w:val="0000064E"/>
    <w:rsid w:val="0000080C"/>
    <w:rsid w:val="00000B7F"/>
    <w:rsid w:val="00000CCC"/>
    <w:rsid w:val="00000F6D"/>
    <w:rsid w:val="00001142"/>
    <w:rsid w:val="0000116B"/>
    <w:rsid w:val="00001258"/>
    <w:rsid w:val="000012F4"/>
    <w:rsid w:val="000013F2"/>
    <w:rsid w:val="000017E6"/>
    <w:rsid w:val="000018CD"/>
    <w:rsid w:val="00001A21"/>
    <w:rsid w:val="00001A89"/>
    <w:rsid w:val="00001CE9"/>
    <w:rsid w:val="00001FC9"/>
    <w:rsid w:val="000022F5"/>
    <w:rsid w:val="00002316"/>
    <w:rsid w:val="00002337"/>
    <w:rsid w:val="00002741"/>
    <w:rsid w:val="000028A2"/>
    <w:rsid w:val="000028FF"/>
    <w:rsid w:val="00002959"/>
    <w:rsid w:val="00002AB9"/>
    <w:rsid w:val="00002C7B"/>
    <w:rsid w:val="00002C97"/>
    <w:rsid w:val="00002E5B"/>
    <w:rsid w:val="00002F2C"/>
    <w:rsid w:val="00002F5B"/>
    <w:rsid w:val="000032C5"/>
    <w:rsid w:val="00003796"/>
    <w:rsid w:val="00003874"/>
    <w:rsid w:val="00003B17"/>
    <w:rsid w:val="00003B4B"/>
    <w:rsid w:val="00003C25"/>
    <w:rsid w:val="00003F3B"/>
    <w:rsid w:val="00003FE2"/>
    <w:rsid w:val="00003FFC"/>
    <w:rsid w:val="000042A7"/>
    <w:rsid w:val="0000438B"/>
    <w:rsid w:val="00004412"/>
    <w:rsid w:val="000044DE"/>
    <w:rsid w:val="0000482A"/>
    <w:rsid w:val="00004B18"/>
    <w:rsid w:val="00004FD8"/>
    <w:rsid w:val="000050B9"/>
    <w:rsid w:val="000052CD"/>
    <w:rsid w:val="000053ED"/>
    <w:rsid w:val="000054BD"/>
    <w:rsid w:val="0000568D"/>
    <w:rsid w:val="00005986"/>
    <w:rsid w:val="00005999"/>
    <w:rsid w:val="00005A0C"/>
    <w:rsid w:val="00005D5F"/>
    <w:rsid w:val="00005F39"/>
    <w:rsid w:val="00005FB6"/>
    <w:rsid w:val="00006158"/>
    <w:rsid w:val="000062DE"/>
    <w:rsid w:val="000062DF"/>
    <w:rsid w:val="000065B4"/>
    <w:rsid w:val="0000698A"/>
    <w:rsid w:val="00006C1A"/>
    <w:rsid w:val="00006E3C"/>
    <w:rsid w:val="00006F8A"/>
    <w:rsid w:val="00007332"/>
    <w:rsid w:val="00007373"/>
    <w:rsid w:val="000073D5"/>
    <w:rsid w:val="0000755D"/>
    <w:rsid w:val="00007596"/>
    <w:rsid w:val="0000780B"/>
    <w:rsid w:val="00007C47"/>
    <w:rsid w:val="00007C62"/>
    <w:rsid w:val="00007F4E"/>
    <w:rsid w:val="00007FCE"/>
    <w:rsid w:val="00010248"/>
    <w:rsid w:val="000102FE"/>
    <w:rsid w:val="000103B1"/>
    <w:rsid w:val="000104AF"/>
    <w:rsid w:val="00010611"/>
    <w:rsid w:val="00010933"/>
    <w:rsid w:val="00010A55"/>
    <w:rsid w:val="00010F64"/>
    <w:rsid w:val="00010F99"/>
    <w:rsid w:val="00011021"/>
    <w:rsid w:val="00011253"/>
    <w:rsid w:val="0001160D"/>
    <w:rsid w:val="000116CA"/>
    <w:rsid w:val="00011BDB"/>
    <w:rsid w:val="00011F18"/>
    <w:rsid w:val="00011F94"/>
    <w:rsid w:val="000120CC"/>
    <w:rsid w:val="000126BC"/>
    <w:rsid w:val="0001273B"/>
    <w:rsid w:val="0001279B"/>
    <w:rsid w:val="000129ED"/>
    <w:rsid w:val="00012A6B"/>
    <w:rsid w:val="00012A7E"/>
    <w:rsid w:val="00012BF1"/>
    <w:rsid w:val="00012D15"/>
    <w:rsid w:val="00012DAD"/>
    <w:rsid w:val="00012DBA"/>
    <w:rsid w:val="00012E77"/>
    <w:rsid w:val="000139A8"/>
    <w:rsid w:val="00013BEA"/>
    <w:rsid w:val="00013DDC"/>
    <w:rsid w:val="00013FC3"/>
    <w:rsid w:val="000141A4"/>
    <w:rsid w:val="000142FD"/>
    <w:rsid w:val="0001434E"/>
    <w:rsid w:val="000143B3"/>
    <w:rsid w:val="000143D8"/>
    <w:rsid w:val="00014454"/>
    <w:rsid w:val="00014B22"/>
    <w:rsid w:val="00014E11"/>
    <w:rsid w:val="000150DC"/>
    <w:rsid w:val="000151C2"/>
    <w:rsid w:val="0001520F"/>
    <w:rsid w:val="00015504"/>
    <w:rsid w:val="000155EB"/>
    <w:rsid w:val="000156C2"/>
    <w:rsid w:val="00015848"/>
    <w:rsid w:val="000159B2"/>
    <w:rsid w:val="00015B23"/>
    <w:rsid w:val="00015F0B"/>
    <w:rsid w:val="00015F77"/>
    <w:rsid w:val="0001602C"/>
    <w:rsid w:val="00016058"/>
    <w:rsid w:val="000161D9"/>
    <w:rsid w:val="00016237"/>
    <w:rsid w:val="000162B9"/>
    <w:rsid w:val="000162BA"/>
    <w:rsid w:val="000163A1"/>
    <w:rsid w:val="000165A4"/>
    <w:rsid w:val="000166C7"/>
    <w:rsid w:val="0001684A"/>
    <w:rsid w:val="00016A1C"/>
    <w:rsid w:val="00016BD5"/>
    <w:rsid w:val="00016E25"/>
    <w:rsid w:val="00016E8B"/>
    <w:rsid w:val="00017178"/>
    <w:rsid w:val="00017186"/>
    <w:rsid w:val="000174C2"/>
    <w:rsid w:val="00017531"/>
    <w:rsid w:val="000175AB"/>
    <w:rsid w:val="000176AD"/>
    <w:rsid w:val="000177CB"/>
    <w:rsid w:val="0001782F"/>
    <w:rsid w:val="00017831"/>
    <w:rsid w:val="00017A10"/>
    <w:rsid w:val="00017E46"/>
    <w:rsid w:val="00020052"/>
    <w:rsid w:val="0002037E"/>
    <w:rsid w:val="00020594"/>
    <w:rsid w:val="000206B9"/>
    <w:rsid w:val="0002082E"/>
    <w:rsid w:val="000209A5"/>
    <w:rsid w:val="000209B0"/>
    <w:rsid w:val="00020A61"/>
    <w:rsid w:val="00020A8F"/>
    <w:rsid w:val="00020B0F"/>
    <w:rsid w:val="00020EBA"/>
    <w:rsid w:val="00021016"/>
    <w:rsid w:val="0002101C"/>
    <w:rsid w:val="0002134D"/>
    <w:rsid w:val="00021A62"/>
    <w:rsid w:val="00021BE8"/>
    <w:rsid w:val="00021F53"/>
    <w:rsid w:val="0002235D"/>
    <w:rsid w:val="00022425"/>
    <w:rsid w:val="0002274E"/>
    <w:rsid w:val="0002276F"/>
    <w:rsid w:val="0002294E"/>
    <w:rsid w:val="0002296D"/>
    <w:rsid w:val="000229DA"/>
    <w:rsid w:val="00022B95"/>
    <w:rsid w:val="00022CED"/>
    <w:rsid w:val="00022EAA"/>
    <w:rsid w:val="00023183"/>
    <w:rsid w:val="000239E6"/>
    <w:rsid w:val="00023DE2"/>
    <w:rsid w:val="00024228"/>
    <w:rsid w:val="000244AC"/>
    <w:rsid w:val="000245BC"/>
    <w:rsid w:val="000245D1"/>
    <w:rsid w:val="000247EC"/>
    <w:rsid w:val="000248C2"/>
    <w:rsid w:val="00024AC2"/>
    <w:rsid w:val="00024C45"/>
    <w:rsid w:val="00024CFC"/>
    <w:rsid w:val="0002515F"/>
    <w:rsid w:val="000252D5"/>
    <w:rsid w:val="0002561B"/>
    <w:rsid w:val="00025657"/>
    <w:rsid w:val="0002590D"/>
    <w:rsid w:val="0002592B"/>
    <w:rsid w:val="00025A76"/>
    <w:rsid w:val="00025BD0"/>
    <w:rsid w:val="00025F02"/>
    <w:rsid w:val="00025F3C"/>
    <w:rsid w:val="0002636A"/>
    <w:rsid w:val="00026389"/>
    <w:rsid w:val="000263C6"/>
    <w:rsid w:val="000265CF"/>
    <w:rsid w:val="00026A33"/>
    <w:rsid w:val="00026C22"/>
    <w:rsid w:val="00026C64"/>
    <w:rsid w:val="00026C9A"/>
    <w:rsid w:val="0002712C"/>
    <w:rsid w:val="00027334"/>
    <w:rsid w:val="000273F4"/>
    <w:rsid w:val="00027476"/>
    <w:rsid w:val="0002754A"/>
    <w:rsid w:val="0002783C"/>
    <w:rsid w:val="000278F2"/>
    <w:rsid w:val="00027A5D"/>
    <w:rsid w:val="00027CAF"/>
    <w:rsid w:val="00027E1A"/>
    <w:rsid w:val="00027F14"/>
    <w:rsid w:val="000300AA"/>
    <w:rsid w:val="00030797"/>
    <w:rsid w:val="00030830"/>
    <w:rsid w:val="00030993"/>
    <w:rsid w:val="000309C1"/>
    <w:rsid w:val="00030A32"/>
    <w:rsid w:val="00030DA3"/>
    <w:rsid w:val="00031175"/>
    <w:rsid w:val="0003127E"/>
    <w:rsid w:val="000312CA"/>
    <w:rsid w:val="00031472"/>
    <w:rsid w:val="0003164A"/>
    <w:rsid w:val="0003191A"/>
    <w:rsid w:val="00031962"/>
    <w:rsid w:val="00031B5A"/>
    <w:rsid w:val="00031C47"/>
    <w:rsid w:val="00031D07"/>
    <w:rsid w:val="00032124"/>
    <w:rsid w:val="0003225D"/>
    <w:rsid w:val="00032335"/>
    <w:rsid w:val="00032B36"/>
    <w:rsid w:val="00032CA7"/>
    <w:rsid w:val="00032DB5"/>
    <w:rsid w:val="00032E9D"/>
    <w:rsid w:val="00032EE4"/>
    <w:rsid w:val="0003306E"/>
    <w:rsid w:val="00033234"/>
    <w:rsid w:val="0003335C"/>
    <w:rsid w:val="00033373"/>
    <w:rsid w:val="000335CA"/>
    <w:rsid w:val="000336B3"/>
    <w:rsid w:val="00033A00"/>
    <w:rsid w:val="00033A0D"/>
    <w:rsid w:val="00033DB2"/>
    <w:rsid w:val="00033EE3"/>
    <w:rsid w:val="0003449C"/>
    <w:rsid w:val="000344B0"/>
    <w:rsid w:val="000345DC"/>
    <w:rsid w:val="00034AE0"/>
    <w:rsid w:val="00034C14"/>
    <w:rsid w:val="00035116"/>
    <w:rsid w:val="00035230"/>
    <w:rsid w:val="00035587"/>
    <w:rsid w:val="00035940"/>
    <w:rsid w:val="00035B66"/>
    <w:rsid w:val="00035C66"/>
    <w:rsid w:val="00035FA6"/>
    <w:rsid w:val="0003601E"/>
    <w:rsid w:val="000365E2"/>
    <w:rsid w:val="00036893"/>
    <w:rsid w:val="00036C14"/>
    <w:rsid w:val="00037239"/>
    <w:rsid w:val="00037286"/>
    <w:rsid w:val="00037322"/>
    <w:rsid w:val="0003775E"/>
    <w:rsid w:val="000378E7"/>
    <w:rsid w:val="00037D94"/>
    <w:rsid w:val="00037E65"/>
    <w:rsid w:val="000401F5"/>
    <w:rsid w:val="0004034C"/>
    <w:rsid w:val="000404C8"/>
    <w:rsid w:val="000404E1"/>
    <w:rsid w:val="00040500"/>
    <w:rsid w:val="000405A6"/>
    <w:rsid w:val="000409CB"/>
    <w:rsid w:val="00040A25"/>
    <w:rsid w:val="00041384"/>
    <w:rsid w:val="000419FF"/>
    <w:rsid w:val="00041D91"/>
    <w:rsid w:val="00041DE6"/>
    <w:rsid w:val="000421E6"/>
    <w:rsid w:val="0004235E"/>
    <w:rsid w:val="000423D9"/>
    <w:rsid w:val="00042D28"/>
    <w:rsid w:val="00043129"/>
    <w:rsid w:val="000432C2"/>
    <w:rsid w:val="00043783"/>
    <w:rsid w:val="00043BF1"/>
    <w:rsid w:val="00043E76"/>
    <w:rsid w:val="00043EE0"/>
    <w:rsid w:val="00043F66"/>
    <w:rsid w:val="0004409A"/>
    <w:rsid w:val="0004425F"/>
    <w:rsid w:val="00044841"/>
    <w:rsid w:val="0004486D"/>
    <w:rsid w:val="00044AAF"/>
    <w:rsid w:val="00044ABA"/>
    <w:rsid w:val="00044C45"/>
    <w:rsid w:val="00044CF5"/>
    <w:rsid w:val="00044F87"/>
    <w:rsid w:val="0004511C"/>
    <w:rsid w:val="00045136"/>
    <w:rsid w:val="00045359"/>
    <w:rsid w:val="0004552F"/>
    <w:rsid w:val="000455CD"/>
    <w:rsid w:val="000459BC"/>
    <w:rsid w:val="00045E5C"/>
    <w:rsid w:val="000462AC"/>
    <w:rsid w:val="000466F4"/>
    <w:rsid w:val="00046806"/>
    <w:rsid w:val="00046929"/>
    <w:rsid w:val="000469FA"/>
    <w:rsid w:val="00046AAC"/>
    <w:rsid w:val="00046B3F"/>
    <w:rsid w:val="00046BBE"/>
    <w:rsid w:val="00046CF0"/>
    <w:rsid w:val="00046DB4"/>
    <w:rsid w:val="00046E7B"/>
    <w:rsid w:val="000476E1"/>
    <w:rsid w:val="00047C3A"/>
    <w:rsid w:val="00047CF7"/>
    <w:rsid w:val="0005027F"/>
    <w:rsid w:val="00050287"/>
    <w:rsid w:val="00050546"/>
    <w:rsid w:val="000506CE"/>
    <w:rsid w:val="00050705"/>
    <w:rsid w:val="00050712"/>
    <w:rsid w:val="00050935"/>
    <w:rsid w:val="00050B2A"/>
    <w:rsid w:val="00050B5C"/>
    <w:rsid w:val="00050CAD"/>
    <w:rsid w:val="00050E8B"/>
    <w:rsid w:val="000512F2"/>
    <w:rsid w:val="00051544"/>
    <w:rsid w:val="0005160B"/>
    <w:rsid w:val="00051A70"/>
    <w:rsid w:val="00051B2F"/>
    <w:rsid w:val="00051B5A"/>
    <w:rsid w:val="00051C0A"/>
    <w:rsid w:val="00051D8D"/>
    <w:rsid w:val="00051E2D"/>
    <w:rsid w:val="00051F8A"/>
    <w:rsid w:val="00051FE3"/>
    <w:rsid w:val="00052752"/>
    <w:rsid w:val="00052867"/>
    <w:rsid w:val="00052898"/>
    <w:rsid w:val="00052CBF"/>
    <w:rsid w:val="00052F48"/>
    <w:rsid w:val="000531BD"/>
    <w:rsid w:val="000531DB"/>
    <w:rsid w:val="0005329F"/>
    <w:rsid w:val="00053646"/>
    <w:rsid w:val="00053725"/>
    <w:rsid w:val="000538CE"/>
    <w:rsid w:val="00053A55"/>
    <w:rsid w:val="00053AB3"/>
    <w:rsid w:val="00053AC9"/>
    <w:rsid w:val="00053C04"/>
    <w:rsid w:val="00053F51"/>
    <w:rsid w:val="00054067"/>
    <w:rsid w:val="00054186"/>
    <w:rsid w:val="00054320"/>
    <w:rsid w:val="000543D1"/>
    <w:rsid w:val="000543EE"/>
    <w:rsid w:val="000545ED"/>
    <w:rsid w:val="00054682"/>
    <w:rsid w:val="0005476B"/>
    <w:rsid w:val="000547B8"/>
    <w:rsid w:val="00054AD7"/>
    <w:rsid w:val="00054BC9"/>
    <w:rsid w:val="00054D49"/>
    <w:rsid w:val="00054D5F"/>
    <w:rsid w:val="00054EBF"/>
    <w:rsid w:val="00054FDB"/>
    <w:rsid w:val="0005503B"/>
    <w:rsid w:val="00055834"/>
    <w:rsid w:val="00055E73"/>
    <w:rsid w:val="000564B1"/>
    <w:rsid w:val="000565BB"/>
    <w:rsid w:val="00056771"/>
    <w:rsid w:val="000568E5"/>
    <w:rsid w:val="00056CFC"/>
    <w:rsid w:val="00056DB8"/>
    <w:rsid w:val="00056E01"/>
    <w:rsid w:val="00056E8F"/>
    <w:rsid w:val="00056FA2"/>
    <w:rsid w:val="00057027"/>
    <w:rsid w:val="00057069"/>
    <w:rsid w:val="000570D7"/>
    <w:rsid w:val="00057161"/>
    <w:rsid w:val="000575C1"/>
    <w:rsid w:val="00057683"/>
    <w:rsid w:val="000578EA"/>
    <w:rsid w:val="000578EF"/>
    <w:rsid w:val="00057970"/>
    <w:rsid w:val="00057D64"/>
    <w:rsid w:val="00057DF4"/>
    <w:rsid w:val="000600AC"/>
    <w:rsid w:val="000600BE"/>
    <w:rsid w:val="0006027B"/>
    <w:rsid w:val="000603A3"/>
    <w:rsid w:val="000605EC"/>
    <w:rsid w:val="000605FB"/>
    <w:rsid w:val="00060610"/>
    <w:rsid w:val="00060682"/>
    <w:rsid w:val="000606D8"/>
    <w:rsid w:val="00060AB3"/>
    <w:rsid w:val="00060ADF"/>
    <w:rsid w:val="00060DD8"/>
    <w:rsid w:val="00060DDD"/>
    <w:rsid w:val="000614A6"/>
    <w:rsid w:val="00061621"/>
    <w:rsid w:val="0006171B"/>
    <w:rsid w:val="00061922"/>
    <w:rsid w:val="00061AF4"/>
    <w:rsid w:val="00061C49"/>
    <w:rsid w:val="00061CA2"/>
    <w:rsid w:val="0006201A"/>
    <w:rsid w:val="000620D0"/>
    <w:rsid w:val="000623C6"/>
    <w:rsid w:val="000624DF"/>
    <w:rsid w:val="00062845"/>
    <w:rsid w:val="00062A35"/>
    <w:rsid w:val="00062B47"/>
    <w:rsid w:val="00062DF0"/>
    <w:rsid w:val="00062F37"/>
    <w:rsid w:val="00062F89"/>
    <w:rsid w:val="00062F9C"/>
    <w:rsid w:val="0006301D"/>
    <w:rsid w:val="000631FE"/>
    <w:rsid w:val="00063572"/>
    <w:rsid w:val="0006361B"/>
    <w:rsid w:val="000637D1"/>
    <w:rsid w:val="00063ECB"/>
    <w:rsid w:val="00064078"/>
    <w:rsid w:val="00064098"/>
    <w:rsid w:val="00064269"/>
    <w:rsid w:val="0006443D"/>
    <w:rsid w:val="00064557"/>
    <w:rsid w:val="0006461E"/>
    <w:rsid w:val="00064829"/>
    <w:rsid w:val="000648FB"/>
    <w:rsid w:val="00064BBA"/>
    <w:rsid w:val="00064E24"/>
    <w:rsid w:val="00064F9F"/>
    <w:rsid w:val="000651B6"/>
    <w:rsid w:val="000653CE"/>
    <w:rsid w:val="000654C9"/>
    <w:rsid w:val="00065710"/>
    <w:rsid w:val="00065C38"/>
    <w:rsid w:val="000661A4"/>
    <w:rsid w:val="00066501"/>
    <w:rsid w:val="00066574"/>
    <w:rsid w:val="00066998"/>
    <w:rsid w:val="00066B30"/>
    <w:rsid w:val="00066BBC"/>
    <w:rsid w:val="00066C0E"/>
    <w:rsid w:val="00066ECD"/>
    <w:rsid w:val="00066ED3"/>
    <w:rsid w:val="00067180"/>
    <w:rsid w:val="000673B3"/>
    <w:rsid w:val="0006750F"/>
    <w:rsid w:val="00067597"/>
    <w:rsid w:val="00067EA8"/>
    <w:rsid w:val="00067F71"/>
    <w:rsid w:val="00070447"/>
    <w:rsid w:val="00070C41"/>
    <w:rsid w:val="00070C75"/>
    <w:rsid w:val="00070C76"/>
    <w:rsid w:val="000710EB"/>
    <w:rsid w:val="0007125B"/>
    <w:rsid w:val="00071539"/>
    <w:rsid w:val="000715B5"/>
    <w:rsid w:val="00071806"/>
    <w:rsid w:val="0007191E"/>
    <w:rsid w:val="0007198C"/>
    <w:rsid w:val="000719B3"/>
    <w:rsid w:val="000719BC"/>
    <w:rsid w:val="000719DD"/>
    <w:rsid w:val="00071B8E"/>
    <w:rsid w:val="00071BBF"/>
    <w:rsid w:val="00071C48"/>
    <w:rsid w:val="00072405"/>
    <w:rsid w:val="000724C1"/>
    <w:rsid w:val="0007259E"/>
    <w:rsid w:val="000727CC"/>
    <w:rsid w:val="0007293A"/>
    <w:rsid w:val="00072AAD"/>
    <w:rsid w:val="00072B01"/>
    <w:rsid w:val="00072D67"/>
    <w:rsid w:val="00072DEE"/>
    <w:rsid w:val="00072E4A"/>
    <w:rsid w:val="0007330F"/>
    <w:rsid w:val="00073C88"/>
    <w:rsid w:val="00073D1E"/>
    <w:rsid w:val="00073E34"/>
    <w:rsid w:val="00073F5A"/>
    <w:rsid w:val="00073F62"/>
    <w:rsid w:val="00073FA7"/>
    <w:rsid w:val="0007437F"/>
    <w:rsid w:val="00074444"/>
    <w:rsid w:val="000747D7"/>
    <w:rsid w:val="00074E9A"/>
    <w:rsid w:val="00074F29"/>
    <w:rsid w:val="00074F6A"/>
    <w:rsid w:val="00074F8E"/>
    <w:rsid w:val="00075040"/>
    <w:rsid w:val="0007535B"/>
    <w:rsid w:val="0007591D"/>
    <w:rsid w:val="00075D71"/>
    <w:rsid w:val="00076018"/>
    <w:rsid w:val="000760F3"/>
    <w:rsid w:val="00076316"/>
    <w:rsid w:val="00076378"/>
    <w:rsid w:val="00076409"/>
    <w:rsid w:val="00076486"/>
    <w:rsid w:val="00076728"/>
    <w:rsid w:val="00076B57"/>
    <w:rsid w:val="00076C54"/>
    <w:rsid w:val="00076F37"/>
    <w:rsid w:val="00077411"/>
    <w:rsid w:val="000776D0"/>
    <w:rsid w:val="00077A66"/>
    <w:rsid w:val="00077B54"/>
    <w:rsid w:val="00077C0F"/>
    <w:rsid w:val="00077D82"/>
    <w:rsid w:val="00077DCB"/>
    <w:rsid w:val="00077FBC"/>
    <w:rsid w:val="000801DF"/>
    <w:rsid w:val="00080639"/>
    <w:rsid w:val="0008063A"/>
    <w:rsid w:val="00080959"/>
    <w:rsid w:val="00080C21"/>
    <w:rsid w:val="00080EF9"/>
    <w:rsid w:val="00081170"/>
    <w:rsid w:val="00081398"/>
    <w:rsid w:val="00081695"/>
    <w:rsid w:val="000818F7"/>
    <w:rsid w:val="00081D8E"/>
    <w:rsid w:val="000820B9"/>
    <w:rsid w:val="0008241F"/>
    <w:rsid w:val="00082469"/>
    <w:rsid w:val="00082679"/>
    <w:rsid w:val="0008277E"/>
    <w:rsid w:val="00082816"/>
    <w:rsid w:val="00082A44"/>
    <w:rsid w:val="00082B45"/>
    <w:rsid w:val="00082B4A"/>
    <w:rsid w:val="00082C33"/>
    <w:rsid w:val="000832C9"/>
    <w:rsid w:val="000832FD"/>
    <w:rsid w:val="000833E3"/>
    <w:rsid w:val="00083486"/>
    <w:rsid w:val="000834C3"/>
    <w:rsid w:val="00083602"/>
    <w:rsid w:val="0008361A"/>
    <w:rsid w:val="0008392A"/>
    <w:rsid w:val="00083A9A"/>
    <w:rsid w:val="00083E05"/>
    <w:rsid w:val="00084028"/>
    <w:rsid w:val="00084115"/>
    <w:rsid w:val="00084459"/>
    <w:rsid w:val="000844DF"/>
    <w:rsid w:val="000844F1"/>
    <w:rsid w:val="00084551"/>
    <w:rsid w:val="0008469D"/>
    <w:rsid w:val="0008471E"/>
    <w:rsid w:val="00084962"/>
    <w:rsid w:val="00084C26"/>
    <w:rsid w:val="00084C9F"/>
    <w:rsid w:val="00084FFA"/>
    <w:rsid w:val="00085053"/>
    <w:rsid w:val="0008509A"/>
    <w:rsid w:val="0008534D"/>
    <w:rsid w:val="000853B1"/>
    <w:rsid w:val="00085495"/>
    <w:rsid w:val="00085844"/>
    <w:rsid w:val="0008590A"/>
    <w:rsid w:val="000860AE"/>
    <w:rsid w:val="000864BE"/>
    <w:rsid w:val="00086630"/>
    <w:rsid w:val="000866A8"/>
    <w:rsid w:val="0008691F"/>
    <w:rsid w:val="00086D26"/>
    <w:rsid w:val="00086E2D"/>
    <w:rsid w:val="00086EED"/>
    <w:rsid w:val="00086FFD"/>
    <w:rsid w:val="000874F1"/>
    <w:rsid w:val="000876A8"/>
    <w:rsid w:val="00087B08"/>
    <w:rsid w:val="00087B54"/>
    <w:rsid w:val="00087FF2"/>
    <w:rsid w:val="000903E5"/>
    <w:rsid w:val="0009053D"/>
    <w:rsid w:val="000905CA"/>
    <w:rsid w:val="00090906"/>
    <w:rsid w:val="00090ED6"/>
    <w:rsid w:val="00091024"/>
    <w:rsid w:val="00091456"/>
    <w:rsid w:val="00091503"/>
    <w:rsid w:val="00091AC8"/>
    <w:rsid w:val="00091B62"/>
    <w:rsid w:val="00091B84"/>
    <w:rsid w:val="00091C05"/>
    <w:rsid w:val="00091F1C"/>
    <w:rsid w:val="00091FEE"/>
    <w:rsid w:val="000925E6"/>
    <w:rsid w:val="000928CE"/>
    <w:rsid w:val="00092ADF"/>
    <w:rsid w:val="00092BF5"/>
    <w:rsid w:val="00092C29"/>
    <w:rsid w:val="0009305B"/>
    <w:rsid w:val="00093130"/>
    <w:rsid w:val="00093219"/>
    <w:rsid w:val="0009322E"/>
    <w:rsid w:val="0009355C"/>
    <w:rsid w:val="000935D7"/>
    <w:rsid w:val="000936EC"/>
    <w:rsid w:val="000937C2"/>
    <w:rsid w:val="000938FC"/>
    <w:rsid w:val="0009395E"/>
    <w:rsid w:val="00093B66"/>
    <w:rsid w:val="00093BC0"/>
    <w:rsid w:val="00093C08"/>
    <w:rsid w:val="00093D01"/>
    <w:rsid w:val="000940D1"/>
    <w:rsid w:val="0009444F"/>
    <w:rsid w:val="00094616"/>
    <w:rsid w:val="00094C75"/>
    <w:rsid w:val="00094F14"/>
    <w:rsid w:val="00094FAD"/>
    <w:rsid w:val="00094FD9"/>
    <w:rsid w:val="00095003"/>
    <w:rsid w:val="000952E9"/>
    <w:rsid w:val="00095304"/>
    <w:rsid w:val="00095536"/>
    <w:rsid w:val="000959BF"/>
    <w:rsid w:val="00095A22"/>
    <w:rsid w:val="00095B44"/>
    <w:rsid w:val="00095BF7"/>
    <w:rsid w:val="00095D00"/>
    <w:rsid w:val="00096105"/>
    <w:rsid w:val="0009678E"/>
    <w:rsid w:val="0009681E"/>
    <w:rsid w:val="00096A6F"/>
    <w:rsid w:val="00096CA7"/>
    <w:rsid w:val="00096E63"/>
    <w:rsid w:val="00096F5E"/>
    <w:rsid w:val="00096F60"/>
    <w:rsid w:val="0009799D"/>
    <w:rsid w:val="00097A12"/>
    <w:rsid w:val="00097C91"/>
    <w:rsid w:val="00097DD2"/>
    <w:rsid w:val="00097FDA"/>
    <w:rsid w:val="000A0565"/>
    <w:rsid w:val="000A0810"/>
    <w:rsid w:val="000A092D"/>
    <w:rsid w:val="000A0ECE"/>
    <w:rsid w:val="000A0F8A"/>
    <w:rsid w:val="000A114E"/>
    <w:rsid w:val="000A1278"/>
    <w:rsid w:val="000A1841"/>
    <w:rsid w:val="000A19CA"/>
    <w:rsid w:val="000A1A2D"/>
    <w:rsid w:val="000A1B9A"/>
    <w:rsid w:val="000A1D84"/>
    <w:rsid w:val="000A1E0A"/>
    <w:rsid w:val="000A1E79"/>
    <w:rsid w:val="000A1ED0"/>
    <w:rsid w:val="000A201A"/>
    <w:rsid w:val="000A2200"/>
    <w:rsid w:val="000A2379"/>
    <w:rsid w:val="000A23A2"/>
    <w:rsid w:val="000A2751"/>
    <w:rsid w:val="000A2A07"/>
    <w:rsid w:val="000A2B7E"/>
    <w:rsid w:val="000A2BB7"/>
    <w:rsid w:val="000A2BF5"/>
    <w:rsid w:val="000A2C41"/>
    <w:rsid w:val="000A2CB3"/>
    <w:rsid w:val="000A2CBB"/>
    <w:rsid w:val="000A2DB2"/>
    <w:rsid w:val="000A3285"/>
    <w:rsid w:val="000A358B"/>
    <w:rsid w:val="000A37EB"/>
    <w:rsid w:val="000A3DD0"/>
    <w:rsid w:val="000A3F07"/>
    <w:rsid w:val="000A4094"/>
    <w:rsid w:val="000A40E2"/>
    <w:rsid w:val="000A4137"/>
    <w:rsid w:val="000A4182"/>
    <w:rsid w:val="000A42B8"/>
    <w:rsid w:val="000A445C"/>
    <w:rsid w:val="000A45B1"/>
    <w:rsid w:val="000A45EB"/>
    <w:rsid w:val="000A4654"/>
    <w:rsid w:val="000A4690"/>
    <w:rsid w:val="000A493B"/>
    <w:rsid w:val="000A4E90"/>
    <w:rsid w:val="000A50E5"/>
    <w:rsid w:val="000A5130"/>
    <w:rsid w:val="000A5500"/>
    <w:rsid w:val="000A5586"/>
    <w:rsid w:val="000A5745"/>
    <w:rsid w:val="000A5861"/>
    <w:rsid w:val="000A5DF4"/>
    <w:rsid w:val="000A5E45"/>
    <w:rsid w:val="000A5E57"/>
    <w:rsid w:val="000A6110"/>
    <w:rsid w:val="000A63C8"/>
    <w:rsid w:val="000A6513"/>
    <w:rsid w:val="000A66D2"/>
    <w:rsid w:val="000A692E"/>
    <w:rsid w:val="000A6C57"/>
    <w:rsid w:val="000A6CCF"/>
    <w:rsid w:val="000A6D10"/>
    <w:rsid w:val="000A6D92"/>
    <w:rsid w:val="000A6FFE"/>
    <w:rsid w:val="000A707B"/>
    <w:rsid w:val="000A7165"/>
    <w:rsid w:val="000A734B"/>
    <w:rsid w:val="000A7757"/>
    <w:rsid w:val="000A77B4"/>
    <w:rsid w:val="000A77F5"/>
    <w:rsid w:val="000A7BD6"/>
    <w:rsid w:val="000A7E75"/>
    <w:rsid w:val="000A7E84"/>
    <w:rsid w:val="000A7EC7"/>
    <w:rsid w:val="000B0089"/>
    <w:rsid w:val="000B0254"/>
    <w:rsid w:val="000B0328"/>
    <w:rsid w:val="000B0516"/>
    <w:rsid w:val="000B06AC"/>
    <w:rsid w:val="000B06AF"/>
    <w:rsid w:val="000B09CE"/>
    <w:rsid w:val="000B0A73"/>
    <w:rsid w:val="000B0BDD"/>
    <w:rsid w:val="000B0CAD"/>
    <w:rsid w:val="000B1030"/>
    <w:rsid w:val="000B123B"/>
    <w:rsid w:val="000B13A3"/>
    <w:rsid w:val="000B13CA"/>
    <w:rsid w:val="000B14BA"/>
    <w:rsid w:val="000B179A"/>
    <w:rsid w:val="000B1988"/>
    <w:rsid w:val="000B1B59"/>
    <w:rsid w:val="000B1D80"/>
    <w:rsid w:val="000B1EBB"/>
    <w:rsid w:val="000B204C"/>
    <w:rsid w:val="000B2266"/>
    <w:rsid w:val="000B242D"/>
    <w:rsid w:val="000B26E2"/>
    <w:rsid w:val="000B2828"/>
    <w:rsid w:val="000B28DA"/>
    <w:rsid w:val="000B2A7D"/>
    <w:rsid w:val="000B30F9"/>
    <w:rsid w:val="000B314B"/>
    <w:rsid w:val="000B3279"/>
    <w:rsid w:val="000B34AC"/>
    <w:rsid w:val="000B379B"/>
    <w:rsid w:val="000B37A3"/>
    <w:rsid w:val="000B37EB"/>
    <w:rsid w:val="000B38D1"/>
    <w:rsid w:val="000B3B7D"/>
    <w:rsid w:val="000B3C5D"/>
    <w:rsid w:val="000B3EC7"/>
    <w:rsid w:val="000B3FE8"/>
    <w:rsid w:val="000B4077"/>
    <w:rsid w:val="000B43FB"/>
    <w:rsid w:val="000B454F"/>
    <w:rsid w:val="000B45A4"/>
    <w:rsid w:val="000B45C2"/>
    <w:rsid w:val="000B4707"/>
    <w:rsid w:val="000B4875"/>
    <w:rsid w:val="000B48C8"/>
    <w:rsid w:val="000B4937"/>
    <w:rsid w:val="000B4ACF"/>
    <w:rsid w:val="000B4D66"/>
    <w:rsid w:val="000B5093"/>
    <w:rsid w:val="000B514A"/>
    <w:rsid w:val="000B5189"/>
    <w:rsid w:val="000B51D6"/>
    <w:rsid w:val="000B52D9"/>
    <w:rsid w:val="000B5488"/>
    <w:rsid w:val="000B54B0"/>
    <w:rsid w:val="000B54C0"/>
    <w:rsid w:val="000B56CE"/>
    <w:rsid w:val="000B5719"/>
    <w:rsid w:val="000B5B13"/>
    <w:rsid w:val="000B5E37"/>
    <w:rsid w:val="000B5E5B"/>
    <w:rsid w:val="000B5EEC"/>
    <w:rsid w:val="000B636D"/>
    <w:rsid w:val="000B643D"/>
    <w:rsid w:val="000B653E"/>
    <w:rsid w:val="000B657D"/>
    <w:rsid w:val="000B65F3"/>
    <w:rsid w:val="000B68AC"/>
    <w:rsid w:val="000B6A9D"/>
    <w:rsid w:val="000B7258"/>
    <w:rsid w:val="000B73EF"/>
    <w:rsid w:val="000B7485"/>
    <w:rsid w:val="000B79C4"/>
    <w:rsid w:val="000B7BDF"/>
    <w:rsid w:val="000C02A1"/>
    <w:rsid w:val="000C0558"/>
    <w:rsid w:val="000C0786"/>
    <w:rsid w:val="000C0A6F"/>
    <w:rsid w:val="000C0BD4"/>
    <w:rsid w:val="000C10F3"/>
    <w:rsid w:val="000C1117"/>
    <w:rsid w:val="000C1211"/>
    <w:rsid w:val="000C1261"/>
    <w:rsid w:val="000C1285"/>
    <w:rsid w:val="000C1F5D"/>
    <w:rsid w:val="000C211E"/>
    <w:rsid w:val="000C232A"/>
    <w:rsid w:val="000C239B"/>
    <w:rsid w:val="000C2626"/>
    <w:rsid w:val="000C26FA"/>
    <w:rsid w:val="000C2A2D"/>
    <w:rsid w:val="000C2D8B"/>
    <w:rsid w:val="000C2DCB"/>
    <w:rsid w:val="000C2E33"/>
    <w:rsid w:val="000C2E88"/>
    <w:rsid w:val="000C2EB7"/>
    <w:rsid w:val="000C300C"/>
    <w:rsid w:val="000C300E"/>
    <w:rsid w:val="000C30BE"/>
    <w:rsid w:val="000C326A"/>
    <w:rsid w:val="000C34A5"/>
    <w:rsid w:val="000C3794"/>
    <w:rsid w:val="000C3A19"/>
    <w:rsid w:val="000C3CE5"/>
    <w:rsid w:val="000C3D21"/>
    <w:rsid w:val="000C3D5B"/>
    <w:rsid w:val="000C4089"/>
    <w:rsid w:val="000C4095"/>
    <w:rsid w:val="000C449E"/>
    <w:rsid w:val="000C457B"/>
    <w:rsid w:val="000C46D4"/>
    <w:rsid w:val="000C4831"/>
    <w:rsid w:val="000C496E"/>
    <w:rsid w:val="000C49B7"/>
    <w:rsid w:val="000C4A41"/>
    <w:rsid w:val="000C4A6E"/>
    <w:rsid w:val="000C4BF5"/>
    <w:rsid w:val="000C50F4"/>
    <w:rsid w:val="000C5245"/>
    <w:rsid w:val="000C52D4"/>
    <w:rsid w:val="000C531D"/>
    <w:rsid w:val="000C5350"/>
    <w:rsid w:val="000C54D5"/>
    <w:rsid w:val="000C54DC"/>
    <w:rsid w:val="000C5504"/>
    <w:rsid w:val="000C55C5"/>
    <w:rsid w:val="000C56A4"/>
    <w:rsid w:val="000C585E"/>
    <w:rsid w:val="000C5A45"/>
    <w:rsid w:val="000C5A79"/>
    <w:rsid w:val="000C5ADA"/>
    <w:rsid w:val="000C5B23"/>
    <w:rsid w:val="000C5DBB"/>
    <w:rsid w:val="000C61AC"/>
    <w:rsid w:val="000C6203"/>
    <w:rsid w:val="000C6220"/>
    <w:rsid w:val="000C63A6"/>
    <w:rsid w:val="000C6C86"/>
    <w:rsid w:val="000C735F"/>
    <w:rsid w:val="000C73EA"/>
    <w:rsid w:val="000C7420"/>
    <w:rsid w:val="000C74D4"/>
    <w:rsid w:val="000C76E0"/>
    <w:rsid w:val="000C7B7B"/>
    <w:rsid w:val="000C7BDB"/>
    <w:rsid w:val="000D024B"/>
    <w:rsid w:val="000D054F"/>
    <w:rsid w:val="000D05C9"/>
    <w:rsid w:val="000D0BC0"/>
    <w:rsid w:val="000D117B"/>
    <w:rsid w:val="000D15AA"/>
    <w:rsid w:val="000D16CA"/>
    <w:rsid w:val="000D176C"/>
    <w:rsid w:val="000D1BC5"/>
    <w:rsid w:val="000D1C28"/>
    <w:rsid w:val="000D1E5E"/>
    <w:rsid w:val="000D2040"/>
    <w:rsid w:val="000D2063"/>
    <w:rsid w:val="000D20F8"/>
    <w:rsid w:val="000D228B"/>
    <w:rsid w:val="000D290A"/>
    <w:rsid w:val="000D2AC8"/>
    <w:rsid w:val="000D2B3B"/>
    <w:rsid w:val="000D2D81"/>
    <w:rsid w:val="000D2D9E"/>
    <w:rsid w:val="000D2E69"/>
    <w:rsid w:val="000D2FCA"/>
    <w:rsid w:val="000D30C9"/>
    <w:rsid w:val="000D32A8"/>
    <w:rsid w:val="000D3EC8"/>
    <w:rsid w:val="000D400B"/>
    <w:rsid w:val="000D44A1"/>
    <w:rsid w:val="000D46B1"/>
    <w:rsid w:val="000D477C"/>
    <w:rsid w:val="000D49A0"/>
    <w:rsid w:val="000D4A6B"/>
    <w:rsid w:val="000D4B6F"/>
    <w:rsid w:val="000D4B95"/>
    <w:rsid w:val="000D4DE9"/>
    <w:rsid w:val="000D4F77"/>
    <w:rsid w:val="000D5129"/>
    <w:rsid w:val="000D5214"/>
    <w:rsid w:val="000D5353"/>
    <w:rsid w:val="000D53CF"/>
    <w:rsid w:val="000D54AD"/>
    <w:rsid w:val="000D55D6"/>
    <w:rsid w:val="000D5602"/>
    <w:rsid w:val="000D5A01"/>
    <w:rsid w:val="000D5AA2"/>
    <w:rsid w:val="000D5C65"/>
    <w:rsid w:val="000D5C9D"/>
    <w:rsid w:val="000D5F96"/>
    <w:rsid w:val="000D66AB"/>
    <w:rsid w:val="000D697B"/>
    <w:rsid w:val="000D69C7"/>
    <w:rsid w:val="000D6F90"/>
    <w:rsid w:val="000D71F1"/>
    <w:rsid w:val="000D7321"/>
    <w:rsid w:val="000D7518"/>
    <w:rsid w:val="000D7595"/>
    <w:rsid w:val="000D77B0"/>
    <w:rsid w:val="000D77EF"/>
    <w:rsid w:val="000D780B"/>
    <w:rsid w:val="000D785C"/>
    <w:rsid w:val="000D7929"/>
    <w:rsid w:val="000D79C5"/>
    <w:rsid w:val="000D7ACC"/>
    <w:rsid w:val="000D7CEB"/>
    <w:rsid w:val="000D7FE9"/>
    <w:rsid w:val="000E01D5"/>
    <w:rsid w:val="000E026F"/>
    <w:rsid w:val="000E0674"/>
    <w:rsid w:val="000E0945"/>
    <w:rsid w:val="000E0A40"/>
    <w:rsid w:val="000E0BA9"/>
    <w:rsid w:val="000E0EE0"/>
    <w:rsid w:val="000E0F7A"/>
    <w:rsid w:val="000E1233"/>
    <w:rsid w:val="000E1329"/>
    <w:rsid w:val="000E13B8"/>
    <w:rsid w:val="000E15BA"/>
    <w:rsid w:val="000E1863"/>
    <w:rsid w:val="000E195B"/>
    <w:rsid w:val="000E1A10"/>
    <w:rsid w:val="000E1E9D"/>
    <w:rsid w:val="000E226F"/>
    <w:rsid w:val="000E233C"/>
    <w:rsid w:val="000E2400"/>
    <w:rsid w:val="000E2F42"/>
    <w:rsid w:val="000E3267"/>
    <w:rsid w:val="000E32F8"/>
    <w:rsid w:val="000E331A"/>
    <w:rsid w:val="000E35AE"/>
    <w:rsid w:val="000E3FAA"/>
    <w:rsid w:val="000E41C8"/>
    <w:rsid w:val="000E43B6"/>
    <w:rsid w:val="000E43BF"/>
    <w:rsid w:val="000E43C1"/>
    <w:rsid w:val="000E448A"/>
    <w:rsid w:val="000E45E5"/>
    <w:rsid w:val="000E46C0"/>
    <w:rsid w:val="000E47BA"/>
    <w:rsid w:val="000E4802"/>
    <w:rsid w:val="000E4817"/>
    <w:rsid w:val="000E4B3C"/>
    <w:rsid w:val="000E4BEA"/>
    <w:rsid w:val="000E4EB6"/>
    <w:rsid w:val="000E5120"/>
    <w:rsid w:val="000E52E2"/>
    <w:rsid w:val="000E5345"/>
    <w:rsid w:val="000E5412"/>
    <w:rsid w:val="000E541D"/>
    <w:rsid w:val="000E5476"/>
    <w:rsid w:val="000E5644"/>
    <w:rsid w:val="000E5907"/>
    <w:rsid w:val="000E5C1B"/>
    <w:rsid w:val="000E5CBE"/>
    <w:rsid w:val="000E6006"/>
    <w:rsid w:val="000E62EE"/>
    <w:rsid w:val="000E678D"/>
    <w:rsid w:val="000E6844"/>
    <w:rsid w:val="000E695F"/>
    <w:rsid w:val="000E69F2"/>
    <w:rsid w:val="000E6BC5"/>
    <w:rsid w:val="000E6F44"/>
    <w:rsid w:val="000E6F5C"/>
    <w:rsid w:val="000E7025"/>
    <w:rsid w:val="000E7066"/>
    <w:rsid w:val="000E7387"/>
    <w:rsid w:val="000E7445"/>
    <w:rsid w:val="000E749E"/>
    <w:rsid w:val="000E7868"/>
    <w:rsid w:val="000E7970"/>
    <w:rsid w:val="000E7CCA"/>
    <w:rsid w:val="000E7F59"/>
    <w:rsid w:val="000E7F7F"/>
    <w:rsid w:val="000E7FCB"/>
    <w:rsid w:val="000F0466"/>
    <w:rsid w:val="000F0681"/>
    <w:rsid w:val="000F09AF"/>
    <w:rsid w:val="000F0C95"/>
    <w:rsid w:val="000F0DAB"/>
    <w:rsid w:val="000F0DC7"/>
    <w:rsid w:val="000F11DF"/>
    <w:rsid w:val="000F1409"/>
    <w:rsid w:val="000F174E"/>
    <w:rsid w:val="000F1821"/>
    <w:rsid w:val="000F1BA0"/>
    <w:rsid w:val="000F1D84"/>
    <w:rsid w:val="000F1E9E"/>
    <w:rsid w:val="000F2069"/>
    <w:rsid w:val="000F2210"/>
    <w:rsid w:val="000F228C"/>
    <w:rsid w:val="000F24B0"/>
    <w:rsid w:val="000F2B2C"/>
    <w:rsid w:val="000F2B78"/>
    <w:rsid w:val="000F2C34"/>
    <w:rsid w:val="000F2ECB"/>
    <w:rsid w:val="000F33CE"/>
    <w:rsid w:val="000F349A"/>
    <w:rsid w:val="000F3515"/>
    <w:rsid w:val="000F35BA"/>
    <w:rsid w:val="000F3613"/>
    <w:rsid w:val="000F387B"/>
    <w:rsid w:val="000F3C48"/>
    <w:rsid w:val="000F3CC8"/>
    <w:rsid w:val="000F3DA8"/>
    <w:rsid w:val="000F3F93"/>
    <w:rsid w:val="000F4055"/>
    <w:rsid w:val="000F4312"/>
    <w:rsid w:val="000F45AD"/>
    <w:rsid w:val="000F464F"/>
    <w:rsid w:val="000F49A6"/>
    <w:rsid w:val="000F513C"/>
    <w:rsid w:val="000F530A"/>
    <w:rsid w:val="000F56A7"/>
    <w:rsid w:val="000F5A19"/>
    <w:rsid w:val="000F5C0B"/>
    <w:rsid w:val="000F60A6"/>
    <w:rsid w:val="000F61BB"/>
    <w:rsid w:val="000F64D6"/>
    <w:rsid w:val="000F65EE"/>
    <w:rsid w:val="000F66B1"/>
    <w:rsid w:val="000F676F"/>
    <w:rsid w:val="000F6951"/>
    <w:rsid w:val="000F6D23"/>
    <w:rsid w:val="000F6F5B"/>
    <w:rsid w:val="000F708C"/>
    <w:rsid w:val="000F717B"/>
    <w:rsid w:val="000F74CC"/>
    <w:rsid w:val="000F7743"/>
    <w:rsid w:val="000F788C"/>
    <w:rsid w:val="000F78CC"/>
    <w:rsid w:val="000F79D5"/>
    <w:rsid w:val="000F7FC8"/>
    <w:rsid w:val="0010014F"/>
    <w:rsid w:val="0010016F"/>
    <w:rsid w:val="00100303"/>
    <w:rsid w:val="001003EE"/>
    <w:rsid w:val="001003F7"/>
    <w:rsid w:val="00100592"/>
    <w:rsid w:val="00100630"/>
    <w:rsid w:val="001006E4"/>
    <w:rsid w:val="001008A2"/>
    <w:rsid w:val="00100BFD"/>
    <w:rsid w:val="00100C79"/>
    <w:rsid w:val="00100DBB"/>
    <w:rsid w:val="00100F6B"/>
    <w:rsid w:val="00101142"/>
    <w:rsid w:val="001012D5"/>
    <w:rsid w:val="00101324"/>
    <w:rsid w:val="0010147F"/>
    <w:rsid w:val="0010194F"/>
    <w:rsid w:val="001019F4"/>
    <w:rsid w:val="00101A7B"/>
    <w:rsid w:val="00101D60"/>
    <w:rsid w:val="00101FFA"/>
    <w:rsid w:val="00102163"/>
    <w:rsid w:val="001021B7"/>
    <w:rsid w:val="0010224E"/>
    <w:rsid w:val="001023C1"/>
    <w:rsid w:val="001025FE"/>
    <w:rsid w:val="001028A4"/>
    <w:rsid w:val="00102A3E"/>
    <w:rsid w:val="00102AF1"/>
    <w:rsid w:val="00102B7D"/>
    <w:rsid w:val="00102BCC"/>
    <w:rsid w:val="00102D3C"/>
    <w:rsid w:val="00102F62"/>
    <w:rsid w:val="001033C9"/>
    <w:rsid w:val="00103481"/>
    <w:rsid w:val="001034C4"/>
    <w:rsid w:val="00103510"/>
    <w:rsid w:val="00103567"/>
    <w:rsid w:val="00103583"/>
    <w:rsid w:val="00103609"/>
    <w:rsid w:val="00103614"/>
    <w:rsid w:val="001036C0"/>
    <w:rsid w:val="0010398C"/>
    <w:rsid w:val="00103A74"/>
    <w:rsid w:val="00103C10"/>
    <w:rsid w:val="00103D36"/>
    <w:rsid w:val="00103ED5"/>
    <w:rsid w:val="00104372"/>
    <w:rsid w:val="001044DD"/>
    <w:rsid w:val="001045F3"/>
    <w:rsid w:val="0010469B"/>
    <w:rsid w:val="001048AA"/>
    <w:rsid w:val="00104B39"/>
    <w:rsid w:val="00104BC2"/>
    <w:rsid w:val="00104D8D"/>
    <w:rsid w:val="00104DAB"/>
    <w:rsid w:val="0010500C"/>
    <w:rsid w:val="001051A5"/>
    <w:rsid w:val="001053D4"/>
    <w:rsid w:val="0010543D"/>
    <w:rsid w:val="0010569D"/>
    <w:rsid w:val="001057D0"/>
    <w:rsid w:val="00105948"/>
    <w:rsid w:val="00105B33"/>
    <w:rsid w:val="00105F4D"/>
    <w:rsid w:val="00105F5F"/>
    <w:rsid w:val="00105FB9"/>
    <w:rsid w:val="00106113"/>
    <w:rsid w:val="00106164"/>
    <w:rsid w:val="00106176"/>
    <w:rsid w:val="001061BD"/>
    <w:rsid w:val="001064DF"/>
    <w:rsid w:val="001068CB"/>
    <w:rsid w:val="00106AAA"/>
    <w:rsid w:val="00106B22"/>
    <w:rsid w:val="00106D68"/>
    <w:rsid w:val="00107916"/>
    <w:rsid w:val="00107D39"/>
    <w:rsid w:val="00107EA0"/>
    <w:rsid w:val="00110096"/>
    <w:rsid w:val="001100FA"/>
    <w:rsid w:val="001101EB"/>
    <w:rsid w:val="0011034E"/>
    <w:rsid w:val="001109FF"/>
    <w:rsid w:val="00110C5C"/>
    <w:rsid w:val="00110C77"/>
    <w:rsid w:val="00110D17"/>
    <w:rsid w:val="00110F39"/>
    <w:rsid w:val="0011104A"/>
    <w:rsid w:val="0011119F"/>
    <w:rsid w:val="00111285"/>
    <w:rsid w:val="001113EE"/>
    <w:rsid w:val="001114D1"/>
    <w:rsid w:val="001117EC"/>
    <w:rsid w:val="00111A73"/>
    <w:rsid w:val="00112130"/>
    <w:rsid w:val="00112285"/>
    <w:rsid w:val="001124E5"/>
    <w:rsid w:val="00112625"/>
    <w:rsid w:val="0011266D"/>
    <w:rsid w:val="001126D7"/>
    <w:rsid w:val="001128FA"/>
    <w:rsid w:val="00112A3C"/>
    <w:rsid w:val="00112A46"/>
    <w:rsid w:val="00112AD2"/>
    <w:rsid w:val="00112D72"/>
    <w:rsid w:val="00112DCA"/>
    <w:rsid w:val="00112E6E"/>
    <w:rsid w:val="001131A9"/>
    <w:rsid w:val="001132CB"/>
    <w:rsid w:val="00113618"/>
    <w:rsid w:val="00113636"/>
    <w:rsid w:val="0011381B"/>
    <w:rsid w:val="00113ABB"/>
    <w:rsid w:val="00113B08"/>
    <w:rsid w:val="00113E72"/>
    <w:rsid w:val="00113F64"/>
    <w:rsid w:val="00114403"/>
    <w:rsid w:val="00114410"/>
    <w:rsid w:val="001149A3"/>
    <w:rsid w:val="00114E15"/>
    <w:rsid w:val="00115104"/>
    <w:rsid w:val="001151AB"/>
    <w:rsid w:val="00115491"/>
    <w:rsid w:val="00115676"/>
    <w:rsid w:val="001156BE"/>
    <w:rsid w:val="001156F0"/>
    <w:rsid w:val="00115839"/>
    <w:rsid w:val="001158A5"/>
    <w:rsid w:val="0011592B"/>
    <w:rsid w:val="001159AB"/>
    <w:rsid w:val="00115A9B"/>
    <w:rsid w:val="00115DE6"/>
    <w:rsid w:val="00115DF6"/>
    <w:rsid w:val="001163F5"/>
    <w:rsid w:val="001164ED"/>
    <w:rsid w:val="001166AE"/>
    <w:rsid w:val="00116CA0"/>
    <w:rsid w:val="00116E2B"/>
    <w:rsid w:val="00116FAF"/>
    <w:rsid w:val="0011725E"/>
    <w:rsid w:val="0011769F"/>
    <w:rsid w:val="001176D9"/>
    <w:rsid w:val="001178FD"/>
    <w:rsid w:val="00117B32"/>
    <w:rsid w:val="00117C75"/>
    <w:rsid w:val="00117FB9"/>
    <w:rsid w:val="00117FD2"/>
    <w:rsid w:val="001201DC"/>
    <w:rsid w:val="00120200"/>
    <w:rsid w:val="001203E4"/>
    <w:rsid w:val="00120496"/>
    <w:rsid w:val="00120924"/>
    <w:rsid w:val="0012094D"/>
    <w:rsid w:val="0012097E"/>
    <w:rsid w:val="00120BCB"/>
    <w:rsid w:val="00120CF7"/>
    <w:rsid w:val="00120E81"/>
    <w:rsid w:val="00120EA0"/>
    <w:rsid w:val="0012106B"/>
    <w:rsid w:val="00121383"/>
    <w:rsid w:val="001218BA"/>
    <w:rsid w:val="001218E3"/>
    <w:rsid w:val="00121F05"/>
    <w:rsid w:val="001220D5"/>
    <w:rsid w:val="0012210E"/>
    <w:rsid w:val="0012212F"/>
    <w:rsid w:val="00122621"/>
    <w:rsid w:val="00122720"/>
    <w:rsid w:val="00122976"/>
    <w:rsid w:val="00122C43"/>
    <w:rsid w:val="00122DA3"/>
    <w:rsid w:val="00122E66"/>
    <w:rsid w:val="00122E7A"/>
    <w:rsid w:val="00122EAA"/>
    <w:rsid w:val="0012331D"/>
    <w:rsid w:val="0012335A"/>
    <w:rsid w:val="0012340D"/>
    <w:rsid w:val="001234B4"/>
    <w:rsid w:val="00123513"/>
    <w:rsid w:val="0012360B"/>
    <w:rsid w:val="001236F1"/>
    <w:rsid w:val="0012377D"/>
    <w:rsid w:val="00123984"/>
    <w:rsid w:val="00123B1A"/>
    <w:rsid w:val="00123CAE"/>
    <w:rsid w:val="00123CB5"/>
    <w:rsid w:val="00123F80"/>
    <w:rsid w:val="001241B5"/>
    <w:rsid w:val="00124233"/>
    <w:rsid w:val="0012424A"/>
    <w:rsid w:val="0012466D"/>
    <w:rsid w:val="00124A5B"/>
    <w:rsid w:val="00124AB1"/>
    <w:rsid w:val="00124ED5"/>
    <w:rsid w:val="001250EF"/>
    <w:rsid w:val="00125436"/>
    <w:rsid w:val="00125560"/>
    <w:rsid w:val="0012564F"/>
    <w:rsid w:val="00125871"/>
    <w:rsid w:val="00125987"/>
    <w:rsid w:val="001259FB"/>
    <w:rsid w:val="00125ADE"/>
    <w:rsid w:val="00125D7C"/>
    <w:rsid w:val="00125F15"/>
    <w:rsid w:val="00126092"/>
    <w:rsid w:val="00126155"/>
    <w:rsid w:val="001264FA"/>
    <w:rsid w:val="001266A7"/>
    <w:rsid w:val="0012679E"/>
    <w:rsid w:val="00126863"/>
    <w:rsid w:val="0012692A"/>
    <w:rsid w:val="00126A2E"/>
    <w:rsid w:val="00126C95"/>
    <w:rsid w:val="00126CEB"/>
    <w:rsid w:val="00126D8C"/>
    <w:rsid w:val="00126E15"/>
    <w:rsid w:val="00126EC5"/>
    <w:rsid w:val="001270BD"/>
    <w:rsid w:val="0012719F"/>
    <w:rsid w:val="00127226"/>
    <w:rsid w:val="001273EA"/>
    <w:rsid w:val="0012790D"/>
    <w:rsid w:val="00127981"/>
    <w:rsid w:val="00127B2C"/>
    <w:rsid w:val="001306B1"/>
    <w:rsid w:val="00130773"/>
    <w:rsid w:val="001307CC"/>
    <w:rsid w:val="0013107C"/>
    <w:rsid w:val="0013126A"/>
    <w:rsid w:val="00131546"/>
    <w:rsid w:val="00131646"/>
    <w:rsid w:val="00131875"/>
    <w:rsid w:val="00131A90"/>
    <w:rsid w:val="00131C63"/>
    <w:rsid w:val="001320FE"/>
    <w:rsid w:val="001323A5"/>
    <w:rsid w:val="00132CDF"/>
    <w:rsid w:val="00132D61"/>
    <w:rsid w:val="001331A9"/>
    <w:rsid w:val="001331FF"/>
    <w:rsid w:val="00133275"/>
    <w:rsid w:val="001334D0"/>
    <w:rsid w:val="001335AE"/>
    <w:rsid w:val="0013367B"/>
    <w:rsid w:val="001336F9"/>
    <w:rsid w:val="00133712"/>
    <w:rsid w:val="0013380C"/>
    <w:rsid w:val="001338B6"/>
    <w:rsid w:val="00133964"/>
    <w:rsid w:val="00133A6D"/>
    <w:rsid w:val="00133CB6"/>
    <w:rsid w:val="00133D23"/>
    <w:rsid w:val="00133E45"/>
    <w:rsid w:val="0013418E"/>
    <w:rsid w:val="00134283"/>
    <w:rsid w:val="00134410"/>
    <w:rsid w:val="00134505"/>
    <w:rsid w:val="001346C2"/>
    <w:rsid w:val="00134883"/>
    <w:rsid w:val="00134953"/>
    <w:rsid w:val="001349D8"/>
    <w:rsid w:val="00134FC9"/>
    <w:rsid w:val="00135345"/>
    <w:rsid w:val="0013542F"/>
    <w:rsid w:val="00135532"/>
    <w:rsid w:val="001355C1"/>
    <w:rsid w:val="00135776"/>
    <w:rsid w:val="001357D2"/>
    <w:rsid w:val="00135993"/>
    <w:rsid w:val="00135A2E"/>
    <w:rsid w:val="00135AAF"/>
    <w:rsid w:val="00135C23"/>
    <w:rsid w:val="00135D99"/>
    <w:rsid w:val="00136391"/>
    <w:rsid w:val="001367AB"/>
    <w:rsid w:val="0013689E"/>
    <w:rsid w:val="001368A3"/>
    <w:rsid w:val="00136B9D"/>
    <w:rsid w:val="00136DC1"/>
    <w:rsid w:val="00136EF5"/>
    <w:rsid w:val="00136FE5"/>
    <w:rsid w:val="001370D4"/>
    <w:rsid w:val="0013727D"/>
    <w:rsid w:val="0013757D"/>
    <w:rsid w:val="0013764E"/>
    <w:rsid w:val="0013785E"/>
    <w:rsid w:val="00137ADB"/>
    <w:rsid w:val="00137B36"/>
    <w:rsid w:val="00137B85"/>
    <w:rsid w:val="00140094"/>
    <w:rsid w:val="001402C9"/>
    <w:rsid w:val="001402D6"/>
    <w:rsid w:val="001407BE"/>
    <w:rsid w:val="001407C0"/>
    <w:rsid w:val="001408C4"/>
    <w:rsid w:val="00140933"/>
    <w:rsid w:val="00140D79"/>
    <w:rsid w:val="00140E0F"/>
    <w:rsid w:val="00140F2E"/>
    <w:rsid w:val="0014110A"/>
    <w:rsid w:val="0014113E"/>
    <w:rsid w:val="00141661"/>
    <w:rsid w:val="00141673"/>
    <w:rsid w:val="0014179D"/>
    <w:rsid w:val="00141842"/>
    <w:rsid w:val="00141E65"/>
    <w:rsid w:val="00141F91"/>
    <w:rsid w:val="00142100"/>
    <w:rsid w:val="00142306"/>
    <w:rsid w:val="001423FC"/>
    <w:rsid w:val="00142AE8"/>
    <w:rsid w:val="00142C1B"/>
    <w:rsid w:val="00142C3F"/>
    <w:rsid w:val="00142CB7"/>
    <w:rsid w:val="00142D02"/>
    <w:rsid w:val="00142E09"/>
    <w:rsid w:val="00142FCD"/>
    <w:rsid w:val="0014344C"/>
    <w:rsid w:val="0014353F"/>
    <w:rsid w:val="001435E3"/>
    <w:rsid w:val="00143AF8"/>
    <w:rsid w:val="00144047"/>
    <w:rsid w:val="00144523"/>
    <w:rsid w:val="00144835"/>
    <w:rsid w:val="00144A57"/>
    <w:rsid w:val="00144C2A"/>
    <w:rsid w:val="00144E67"/>
    <w:rsid w:val="00145088"/>
    <w:rsid w:val="0014510D"/>
    <w:rsid w:val="00145249"/>
    <w:rsid w:val="00145331"/>
    <w:rsid w:val="001456DF"/>
    <w:rsid w:val="001457FA"/>
    <w:rsid w:val="001459D0"/>
    <w:rsid w:val="0014600F"/>
    <w:rsid w:val="00146062"/>
    <w:rsid w:val="00146086"/>
    <w:rsid w:val="001460CC"/>
    <w:rsid w:val="00146110"/>
    <w:rsid w:val="001464C9"/>
    <w:rsid w:val="001465FF"/>
    <w:rsid w:val="00146AED"/>
    <w:rsid w:val="00146BEF"/>
    <w:rsid w:val="00146E1B"/>
    <w:rsid w:val="001473C1"/>
    <w:rsid w:val="0014780E"/>
    <w:rsid w:val="00147B60"/>
    <w:rsid w:val="00147D52"/>
    <w:rsid w:val="00147DD8"/>
    <w:rsid w:val="00147ECC"/>
    <w:rsid w:val="0015023C"/>
    <w:rsid w:val="001505EB"/>
    <w:rsid w:val="001507DE"/>
    <w:rsid w:val="0015089D"/>
    <w:rsid w:val="00150D09"/>
    <w:rsid w:val="00150E56"/>
    <w:rsid w:val="00150E93"/>
    <w:rsid w:val="00150F8A"/>
    <w:rsid w:val="00150FF0"/>
    <w:rsid w:val="00151328"/>
    <w:rsid w:val="001513AE"/>
    <w:rsid w:val="001513E2"/>
    <w:rsid w:val="001514CC"/>
    <w:rsid w:val="00151562"/>
    <w:rsid w:val="00151861"/>
    <w:rsid w:val="0015188A"/>
    <w:rsid w:val="001519B0"/>
    <w:rsid w:val="00151B37"/>
    <w:rsid w:val="00151CC6"/>
    <w:rsid w:val="0015205C"/>
    <w:rsid w:val="00152063"/>
    <w:rsid w:val="0015228C"/>
    <w:rsid w:val="001522FA"/>
    <w:rsid w:val="001524CE"/>
    <w:rsid w:val="0015253F"/>
    <w:rsid w:val="001525BC"/>
    <w:rsid w:val="001525C3"/>
    <w:rsid w:val="00152604"/>
    <w:rsid w:val="001526CD"/>
    <w:rsid w:val="00152D74"/>
    <w:rsid w:val="00152D8C"/>
    <w:rsid w:val="00152E18"/>
    <w:rsid w:val="001530BA"/>
    <w:rsid w:val="00153340"/>
    <w:rsid w:val="00153816"/>
    <w:rsid w:val="00153A31"/>
    <w:rsid w:val="00153AA0"/>
    <w:rsid w:val="00153D43"/>
    <w:rsid w:val="0015410A"/>
    <w:rsid w:val="0015419B"/>
    <w:rsid w:val="001546DB"/>
    <w:rsid w:val="001547C5"/>
    <w:rsid w:val="001548C1"/>
    <w:rsid w:val="00154909"/>
    <w:rsid w:val="001549E5"/>
    <w:rsid w:val="00154A75"/>
    <w:rsid w:val="00154AF1"/>
    <w:rsid w:val="00154E38"/>
    <w:rsid w:val="00154ED5"/>
    <w:rsid w:val="0015514E"/>
    <w:rsid w:val="00155226"/>
    <w:rsid w:val="001552EE"/>
    <w:rsid w:val="001552F0"/>
    <w:rsid w:val="00155385"/>
    <w:rsid w:val="001555C5"/>
    <w:rsid w:val="0015593D"/>
    <w:rsid w:val="00155AD1"/>
    <w:rsid w:val="00155B9C"/>
    <w:rsid w:val="00155F87"/>
    <w:rsid w:val="001563AC"/>
    <w:rsid w:val="00156469"/>
    <w:rsid w:val="00156606"/>
    <w:rsid w:val="00156896"/>
    <w:rsid w:val="00156988"/>
    <w:rsid w:val="00156D18"/>
    <w:rsid w:val="00156F9D"/>
    <w:rsid w:val="001573F9"/>
    <w:rsid w:val="0015740C"/>
    <w:rsid w:val="00157615"/>
    <w:rsid w:val="00157C6C"/>
    <w:rsid w:val="0016073E"/>
    <w:rsid w:val="00160802"/>
    <w:rsid w:val="00160A0F"/>
    <w:rsid w:val="00160B31"/>
    <w:rsid w:val="00160C4C"/>
    <w:rsid w:val="00160C8E"/>
    <w:rsid w:val="00160C97"/>
    <w:rsid w:val="00160C9E"/>
    <w:rsid w:val="00160CBB"/>
    <w:rsid w:val="001610BE"/>
    <w:rsid w:val="001610FB"/>
    <w:rsid w:val="001611DE"/>
    <w:rsid w:val="001613FB"/>
    <w:rsid w:val="0016147F"/>
    <w:rsid w:val="00161488"/>
    <w:rsid w:val="001614E1"/>
    <w:rsid w:val="0016163B"/>
    <w:rsid w:val="0016164D"/>
    <w:rsid w:val="0016167F"/>
    <w:rsid w:val="0016191F"/>
    <w:rsid w:val="0016195A"/>
    <w:rsid w:val="00161AD2"/>
    <w:rsid w:val="001621E0"/>
    <w:rsid w:val="0016237B"/>
    <w:rsid w:val="001626B7"/>
    <w:rsid w:val="001627A9"/>
    <w:rsid w:val="001627D5"/>
    <w:rsid w:val="001629E0"/>
    <w:rsid w:val="00162EE0"/>
    <w:rsid w:val="00163138"/>
    <w:rsid w:val="0016324A"/>
    <w:rsid w:val="001635C5"/>
    <w:rsid w:val="00163639"/>
    <w:rsid w:val="0016369C"/>
    <w:rsid w:val="001637CA"/>
    <w:rsid w:val="001638DD"/>
    <w:rsid w:val="001638F7"/>
    <w:rsid w:val="00163C88"/>
    <w:rsid w:val="00163FD4"/>
    <w:rsid w:val="0016411F"/>
    <w:rsid w:val="00164697"/>
    <w:rsid w:val="001647D0"/>
    <w:rsid w:val="00164BCE"/>
    <w:rsid w:val="00164D4F"/>
    <w:rsid w:val="00164EA4"/>
    <w:rsid w:val="00164EC1"/>
    <w:rsid w:val="00165784"/>
    <w:rsid w:val="001658BC"/>
    <w:rsid w:val="001658FC"/>
    <w:rsid w:val="001659C2"/>
    <w:rsid w:val="00165BBF"/>
    <w:rsid w:val="00165BED"/>
    <w:rsid w:val="00165C5C"/>
    <w:rsid w:val="00165CD1"/>
    <w:rsid w:val="0016619C"/>
    <w:rsid w:val="0016629F"/>
    <w:rsid w:val="00166456"/>
    <w:rsid w:val="001666B9"/>
    <w:rsid w:val="00166803"/>
    <w:rsid w:val="0016681C"/>
    <w:rsid w:val="00166BBF"/>
    <w:rsid w:val="001670C5"/>
    <w:rsid w:val="0016766F"/>
    <w:rsid w:val="001676B2"/>
    <w:rsid w:val="00167EDA"/>
    <w:rsid w:val="00170061"/>
    <w:rsid w:val="00170494"/>
    <w:rsid w:val="0017060D"/>
    <w:rsid w:val="001707B2"/>
    <w:rsid w:val="001707D4"/>
    <w:rsid w:val="001709E6"/>
    <w:rsid w:val="00170A30"/>
    <w:rsid w:val="00170B0F"/>
    <w:rsid w:val="00170E70"/>
    <w:rsid w:val="001710C0"/>
    <w:rsid w:val="00171242"/>
    <w:rsid w:val="00171380"/>
    <w:rsid w:val="001714DE"/>
    <w:rsid w:val="0017170C"/>
    <w:rsid w:val="001717F9"/>
    <w:rsid w:val="00171A12"/>
    <w:rsid w:val="00171C06"/>
    <w:rsid w:val="00171C71"/>
    <w:rsid w:val="00171E47"/>
    <w:rsid w:val="0017207C"/>
    <w:rsid w:val="001729F1"/>
    <w:rsid w:val="00172BBE"/>
    <w:rsid w:val="00172C04"/>
    <w:rsid w:val="00172CA3"/>
    <w:rsid w:val="00172CF6"/>
    <w:rsid w:val="00172D14"/>
    <w:rsid w:val="00172D64"/>
    <w:rsid w:val="00172EAD"/>
    <w:rsid w:val="00172F0E"/>
    <w:rsid w:val="00172F62"/>
    <w:rsid w:val="00173130"/>
    <w:rsid w:val="00173480"/>
    <w:rsid w:val="0017359A"/>
    <w:rsid w:val="001736AD"/>
    <w:rsid w:val="00173906"/>
    <w:rsid w:val="00173EC4"/>
    <w:rsid w:val="001740CB"/>
    <w:rsid w:val="0017463A"/>
    <w:rsid w:val="001747BA"/>
    <w:rsid w:val="00174A2F"/>
    <w:rsid w:val="00174D72"/>
    <w:rsid w:val="00174D8E"/>
    <w:rsid w:val="00175341"/>
    <w:rsid w:val="001757BE"/>
    <w:rsid w:val="001757D8"/>
    <w:rsid w:val="001758A1"/>
    <w:rsid w:val="00175AB4"/>
    <w:rsid w:val="00175D63"/>
    <w:rsid w:val="00175DE2"/>
    <w:rsid w:val="00176329"/>
    <w:rsid w:val="0017635D"/>
    <w:rsid w:val="00176437"/>
    <w:rsid w:val="0017678A"/>
    <w:rsid w:val="00176B5C"/>
    <w:rsid w:val="00176BCC"/>
    <w:rsid w:val="00176BFC"/>
    <w:rsid w:val="00176D5C"/>
    <w:rsid w:val="00177119"/>
    <w:rsid w:val="0017716C"/>
    <w:rsid w:val="00177362"/>
    <w:rsid w:val="0017737A"/>
    <w:rsid w:val="001773BF"/>
    <w:rsid w:val="00177434"/>
    <w:rsid w:val="001778F2"/>
    <w:rsid w:val="00177BB7"/>
    <w:rsid w:val="00177D47"/>
    <w:rsid w:val="00177E76"/>
    <w:rsid w:val="00177F4A"/>
    <w:rsid w:val="001800E3"/>
    <w:rsid w:val="001801DC"/>
    <w:rsid w:val="001804F7"/>
    <w:rsid w:val="00180808"/>
    <w:rsid w:val="00180876"/>
    <w:rsid w:val="00180A88"/>
    <w:rsid w:val="00180BEA"/>
    <w:rsid w:val="00180CD6"/>
    <w:rsid w:val="00180CF4"/>
    <w:rsid w:val="00180EB3"/>
    <w:rsid w:val="00180F2B"/>
    <w:rsid w:val="00181249"/>
    <w:rsid w:val="00181397"/>
    <w:rsid w:val="0018146E"/>
    <w:rsid w:val="00181633"/>
    <w:rsid w:val="00181828"/>
    <w:rsid w:val="00181C2F"/>
    <w:rsid w:val="00181F2D"/>
    <w:rsid w:val="00181F4C"/>
    <w:rsid w:val="0018254E"/>
    <w:rsid w:val="0018258D"/>
    <w:rsid w:val="00182677"/>
    <w:rsid w:val="001828E4"/>
    <w:rsid w:val="00182B15"/>
    <w:rsid w:val="00182CF9"/>
    <w:rsid w:val="001832B5"/>
    <w:rsid w:val="00183323"/>
    <w:rsid w:val="001833E9"/>
    <w:rsid w:val="001833EF"/>
    <w:rsid w:val="0018356D"/>
    <w:rsid w:val="001835BB"/>
    <w:rsid w:val="00183682"/>
    <w:rsid w:val="001836E2"/>
    <w:rsid w:val="0018373D"/>
    <w:rsid w:val="00183859"/>
    <w:rsid w:val="001839F0"/>
    <w:rsid w:val="00183A15"/>
    <w:rsid w:val="00183A48"/>
    <w:rsid w:val="00183A78"/>
    <w:rsid w:val="00183B40"/>
    <w:rsid w:val="00183BA9"/>
    <w:rsid w:val="00183D30"/>
    <w:rsid w:val="00183D58"/>
    <w:rsid w:val="00183DEA"/>
    <w:rsid w:val="00183E5D"/>
    <w:rsid w:val="00184373"/>
    <w:rsid w:val="001846D5"/>
    <w:rsid w:val="0018477B"/>
    <w:rsid w:val="00184AB8"/>
    <w:rsid w:val="00184BF9"/>
    <w:rsid w:val="00184D52"/>
    <w:rsid w:val="0018504E"/>
    <w:rsid w:val="001854DC"/>
    <w:rsid w:val="00185684"/>
    <w:rsid w:val="00185F02"/>
    <w:rsid w:val="001864C8"/>
    <w:rsid w:val="00186537"/>
    <w:rsid w:val="001865C7"/>
    <w:rsid w:val="00186BCB"/>
    <w:rsid w:val="00186DC4"/>
    <w:rsid w:val="00186F22"/>
    <w:rsid w:val="001870D8"/>
    <w:rsid w:val="0018715E"/>
    <w:rsid w:val="0018723F"/>
    <w:rsid w:val="0018782A"/>
    <w:rsid w:val="00187A5C"/>
    <w:rsid w:val="00187CB8"/>
    <w:rsid w:val="00187D0D"/>
    <w:rsid w:val="00187F20"/>
    <w:rsid w:val="00190001"/>
    <w:rsid w:val="0019008C"/>
    <w:rsid w:val="00190127"/>
    <w:rsid w:val="001904D2"/>
    <w:rsid w:val="00190770"/>
    <w:rsid w:val="0019088B"/>
    <w:rsid w:val="00190C35"/>
    <w:rsid w:val="00190C5F"/>
    <w:rsid w:val="00190CAF"/>
    <w:rsid w:val="00190CBF"/>
    <w:rsid w:val="00190FA2"/>
    <w:rsid w:val="00191020"/>
    <w:rsid w:val="0019111F"/>
    <w:rsid w:val="00191294"/>
    <w:rsid w:val="001913B2"/>
    <w:rsid w:val="001916DD"/>
    <w:rsid w:val="00191A2C"/>
    <w:rsid w:val="00191B69"/>
    <w:rsid w:val="00191D86"/>
    <w:rsid w:val="00191D88"/>
    <w:rsid w:val="001920E3"/>
    <w:rsid w:val="001922C8"/>
    <w:rsid w:val="001925DE"/>
    <w:rsid w:val="0019269A"/>
    <w:rsid w:val="00192826"/>
    <w:rsid w:val="001929A7"/>
    <w:rsid w:val="001929CF"/>
    <w:rsid w:val="00192B7B"/>
    <w:rsid w:val="00192D31"/>
    <w:rsid w:val="00192D38"/>
    <w:rsid w:val="0019300E"/>
    <w:rsid w:val="001931BB"/>
    <w:rsid w:val="00193280"/>
    <w:rsid w:val="001932A3"/>
    <w:rsid w:val="00193327"/>
    <w:rsid w:val="001936A8"/>
    <w:rsid w:val="001936E7"/>
    <w:rsid w:val="00193889"/>
    <w:rsid w:val="00193980"/>
    <w:rsid w:val="00193B20"/>
    <w:rsid w:val="00193C0E"/>
    <w:rsid w:val="00193C1E"/>
    <w:rsid w:val="00193C5D"/>
    <w:rsid w:val="00193D30"/>
    <w:rsid w:val="00193EE6"/>
    <w:rsid w:val="00193F44"/>
    <w:rsid w:val="001943E3"/>
    <w:rsid w:val="0019441A"/>
    <w:rsid w:val="0019441F"/>
    <w:rsid w:val="00194566"/>
    <w:rsid w:val="00194860"/>
    <w:rsid w:val="00194E57"/>
    <w:rsid w:val="00194FD1"/>
    <w:rsid w:val="00195114"/>
    <w:rsid w:val="00195205"/>
    <w:rsid w:val="00195317"/>
    <w:rsid w:val="001954F7"/>
    <w:rsid w:val="0019566D"/>
    <w:rsid w:val="001956CB"/>
    <w:rsid w:val="00195CCF"/>
    <w:rsid w:val="00195FB5"/>
    <w:rsid w:val="001960C8"/>
    <w:rsid w:val="0019616E"/>
    <w:rsid w:val="001963DB"/>
    <w:rsid w:val="001963F4"/>
    <w:rsid w:val="00196570"/>
    <w:rsid w:val="00196689"/>
    <w:rsid w:val="00196ADB"/>
    <w:rsid w:val="00196C33"/>
    <w:rsid w:val="00196D36"/>
    <w:rsid w:val="00196F75"/>
    <w:rsid w:val="0019713C"/>
    <w:rsid w:val="00197309"/>
    <w:rsid w:val="001974D1"/>
    <w:rsid w:val="0019790F"/>
    <w:rsid w:val="00197AF2"/>
    <w:rsid w:val="001A008D"/>
    <w:rsid w:val="001A02D2"/>
    <w:rsid w:val="001A064C"/>
    <w:rsid w:val="001A07A4"/>
    <w:rsid w:val="001A07AB"/>
    <w:rsid w:val="001A07F6"/>
    <w:rsid w:val="001A089B"/>
    <w:rsid w:val="001A095D"/>
    <w:rsid w:val="001A0AD4"/>
    <w:rsid w:val="001A0D26"/>
    <w:rsid w:val="001A130F"/>
    <w:rsid w:val="001A136A"/>
    <w:rsid w:val="001A137A"/>
    <w:rsid w:val="001A1380"/>
    <w:rsid w:val="001A13FC"/>
    <w:rsid w:val="001A14A1"/>
    <w:rsid w:val="001A17B2"/>
    <w:rsid w:val="001A1835"/>
    <w:rsid w:val="001A18C7"/>
    <w:rsid w:val="001A19DC"/>
    <w:rsid w:val="001A1F33"/>
    <w:rsid w:val="001A1FB7"/>
    <w:rsid w:val="001A2077"/>
    <w:rsid w:val="001A214E"/>
    <w:rsid w:val="001A21E8"/>
    <w:rsid w:val="001A2223"/>
    <w:rsid w:val="001A2263"/>
    <w:rsid w:val="001A23AC"/>
    <w:rsid w:val="001A246F"/>
    <w:rsid w:val="001A259B"/>
    <w:rsid w:val="001A2611"/>
    <w:rsid w:val="001A28CF"/>
    <w:rsid w:val="001A28D7"/>
    <w:rsid w:val="001A2D2E"/>
    <w:rsid w:val="001A2E3D"/>
    <w:rsid w:val="001A3148"/>
    <w:rsid w:val="001A3497"/>
    <w:rsid w:val="001A35F8"/>
    <w:rsid w:val="001A374F"/>
    <w:rsid w:val="001A3986"/>
    <w:rsid w:val="001A3C7F"/>
    <w:rsid w:val="001A418D"/>
    <w:rsid w:val="001A41C7"/>
    <w:rsid w:val="001A4259"/>
    <w:rsid w:val="001A4307"/>
    <w:rsid w:val="001A4426"/>
    <w:rsid w:val="001A468E"/>
    <w:rsid w:val="001A478D"/>
    <w:rsid w:val="001A489B"/>
    <w:rsid w:val="001A4A29"/>
    <w:rsid w:val="001A4A9A"/>
    <w:rsid w:val="001A4CC9"/>
    <w:rsid w:val="001A4DB2"/>
    <w:rsid w:val="001A4FF3"/>
    <w:rsid w:val="001A504E"/>
    <w:rsid w:val="001A5137"/>
    <w:rsid w:val="001A51F8"/>
    <w:rsid w:val="001A5366"/>
    <w:rsid w:val="001A55A8"/>
    <w:rsid w:val="001A56DB"/>
    <w:rsid w:val="001A5B86"/>
    <w:rsid w:val="001A5C2F"/>
    <w:rsid w:val="001A5D50"/>
    <w:rsid w:val="001A5F4D"/>
    <w:rsid w:val="001A641C"/>
    <w:rsid w:val="001A65AC"/>
    <w:rsid w:val="001A68D2"/>
    <w:rsid w:val="001A6A44"/>
    <w:rsid w:val="001A6AFA"/>
    <w:rsid w:val="001A6DA9"/>
    <w:rsid w:val="001A7198"/>
    <w:rsid w:val="001A71CA"/>
    <w:rsid w:val="001A7211"/>
    <w:rsid w:val="001A7232"/>
    <w:rsid w:val="001A7488"/>
    <w:rsid w:val="001A77D2"/>
    <w:rsid w:val="001A79E8"/>
    <w:rsid w:val="001A7B3A"/>
    <w:rsid w:val="001A7B44"/>
    <w:rsid w:val="001A7C06"/>
    <w:rsid w:val="001A7C6A"/>
    <w:rsid w:val="001B016F"/>
    <w:rsid w:val="001B035D"/>
    <w:rsid w:val="001B04DC"/>
    <w:rsid w:val="001B051A"/>
    <w:rsid w:val="001B0556"/>
    <w:rsid w:val="001B0830"/>
    <w:rsid w:val="001B087B"/>
    <w:rsid w:val="001B0A3F"/>
    <w:rsid w:val="001B0B1F"/>
    <w:rsid w:val="001B0C8F"/>
    <w:rsid w:val="001B0D67"/>
    <w:rsid w:val="001B0DE3"/>
    <w:rsid w:val="001B1106"/>
    <w:rsid w:val="001B1842"/>
    <w:rsid w:val="001B1A79"/>
    <w:rsid w:val="001B1C40"/>
    <w:rsid w:val="001B1DDF"/>
    <w:rsid w:val="001B2061"/>
    <w:rsid w:val="001B2194"/>
    <w:rsid w:val="001B2362"/>
    <w:rsid w:val="001B23B4"/>
    <w:rsid w:val="001B23E7"/>
    <w:rsid w:val="001B244B"/>
    <w:rsid w:val="001B2953"/>
    <w:rsid w:val="001B29B6"/>
    <w:rsid w:val="001B2AAA"/>
    <w:rsid w:val="001B2AFE"/>
    <w:rsid w:val="001B2DBF"/>
    <w:rsid w:val="001B2E9D"/>
    <w:rsid w:val="001B320F"/>
    <w:rsid w:val="001B32D2"/>
    <w:rsid w:val="001B33E1"/>
    <w:rsid w:val="001B3584"/>
    <w:rsid w:val="001B37CF"/>
    <w:rsid w:val="001B3AE3"/>
    <w:rsid w:val="001B3EF2"/>
    <w:rsid w:val="001B426C"/>
    <w:rsid w:val="001B428E"/>
    <w:rsid w:val="001B46B8"/>
    <w:rsid w:val="001B4C56"/>
    <w:rsid w:val="001B4DD7"/>
    <w:rsid w:val="001B4F21"/>
    <w:rsid w:val="001B507C"/>
    <w:rsid w:val="001B50B5"/>
    <w:rsid w:val="001B50C6"/>
    <w:rsid w:val="001B50F3"/>
    <w:rsid w:val="001B584C"/>
    <w:rsid w:val="001B6071"/>
    <w:rsid w:val="001B621A"/>
    <w:rsid w:val="001B657D"/>
    <w:rsid w:val="001B65D7"/>
    <w:rsid w:val="001B71CF"/>
    <w:rsid w:val="001B749D"/>
    <w:rsid w:val="001B76CD"/>
    <w:rsid w:val="001B777E"/>
    <w:rsid w:val="001B77AD"/>
    <w:rsid w:val="001B7B32"/>
    <w:rsid w:val="001B7D69"/>
    <w:rsid w:val="001B7D95"/>
    <w:rsid w:val="001C0181"/>
    <w:rsid w:val="001C02E2"/>
    <w:rsid w:val="001C03FB"/>
    <w:rsid w:val="001C1298"/>
    <w:rsid w:val="001C13A9"/>
    <w:rsid w:val="001C178F"/>
    <w:rsid w:val="001C1A09"/>
    <w:rsid w:val="001C1B5E"/>
    <w:rsid w:val="001C1C72"/>
    <w:rsid w:val="001C1CBD"/>
    <w:rsid w:val="001C1FF2"/>
    <w:rsid w:val="001C21E2"/>
    <w:rsid w:val="001C2723"/>
    <w:rsid w:val="001C2A19"/>
    <w:rsid w:val="001C2B95"/>
    <w:rsid w:val="001C2CAC"/>
    <w:rsid w:val="001C2E25"/>
    <w:rsid w:val="001C2EA3"/>
    <w:rsid w:val="001C2F28"/>
    <w:rsid w:val="001C329C"/>
    <w:rsid w:val="001C330D"/>
    <w:rsid w:val="001C3645"/>
    <w:rsid w:val="001C36D8"/>
    <w:rsid w:val="001C3DCE"/>
    <w:rsid w:val="001C3ECD"/>
    <w:rsid w:val="001C417F"/>
    <w:rsid w:val="001C4476"/>
    <w:rsid w:val="001C44A7"/>
    <w:rsid w:val="001C45EA"/>
    <w:rsid w:val="001C466B"/>
    <w:rsid w:val="001C48E5"/>
    <w:rsid w:val="001C4B7F"/>
    <w:rsid w:val="001C4FB5"/>
    <w:rsid w:val="001C4FD4"/>
    <w:rsid w:val="001C516D"/>
    <w:rsid w:val="001C53C9"/>
    <w:rsid w:val="001C548F"/>
    <w:rsid w:val="001C5588"/>
    <w:rsid w:val="001C59DF"/>
    <w:rsid w:val="001C5A48"/>
    <w:rsid w:val="001C5D02"/>
    <w:rsid w:val="001C5E08"/>
    <w:rsid w:val="001C5FCA"/>
    <w:rsid w:val="001C615F"/>
    <w:rsid w:val="001C6196"/>
    <w:rsid w:val="001C61F0"/>
    <w:rsid w:val="001C62A0"/>
    <w:rsid w:val="001C635B"/>
    <w:rsid w:val="001C6ADA"/>
    <w:rsid w:val="001C70B4"/>
    <w:rsid w:val="001C712A"/>
    <w:rsid w:val="001C73DB"/>
    <w:rsid w:val="001C7404"/>
    <w:rsid w:val="001C789B"/>
    <w:rsid w:val="001C791B"/>
    <w:rsid w:val="001C79A6"/>
    <w:rsid w:val="001C7C44"/>
    <w:rsid w:val="001C7EE4"/>
    <w:rsid w:val="001D01DC"/>
    <w:rsid w:val="001D025E"/>
    <w:rsid w:val="001D02B8"/>
    <w:rsid w:val="001D05AF"/>
    <w:rsid w:val="001D06C1"/>
    <w:rsid w:val="001D0897"/>
    <w:rsid w:val="001D08B0"/>
    <w:rsid w:val="001D08ED"/>
    <w:rsid w:val="001D0ACF"/>
    <w:rsid w:val="001D0B7E"/>
    <w:rsid w:val="001D10C8"/>
    <w:rsid w:val="001D135B"/>
    <w:rsid w:val="001D1691"/>
    <w:rsid w:val="001D193F"/>
    <w:rsid w:val="001D1A2C"/>
    <w:rsid w:val="001D1B28"/>
    <w:rsid w:val="001D1D60"/>
    <w:rsid w:val="001D1D77"/>
    <w:rsid w:val="001D2041"/>
    <w:rsid w:val="001D23A4"/>
    <w:rsid w:val="001D2964"/>
    <w:rsid w:val="001D2A29"/>
    <w:rsid w:val="001D2A31"/>
    <w:rsid w:val="001D2C05"/>
    <w:rsid w:val="001D3383"/>
    <w:rsid w:val="001D34D5"/>
    <w:rsid w:val="001D3539"/>
    <w:rsid w:val="001D363D"/>
    <w:rsid w:val="001D3964"/>
    <w:rsid w:val="001D3CB8"/>
    <w:rsid w:val="001D3D5F"/>
    <w:rsid w:val="001D3E9C"/>
    <w:rsid w:val="001D41DE"/>
    <w:rsid w:val="001D429A"/>
    <w:rsid w:val="001D42D6"/>
    <w:rsid w:val="001D436E"/>
    <w:rsid w:val="001D4414"/>
    <w:rsid w:val="001D446B"/>
    <w:rsid w:val="001D4484"/>
    <w:rsid w:val="001D4569"/>
    <w:rsid w:val="001D4670"/>
    <w:rsid w:val="001D475C"/>
    <w:rsid w:val="001D4CCD"/>
    <w:rsid w:val="001D4F25"/>
    <w:rsid w:val="001D517E"/>
    <w:rsid w:val="001D523F"/>
    <w:rsid w:val="001D52E8"/>
    <w:rsid w:val="001D530A"/>
    <w:rsid w:val="001D5834"/>
    <w:rsid w:val="001D595A"/>
    <w:rsid w:val="001D5B62"/>
    <w:rsid w:val="001D5C4F"/>
    <w:rsid w:val="001D5CCE"/>
    <w:rsid w:val="001D605E"/>
    <w:rsid w:val="001D60E6"/>
    <w:rsid w:val="001D664B"/>
    <w:rsid w:val="001D6701"/>
    <w:rsid w:val="001D67DA"/>
    <w:rsid w:val="001D6993"/>
    <w:rsid w:val="001D6B97"/>
    <w:rsid w:val="001D6E26"/>
    <w:rsid w:val="001D6EC8"/>
    <w:rsid w:val="001D7264"/>
    <w:rsid w:val="001D7286"/>
    <w:rsid w:val="001D7584"/>
    <w:rsid w:val="001D7873"/>
    <w:rsid w:val="001D794B"/>
    <w:rsid w:val="001D7C38"/>
    <w:rsid w:val="001D7C63"/>
    <w:rsid w:val="001D7C7D"/>
    <w:rsid w:val="001D7CE7"/>
    <w:rsid w:val="001D7FC8"/>
    <w:rsid w:val="001E0216"/>
    <w:rsid w:val="001E037F"/>
    <w:rsid w:val="001E03EB"/>
    <w:rsid w:val="001E0806"/>
    <w:rsid w:val="001E0827"/>
    <w:rsid w:val="001E0926"/>
    <w:rsid w:val="001E0C83"/>
    <w:rsid w:val="001E0EB6"/>
    <w:rsid w:val="001E0EC2"/>
    <w:rsid w:val="001E1393"/>
    <w:rsid w:val="001E157C"/>
    <w:rsid w:val="001E15FF"/>
    <w:rsid w:val="001E16C5"/>
    <w:rsid w:val="001E1709"/>
    <w:rsid w:val="001E1A29"/>
    <w:rsid w:val="001E1BB4"/>
    <w:rsid w:val="001E1F13"/>
    <w:rsid w:val="001E2254"/>
    <w:rsid w:val="001E241E"/>
    <w:rsid w:val="001E243D"/>
    <w:rsid w:val="001E25E7"/>
    <w:rsid w:val="001E29E5"/>
    <w:rsid w:val="001E32A5"/>
    <w:rsid w:val="001E330C"/>
    <w:rsid w:val="001E343D"/>
    <w:rsid w:val="001E34E0"/>
    <w:rsid w:val="001E361E"/>
    <w:rsid w:val="001E3625"/>
    <w:rsid w:val="001E3F36"/>
    <w:rsid w:val="001E3F61"/>
    <w:rsid w:val="001E4404"/>
    <w:rsid w:val="001E45DC"/>
    <w:rsid w:val="001E47D1"/>
    <w:rsid w:val="001E47D9"/>
    <w:rsid w:val="001E47FA"/>
    <w:rsid w:val="001E48D7"/>
    <w:rsid w:val="001E4AE8"/>
    <w:rsid w:val="001E4C6B"/>
    <w:rsid w:val="001E5410"/>
    <w:rsid w:val="001E5479"/>
    <w:rsid w:val="001E5777"/>
    <w:rsid w:val="001E5C89"/>
    <w:rsid w:val="001E5C8F"/>
    <w:rsid w:val="001E5CAA"/>
    <w:rsid w:val="001E5E90"/>
    <w:rsid w:val="001E6276"/>
    <w:rsid w:val="001E6395"/>
    <w:rsid w:val="001E651B"/>
    <w:rsid w:val="001E69C1"/>
    <w:rsid w:val="001E6A95"/>
    <w:rsid w:val="001E6C07"/>
    <w:rsid w:val="001E6D45"/>
    <w:rsid w:val="001E70BF"/>
    <w:rsid w:val="001E70FC"/>
    <w:rsid w:val="001E73BF"/>
    <w:rsid w:val="001E7415"/>
    <w:rsid w:val="001E77C9"/>
    <w:rsid w:val="001E7AF3"/>
    <w:rsid w:val="001E7CFD"/>
    <w:rsid w:val="001E7DC9"/>
    <w:rsid w:val="001E7E77"/>
    <w:rsid w:val="001E7EDE"/>
    <w:rsid w:val="001E7FB6"/>
    <w:rsid w:val="001F04DC"/>
    <w:rsid w:val="001F0511"/>
    <w:rsid w:val="001F05B7"/>
    <w:rsid w:val="001F0809"/>
    <w:rsid w:val="001F0E2B"/>
    <w:rsid w:val="001F0E88"/>
    <w:rsid w:val="001F0F0F"/>
    <w:rsid w:val="001F10F7"/>
    <w:rsid w:val="001F1316"/>
    <w:rsid w:val="001F1750"/>
    <w:rsid w:val="001F1AD4"/>
    <w:rsid w:val="001F1D04"/>
    <w:rsid w:val="001F1D4D"/>
    <w:rsid w:val="001F1FF4"/>
    <w:rsid w:val="001F2250"/>
    <w:rsid w:val="001F23D7"/>
    <w:rsid w:val="001F250B"/>
    <w:rsid w:val="001F2987"/>
    <w:rsid w:val="001F2B19"/>
    <w:rsid w:val="001F2B8A"/>
    <w:rsid w:val="001F2C04"/>
    <w:rsid w:val="001F2F53"/>
    <w:rsid w:val="001F3070"/>
    <w:rsid w:val="001F31F8"/>
    <w:rsid w:val="001F3291"/>
    <w:rsid w:val="001F32F9"/>
    <w:rsid w:val="001F37D6"/>
    <w:rsid w:val="001F3DFD"/>
    <w:rsid w:val="001F3EF2"/>
    <w:rsid w:val="001F3F95"/>
    <w:rsid w:val="001F403E"/>
    <w:rsid w:val="001F411F"/>
    <w:rsid w:val="001F4492"/>
    <w:rsid w:val="001F470B"/>
    <w:rsid w:val="001F4723"/>
    <w:rsid w:val="001F47A6"/>
    <w:rsid w:val="001F47F1"/>
    <w:rsid w:val="001F4805"/>
    <w:rsid w:val="001F4A2A"/>
    <w:rsid w:val="001F4A3F"/>
    <w:rsid w:val="001F4E3E"/>
    <w:rsid w:val="001F5002"/>
    <w:rsid w:val="001F512E"/>
    <w:rsid w:val="001F51F8"/>
    <w:rsid w:val="001F5231"/>
    <w:rsid w:val="001F531C"/>
    <w:rsid w:val="001F570C"/>
    <w:rsid w:val="001F5CD7"/>
    <w:rsid w:val="001F5D2D"/>
    <w:rsid w:val="001F5D44"/>
    <w:rsid w:val="001F5F8D"/>
    <w:rsid w:val="001F5FA6"/>
    <w:rsid w:val="001F61DC"/>
    <w:rsid w:val="001F62DC"/>
    <w:rsid w:val="001F648B"/>
    <w:rsid w:val="001F64AE"/>
    <w:rsid w:val="001F64F9"/>
    <w:rsid w:val="001F67FA"/>
    <w:rsid w:val="001F6AFF"/>
    <w:rsid w:val="001F6C3E"/>
    <w:rsid w:val="001F6E33"/>
    <w:rsid w:val="001F6F92"/>
    <w:rsid w:val="001F73D1"/>
    <w:rsid w:val="001F76D9"/>
    <w:rsid w:val="001F78BA"/>
    <w:rsid w:val="001F7989"/>
    <w:rsid w:val="001F798F"/>
    <w:rsid w:val="001F7D5C"/>
    <w:rsid w:val="001F7E39"/>
    <w:rsid w:val="001F7E82"/>
    <w:rsid w:val="001F7FF7"/>
    <w:rsid w:val="001FC45A"/>
    <w:rsid w:val="00200173"/>
    <w:rsid w:val="00200373"/>
    <w:rsid w:val="002004C7"/>
    <w:rsid w:val="00200548"/>
    <w:rsid w:val="00200621"/>
    <w:rsid w:val="00200B02"/>
    <w:rsid w:val="00200D5E"/>
    <w:rsid w:val="00200D79"/>
    <w:rsid w:val="00201164"/>
    <w:rsid w:val="002015D1"/>
    <w:rsid w:val="0020177C"/>
    <w:rsid w:val="0020188E"/>
    <w:rsid w:val="00201900"/>
    <w:rsid w:val="00201A09"/>
    <w:rsid w:val="00201BA0"/>
    <w:rsid w:val="00201EE5"/>
    <w:rsid w:val="002021E9"/>
    <w:rsid w:val="002022D3"/>
    <w:rsid w:val="0020242D"/>
    <w:rsid w:val="002024BC"/>
    <w:rsid w:val="002029CB"/>
    <w:rsid w:val="00202A3F"/>
    <w:rsid w:val="00202A7A"/>
    <w:rsid w:val="00202D2A"/>
    <w:rsid w:val="00202E11"/>
    <w:rsid w:val="00202E45"/>
    <w:rsid w:val="0020321C"/>
    <w:rsid w:val="0020340B"/>
    <w:rsid w:val="00203414"/>
    <w:rsid w:val="00203513"/>
    <w:rsid w:val="00203639"/>
    <w:rsid w:val="002036D3"/>
    <w:rsid w:val="00203714"/>
    <w:rsid w:val="00203967"/>
    <w:rsid w:val="00203BFD"/>
    <w:rsid w:val="00203CDB"/>
    <w:rsid w:val="00203D10"/>
    <w:rsid w:val="00203EE1"/>
    <w:rsid w:val="00204062"/>
    <w:rsid w:val="0020406A"/>
    <w:rsid w:val="0020407F"/>
    <w:rsid w:val="002040CB"/>
    <w:rsid w:val="002043B8"/>
    <w:rsid w:val="002044AC"/>
    <w:rsid w:val="00204699"/>
    <w:rsid w:val="00204A7A"/>
    <w:rsid w:val="00204C39"/>
    <w:rsid w:val="00204C63"/>
    <w:rsid w:val="00204CF0"/>
    <w:rsid w:val="00204D38"/>
    <w:rsid w:val="00204DBB"/>
    <w:rsid w:val="00204FFD"/>
    <w:rsid w:val="002053BA"/>
    <w:rsid w:val="0020554D"/>
    <w:rsid w:val="00205C44"/>
    <w:rsid w:val="00205FCF"/>
    <w:rsid w:val="00206112"/>
    <w:rsid w:val="0020613A"/>
    <w:rsid w:val="00206201"/>
    <w:rsid w:val="00206506"/>
    <w:rsid w:val="00206555"/>
    <w:rsid w:val="002067D4"/>
    <w:rsid w:val="00206906"/>
    <w:rsid w:val="0020697F"/>
    <w:rsid w:val="00206C6D"/>
    <w:rsid w:val="00206D1A"/>
    <w:rsid w:val="00206DF2"/>
    <w:rsid w:val="002071C9"/>
    <w:rsid w:val="00207361"/>
    <w:rsid w:val="0020741E"/>
    <w:rsid w:val="00207561"/>
    <w:rsid w:val="00207568"/>
    <w:rsid w:val="00207633"/>
    <w:rsid w:val="00207968"/>
    <w:rsid w:val="00207E72"/>
    <w:rsid w:val="00207EA6"/>
    <w:rsid w:val="002102C1"/>
    <w:rsid w:val="00210442"/>
    <w:rsid w:val="002106FA"/>
    <w:rsid w:val="00210B97"/>
    <w:rsid w:val="00210CFA"/>
    <w:rsid w:val="00210F64"/>
    <w:rsid w:val="002110CF"/>
    <w:rsid w:val="002110F7"/>
    <w:rsid w:val="0021136F"/>
    <w:rsid w:val="00211390"/>
    <w:rsid w:val="00211787"/>
    <w:rsid w:val="00211959"/>
    <w:rsid w:val="00211D2F"/>
    <w:rsid w:val="00211D49"/>
    <w:rsid w:val="00211FAA"/>
    <w:rsid w:val="0021209F"/>
    <w:rsid w:val="00212211"/>
    <w:rsid w:val="002122DC"/>
    <w:rsid w:val="002124D1"/>
    <w:rsid w:val="002127D9"/>
    <w:rsid w:val="00212833"/>
    <w:rsid w:val="00212A68"/>
    <w:rsid w:val="00212AA8"/>
    <w:rsid w:val="002133E6"/>
    <w:rsid w:val="002134B9"/>
    <w:rsid w:val="00213560"/>
    <w:rsid w:val="002136E4"/>
    <w:rsid w:val="00213947"/>
    <w:rsid w:val="00213ED7"/>
    <w:rsid w:val="00214552"/>
    <w:rsid w:val="00214686"/>
    <w:rsid w:val="002147B8"/>
    <w:rsid w:val="00214A65"/>
    <w:rsid w:val="00214ADC"/>
    <w:rsid w:val="00214B16"/>
    <w:rsid w:val="00214C9D"/>
    <w:rsid w:val="00214DF1"/>
    <w:rsid w:val="00214FA1"/>
    <w:rsid w:val="00214FF6"/>
    <w:rsid w:val="002150F7"/>
    <w:rsid w:val="0021512C"/>
    <w:rsid w:val="0021531F"/>
    <w:rsid w:val="00215525"/>
    <w:rsid w:val="0021556B"/>
    <w:rsid w:val="0021564C"/>
    <w:rsid w:val="002156D0"/>
    <w:rsid w:val="00215BA5"/>
    <w:rsid w:val="00215E91"/>
    <w:rsid w:val="00215F86"/>
    <w:rsid w:val="00216312"/>
    <w:rsid w:val="00216407"/>
    <w:rsid w:val="0021645F"/>
    <w:rsid w:val="00216679"/>
    <w:rsid w:val="00216948"/>
    <w:rsid w:val="002169B0"/>
    <w:rsid w:val="00216C6A"/>
    <w:rsid w:val="00217100"/>
    <w:rsid w:val="00217517"/>
    <w:rsid w:val="00217743"/>
    <w:rsid w:val="00217A78"/>
    <w:rsid w:val="00217AA1"/>
    <w:rsid w:val="00217B78"/>
    <w:rsid w:val="00217CC3"/>
    <w:rsid w:val="00217D88"/>
    <w:rsid w:val="00220482"/>
    <w:rsid w:val="00220597"/>
    <w:rsid w:val="00220FB8"/>
    <w:rsid w:val="0022102C"/>
    <w:rsid w:val="0022119E"/>
    <w:rsid w:val="00221274"/>
    <w:rsid w:val="00221332"/>
    <w:rsid w:val="00221409"/>
    <w:rsid w:val="00221581"/>
    <w:rsid w:val="002215F4"/>
    <w:rsid w:val="0022167D"/>
    <w:rsid w:val="00221822"/>
    <w:rsid w:val="00221991"/>
    <w:rsid w:val="00221A66"/>
    <w:rsid w:val="00221A9A"/>
    <w:rsid w:val="00221CB7"/>
    <w:rsid w:val="00222001"/>
    <w:rsid w:val="00222130"/>
    <w:rsid w:val="002223EB"/>
    <w:rsid w:val="0022256E"/>
    <w:rsid w:val="002226D6"/>
    <w:rsid w:val="002227A6"/>
    <w:rsid w:val="0022284F"/>
    <w:rsid w:val="00222B71"/>
    <w:rsid w:val="00222BBD"/>
    <w:rsid w:val="00222C13"/>
    <w:rsid w:val="00222C66"/>
    <w:rsid w:val="00222DF5"/>
    <w:rsid w:val="00222FF4"/>
    <w:rsid w:val="002233F2"/>
    <w:rsid w:val="0022353C"/>
    <w:rsid w:val="00223639"/>
    <w:rsid w:val="002238A8"/>
    <w:rsid w:val="0022391C"/>
    <w:rsid w:val="00223B10"/>
    <w:rsid w:val="00223C10"/>
    <w:rsid w:val="00223E0D"/>
    <w:rsid w:val="00224165"/>
    <w:rsid w:val="00224181"/>
    <w:rsid w:val="0022421E"/>
    <w:rsid w:val="00224263"/>
    <w:rsid w:val="0022436F"/>
    <w:rsid w:val="002246E0"/>
    <w:rsid w:val="0022475D"/>
    <w:rsid w:val="0022485B"/>
    <w:rsid w:val="00224878"/>
    <w:rsid w:val="00224A64"/>
    <w:rsid w:val="00224EE4"/>
    <w:rsid w:val="002250CC"/>
    <w:rsid w:val="002253AA"/>
    <w:rsid w:val="0022547A"/>
    <w:rsid w:val="0022556B"/>
    <w:rsid w:val="002257D4"/>
    <w:rsid w:val="0022582E"/>
    <w:rsid w:val="00225CAF"/>
    <w:rsid w:val="00225DD4"/>
    <w:rsid w:val="00225FF8"/>
    <w:rsid w:val="002263BD"/>
    <w:rsid w:val="0022643A"/>
    <w:rsid w:val="002264AA"/>
    <w:rsid w:val="00226891"/>
    <w:rsid w:val="00226A19"/>
    <w:rsid w:val="00226C26"/>
    <w:rsid w:val="00227115"/>
    <w:rsid w:val="00227264"/>
    <w:rsid w:val="00227C23"/>
    <w:rsid w:val="00227DDF"/>
    <w:rsid w:val="00230763"/>
    <w:rsid w:val="00230978"/>
    <w:rsid w:val="00230ADB"/>
    <w:rsid w:val="00230B76"/>
    <w:rsid w:val="00230C45"/>
    <w:rsid w:val="00230CEF"/>
    <w:rsid w:val="00230F95"/>
    <w:rsid w:val="00231049"/>
    <w:rsid w:val="0023108D"/>
    <w:rsid w:val="002311ED"/>
    <w:rsid w:val="0023122A"/>
    <w:rsid w:val="002312B1"/>
    <w:rsid w:val="002312C2"/>
    <w:rsid w:val="0023140D"/>
    <w:rsid w:val="00231471"/>
    <w:rsid w:val="00231B05"/>
    <w:rsid w:val="00231FC1"/>
    <w:rsid w:val="00232185"/>
    <w:rsid w:val="002321FD"/>
    <w:rsid w:val="0023225E"/>
    <w:rsid w:val="00232428"/>
    <w:rsid w:val="0023259F"/>
    <w:rsid w:val="002325B4"/>
    <w:rsid w:val="002326E9"/>
    <w:rsid w:val="002327DD"/>
    <w:rsid w:val="00232B37"/>
    <w:rsid w:val="00232BF3"/>
    <w:rsid w:val="00232E22"/>
    <w:rsid w:val="00232F9D"/>
    <w:rsid w:val="00233154"/>
    <w:rsid w:val="0023318A"/>
    <w:rsid w:val="002332F0"/>
    <w:rsid w:val="00233384"/>
    <w:rsid w:val="00233849"/>
    <w:rsid w:val="002340E8"/>
    <w:rsid w:val="002341B4"/>
    <w:rsid w:val="002341C0"/>
    <w:rsid w:val="002341C4"/>
    <w:rsid w:val="0023445A"/>
    <w:rsid w:val="0023464E"/>
    <w:rsid w:val="00234664"/>
    <w:rsid w:val="00234720"/>
    <w:rsid w:val="0023489B"/>
    <w:rsid w:val="00234935"/>
    <w:rsid w:val="00234B3F"/>
    <w:rsid w:val="00234BD4"/>
    <w:rsid w:val="00234E86"/>
    <w:rsid w:val="00234EC0"/>
    <w:rsid w:val="00234FDC"/>
    <w:rsid w:val="002353F3"/>
    <w:rsid w:val="0023570F"/>
    <w:rsid w:val="0023595B"/>
    <w:rsid w:val="00235A09"/>
    <w:rsid w:val="00235E55"/>
    <w:rsid w:val="00235F74"/>
    <w:rsid w:val="00235FA3"/>
    <w:rsid w:val="0023601D"/>
    <w:rsid w:val="00236147"/>
    <w:rsid w:val="002362C7"/>
    <w:rsid w:val="002362E7"/>
    <w:rsid w:val="0023632F"/>
    <w:rsid w:val="0023633A"/>
    <w:rsid w:val="00236391"/>
    <w:rsid w:val="002364F4"/>
    <w:rsid w:val="00236626"/>
    <w:rsid w:val="00236650"/>
    <w:rsid w:val="0023673C"/>
    <w:rsid w:val="0023683B"/>
    <w:rsid w:val="002368AF"/>
    <w:rsid w:val="00236D90"/>
    <w:rsid w:val="0023740C"/>
    <w:rsid w:val="0023754F"/>
    <w:rsid w:val="002379D8"/>
    <w:rsid w:val="00237B38"/>
    <w:rsid w:val="00237C33"/>
    <w:rsid w:val="00237E82"/>
    <w:rsid w:val="00240296"/>
    <w:rsid w:val="002404C4"/>
    <w:rsid w:val="002407D6"/>
    <w:rsid w:val="00240B02"/>
    <w:rsid w:val="00240B0A"/>
    <w:rsid w:val="0024114E"/>
    <w:rsid w:val="00241201"/>
    <w:rsid w:val="002415F9"/>
    <w:rsid w:val="00241878"/>
    <w:rsid w:val="002418F5"/>
    <w:rsid w:val="0024197F"/>
    <w:rsid w:val="00241A6B"/>
    <w:rsid w:val="00242748"/>
    <w:rsid w:val="002427C3"/>
    <w:rsid w:val="002428B2"/>
    <w:rsid w:val="00242978"/>
    <w:rsid w:val="00242AEE"/>
    <w:rsid w:val="00242AF9"/>
    <w:rsid w:val="00242D46"/>
    <w:rsid w:val="0024300C"/>
    <w:rsid w:val="002431DF"/>
    <w:rsid w:val="002432C2"/>
    <w:rsid w:val="00243423"/>
    <w:rsid w:val="0024369E"/>
    <w:rsid w:val="002436E7"/>
    <w:rsid w:val="00243A7D"/>
    <w:rsid w:val="00243C7B"/>
    <w:rsid w:val="00243CF2"/>
    <w:rsid w:val="002440A1"/>
    <w:rsid w:val="00244215"/>
    <w:rsid w:val="002442AA"/>
    <w:rsid w:val="002446B7"/>
    <w:rsid w:val="00244796"/>
    <w:rsid w:val="00244917"/>
    <w:rsid w:val="00244960"/>
    <w:rsid w:val="00244A18"/>
    <w:rsid w:val="00244BA0"/>
    <w:rsid w:val="00244CA8"/>
    <w:rsid w:val="00245202"/>
    <w:rsid w:val="002452BC"/>
    <w:rsid w:val="00245BBE"/>
    <w:rsid w:val="00245D41"/>
    <w:rsid w:val="00245D66"/>
    <w:rsid w:val="00245E71"/>
    <w:rsid w:val="00245F15"/>
    <w:rsid w:val="00246280"/>
    <w:rsid w:val="0024629E"/>
    <w:rsid w:val="00246364"/>
    <w:rsid w:val="0024641A"/>
    <w:rsid w:val="00246507"/>
    <w:rsid w:val="00246673"/>
    <w:rsid w:val="00246869"/>
    <w:rsid w:val="00246B27"/>
    <w:rsid w:val="00246B52"/>
    <w:rsid w:val="00247102"/>
    <w:rsid w:val="0024713A"/>
    <w:rsid w:val="0024723F"/>
    <w:rsid w:val="002474BB"/>
    <w:rsid w:val="002474EE"/>
    <w:rsid w:val="002475B9"/>
    <w:rsid w:val="002476F8"/>
    <w:rsid w:val="00247783"/>
    <w:rsid w:val="0024790D"/>
    <w:rsid w:val="00247AB7"/>
    <w:rsid w:val="00247C62"/>
    <w:rsid w:val="00247CF1"/>
    <w:rsid w:val="00247D2F"/>
    <w:rsid w:val="00247D90"/>
    <w:rsid w:val="00250200"/>
    <w:rsid w:val="00250359"/>
    <w:rsid w:val="00250529"/>
    <w:rsid w:val="0025058F"/>
    <w:rsid w:val="00250638"/>
    <w:rsid w:val="00250AFB"/>
    <w:rsid w:val="00250BE3"/>
    <w:rsid w:val="00250BF7"/>
    <w:rsid w:val="002512BA"/>
    <w:rsid w:val="002513D0"/>
    <w:rsid w:val="00251614"/>
    <w:rsid w:val="00251760"/>
    <w:rsid w:val="00251939"/>
    <w:rsid w:val="00251BFB"/>
    <w:rsid w:val="00251EFC"/>
    <w:rsid w:val="00251F80"/>
    <w:rsid w:val="00252198"/>
    <w:rsid w:val="002523DA"/>
    <w:rsid w:val="00252418"/>
    <w:rsid w:val="002524AB"/>
    <w:rsid w:val="0025282E"/>
    <w:rsid w:val="00252855"/>
    <w:rsid w:val="00252903"/>
    <w:rsid w:val="00252C01"/>
    <w:rsid w:val="00252CFD"/>
    <w:rsid w:val="00252D80"/>
    <w:rsid w:val="00252EDE"/>
    <w:rsid w:val="00252FAB"/>
    <w:rsid w:val="002530D0"/>
    <w:rsid w:val="002533D8"/>
    <w:rsid w:val="00253525"/>
    <w:rsid w:val="00253688"/>
    <w:rsid w:val="002539CC"/>
    <w:rsid w:val="00253B0B"/>
    <w:rsid w:val="00253CEA"/>
    <w:rsid w:val="00253CFA"/>
    <w:rsid w:val="00253E29"/>
    <w:rsid w:val="00253EC8"/>
    <w:rsid w:val="00253FAF"/>
    <w:rsid w:val="002540C3"/>
    <w:rsid w:val="002541A0"/>
    <w:rsid w:val="00254392"/>
    <w:rsid w:val="002543B8"/>
    <w:rsid w:val="002545CE"/>
    <w:rsid w:val="002546DB"/>
    <w:rsid w:val="002548DE"/>
    <w:rsid w:val="00254A03"/>
    <w:rsid w:val="00254CE4"/>
    <w:rsid w:val="00255977"/>
    <w:rsid w:val="00255B6B"/>
    <w:rsid w:val="00255FB0"/>
    <w:rsid w:val="00256010"/>
    <w:rsid w:val="002564AF"/>
    <w:rsid w:val="00256784"/>
    <w:rsid w:val="00256DCA"/>
    <w:rsid w:val="002571B2"/>
    <w:rsid w:val="00257313"/>
    <w:rsid w:val="00257424"/>
    <w:rsid w:val="002576F7"/>
    <w:rsid w:val="002579C5"/>
    <w:rsid w:val="00257A76"/>
    <w:rsid w:val="00257B3A"/>
    <w:rsid w:val="00257CFE"/>
    <w:rsid w:val="002600DE"/>
    <w:rsid w:val="00260252"/>
    <w:rsid w:val="00260526"/>
    <w:rsid w:val="00260B0B"/>
    <w:rsid w:val="00260E01"/>
    <w:rsid w:val="00261121"/>
    <w:rsid w:val="00261231"/>
    <w:rsid w:val="002614FC"/>
    <w:rsid w:val="002616D4"/>
    <w:rsid w:val="00261E16"/>
    <w:rsid w:val="00262088"/>
    <w:rsid w:val="00262491"/>
    <w:rsid w:val="00262AB6"/>
    <w:rsid w:val="00262D03"/>
    <w:rsid w:val="00262E00"/>
    <w:rsid w:val="00262EB2"/>
    <w:rsid w:val="0026314F"/>
    <w:rsid w:val="002631C7"/>
    <w:rsid w:val="00263258"/>
    <w:rsid w:val="00263736"/>
    <w:rsid w:val="00264241"/>
    <w:rsid w:val="0026428B"/>
    <w:rsid w:val="002643C0"/>
    <w:rsid w:val="002648E5"/>
    <w:rsid w:val="00264A40"/>
    <w:rsid w:val="00264A81"/>
    <w:rsid w:val="00264B59"/>
    <w:rsid w:val="00264D2B"/>
    <w:rsid w:val="00264F2B"/>
    <w:rsid w:val="00264F4A"/>
    <w:rsid w:val="00265224"/>
    <w:rsid w:val="00265510"/>
    <w:rsid w:val="0026576B"/>
    <w:rsid w:val="002658E3"/>
    <w:rsid w:val="00265CBB"/>
    <w:rsid w:val="00265D3A"/>
    <w:rsid w:val="0026607B"/>
    <w:rsid w:val="0026611D"/>
    <w:rsid w:val="0026696E"/>
    <w:rsid w:val="00266B06"/>
    <w:rsid w:val="00266B15"/>
    <w:rsid w:val="00266CAC"/>
    <w:rsid w:val="00266E4E"/>
    <w:rsid w:val="00266EBE"/>
    <w:rsid w:val="00266F81"/>
    <w:rsid w:val="00267040"/>
    <w:rsid w:val="00267074"/>
    <w:rsid w:val="0026714A"/>
    <w:rsid w:val="002671B2"/>
    <w:rsid w:val="002671FB"/>
    <w:rsid w:val="0026782F"/>
    <w:rsid w:val="00267988"/>
    <w:rsid w:val="0026799A"/>
    <w:rsid w:val="00267CC5"/>
    <w:rsid w:val="00267FA9"/>
    <w:rsid w:val="00270388"/>
    <w:rsid w:val="00270471"/>
    <w:rsid w:val="00270B26"/>
    <w:rsid w:val="00271130"/>
    <w:rsid w:val="00271199"/>
    <w:rsid w:val="002714DC"/>
    <w:rsid w:val="00271824"/>
    <w:rsid w:val="002718A8"/>
    <w:rsid w:val="00271926"/>
    <w:rsid w:val="00271FAE"/>
    <w:rsid w:val="00272106"/>
    <w:rsid w:val="0027220B"/>
    <w:rsid w:val="00272354"/>
    <w:rsid w:val="00272443"/>
    <w:rsid w:val="00272533"/>
    <w:rsid w:val="002726D7"/>
    <w:rsid w:val="002726F0"/>
    <w:rsid w:val="0027292F"/>
    <w:rsid w:val="00272F01"/>
    <w:rsid w:val="002730F4"/>
    <w:rsid w:val="002731A0"/>
    <w:rsid w:val="00273228"/>
    <w:rsid w:val="0027322D"/>
    <w:rsid w:val="002732D6"/>
    <w:rsid w:val="0027333D"/>
    <w:rsid w:val="0027334A"/>
    <w:rsid w:val="002735DE"/>
    <w:rsid w:val="0027368E"/>
    <w:rsid w:val="002736EF"/>
    <w:rsid w:val="002737ED"/>
    <w:rsid w:val="00273B1C"/>
    <w:rsid w:val="00273CC6"/>
    <w:rsid w:val="00273CFA"/>
    <w:rsid w:val="00273DE0"/>
    <w:rsid w:val="00274156"/>
    <w:rsid w:val="00274292"/>
    <w:rsid w:val="002743D1"/>
    <w:rsid w:val="0027444D"/>
    <w:rsid w:val="002744F8"/>
    <w:rsid w:val="0027478C"/>
    <w:rsid w:val="00274B55"/>
    <w:rsid w:val="00274B85"/>
    <w:rsid w:val="00274CA1"/>
    <w:rsid w:val="00274F47"/>
    <w:rsid w:val="00275019"/>
    <w:rsid w:val="00275021"/>
    <w:rsid w:val="0027595D"/>
    <w:rsid w:val="0027599C"/>
    <w:rsid w:val="00275A00"/>
    <w:rsid w:val="00275A3D"/>
    <w:rsid w:val="00275A57"/>
    <w:rsid w:val="00275BEB"/>
    <w:rsid w:val="00275CB4"/>
    <w:rsid w:val="00275F01"/>
    <w:rsid w:val="00276020"/>
    <w:rsid w:val="0027622F"/>
    <w:rsid w:val="00276306"/>
    <w:rsid w:val="00276330"/>
    <w:rsid w:val="00276474"/>
    <w:rsid w:val="002764B2"/>
    <w:rsid w:val="00276506"/>
    <w:rsid w:val="00276665"/>
    <w:rsid w:val="002766CC"/>
    <w:rsid w:val="002768C1"/>
    <w:rsid w:val="002768CA"/>
    <w:rsid w:val="002769FF"/>
    <w:rsid w:val="00276CB1"/>
    <w:rsid w:val="00276CF4"/>
    <w:rsid w:val="00276DF4"/>
    <w:rsid w:val="00276EA1"/>
    <w:rsid w:val="00276F15"/>
    <w:rsid w:val="00277368"/>
    <w:rsid w:val="0027749E"/>
    <w:rsid w:val="0027768E"/>
    <w:rsid w:val="0027789E"/>
    <w:rsid w:val="002800A4"/>
    <w:rsid w:val="0028070E"/>
    <w:rsid w:val="002807AA"/>
    <w:rsid w:val="00280829"/>
    <w:rsid w:val="00280948"/>
    <w:rsid w:val="00280A32"/>
    <w:rsid w:val="00280F75"/>
    <w:rsid w:val="00281159"/>
    <w:rsid w:val="002811F9"/>
    <w:rsid w:val="00281293"/>
    <w:rsid w:val="002817EF"/>
    <w:rsid w:val="0028180F"/>
    <w:rsid w:val="00281D45"/>
    <w:rsid w:val="002821C9"/>
    <w:rsid w:val="00282940"/>
    <w:rsid w:val="00282E02"/>
    <w:rsid w:val="00282F47"/>
    <w:rsid w:val="002832A4"/>
    <w:rsid w:val="0028349B"/>
    <w:rsid w:val="0028353B"/>
    <w:rsid w:val="00283741"/>
    <w:rsid w:val="00283A0F"/>
    <w:rsid w:val="00283E45"/>
    <w:rsid w:val="0028413D"/>
    <w:rsid w:val="00284405"/>
    <w:rsid w:val="00284856"/>
    <w:rsid w:val="00284F76"/>
    <w:rsid w:val="00284FCE"/>
    <w:rsid w:val="00285498"/>
    <w:rsid w:val="00285543"/>
    <w:rsid w:val="002857FA"/>
    <w:rsid w:val="00285822"/>
    <w:rsid w:val="002859B0"/>
    <w:rsid w:val="00285B80"/>
    <w:rsid w:val="00285C71"/>
    <w:rsid w:val="00286326"/>
    <w:rsid w:val="002864EF"/>
    <w:rsid w:val="0028654B"/>
    <w:rsid w:val="002866E5"/>
    <w:rsid w:val="002867D4"/>
    <w:rsid w:val="00286A88"/>
    <w:rsid w:val="00286D07"/>
    <w:rsid w:val="00286DB3"/>
    <w:rsid w:val="00286FF6"/>
    <w:rsid w:val="00287090"/>
    <w:rsid w:val="002870A0"/>
    <w:rsid w:val="00287381"/>
    <w:rsid w:val="00287ACF"/>
    <w:rsid w:val="00287C26"/>
    <w:rsid w:val="00287D67"/>
    <w:rsid w:val="00287D96"/>
    <w:rsid w:val="00287DEB"/>
    <w:rsid w:val="0029001B"/>
    <w:rsid w:val="0029002E"/>
    <w:rsid w:val="0029013C"/>
    <w:rsid w:val="00290372"/>
    <w:rsid w:val="0029080C"/>
    <w:rsid w:val="00290862"/>
    <w:rsid w:val="002908EF"/>
    <w:rsid w:val="00290AF3"/>
    <w:rsid w:val="00290B37"/>
    <w:rsid w:val="00290E1B"/>
    <w:rsid w:val="00290F35"/>
    <w:rsid w:val="00291232"/>
    <w:rsid w:val="002912AF"/>
    <w:rsid w:val="00291AB2"/>
    <w:rsid w:val="00291CC9"/>
    <w:rsid w:val="00291F90"/>
    <w:rsid w:val="00292663"/>
    <w:rsid w:val="00292822"/>
    <w:rsid w:val="00292BB1"/>
    <w:rsid w:val="00292C41"/>
    <w:rsid w:val="00292CAB"/>
    <w:rsid w:val="00292CFF"/>
    <w:rsid w:val="00292DA6"/>
    <w:rsid w:val="0029330E"/>
    <w:rsid w:val="00293384"/>
    <w:rsid w:val="00293D08"/>
    <w:rsid w:val="00293F17"/>
    <w:rsid w:val="00294175"/>
    <w:rsid w:val="00294368"/>
    <w:rsid w:val="002943AB"/>
    <w:rsid w:val="002943AD"/>
    <w:rsid w:val="0029441B"/>
    <w:rsid w:val="0029450B"/>
    <w:rsid w:val="0029454F"/>
    <w:rsid w:val="00294590"/>
    <w:rsid w:val="0029485E"/>
    <w:rsid w:val="00294898"/>
    <w:rsid w:val="00294ACD"/>
    <w:rsid w:val="00294B71"/>
    <w:rsid w:val="00294BB5"/>
    <w:rsid w:val="00294DCA"/>
    <w:rsid w:val="00294E2C"/>
    <w:rsid w:val="0029506E"/>
    <w:rsid w:val="00295336"/>
    <w:rsid w:val="0029590A"/>
    <w:rsid w:val="00295B5A"/>
    <w:rsid w:val="00295BED"/>
    <w:rsid w:val="00295E60"/>
    <w:rsid w:val="002960CC"/>
    <w:rsid w:val="002961CC"/>
    <w:rsid w:val="0029635E"/>
    <w:rsid w:val="002964D2"/>
    <w:rsid w:val="00296932"/>
    <w:rsid w:val="00296E4A"/>
    <w:rsid w:val="00297116"/>
    <w:rsid w:val="0029755D"/>
    <w:rsid w:val="002975F3"/>
    <w:rsid w:val="002977FA"/>
    <w:rsid w:val="00297830"/>
    <w:rsid w:val="0029786A"/>
    <w:rsid w:val="00297A7E"/>
    <w:rsid w:val="00297C18"/>
    <w:rsid w:val="00297D72"/>
    <w:rsid w:val="00297DA0"/>
    <w:rsid w:val="00297DC3"/>
    <w:rsid w:val="00297DDD"/>
    <w:rsid w:val="002A0131"/>
    <w:rsid w:val="002A028C"/>
    <w:rsid w:val="002A0326"/>
    <w:rsid w:val="002A0340"/>
    <w:rsid w:val="002A0544"/>
    <w:rsid w:val="002A0AE6"/>
    <w:rsid w:val="002A0D4A"/>
    <w:rsid w:val="002A0D79"/>
    <w:rsid w:val="002A116D"/>
    <w:rsid w:val="002A1199"/>
    <w:rsid w:val="002A160C"/>
    <w:rsid w:val="002A17D0"/>
    <w:rsid w:val="002A1972"/>
    <w:rsid w:val="002A19AD"/>
    <w:rsid w:val="002A1A09"/>
    <w:rsid w:val="002A1A85"/>
    <w:rsid w:val="002A1D5B"/>
    <w:rsid w:val="002A1D80"/>
    <w:rsid w:val="002A22D9"/>
    <w:rsid w:val="002A2926"/>
    <w:rsid w:val="002A2B8D"/>
    <w:rsid w:val="002A3321"/>
    <w:rsid w:val="002A3460"/>
    <w:rsid w:val="002A3667"/>
    <w:rsid w:val="002A375E"/>
    <w:rsid w:val="002A3872"/>
    <w:rsid w:val="002A389F"/>
    <w:rsid w:val="002A3AEA"/>
    <w:rsid w:val="002A3CAC"/>
    <w:rsid w:val="002A3D13"/>
    <w:rsid w:val="002A3D32"/>
    <w:rsid w:val="002A3EFC"/>
    <w:rsid w:val="002A4000"/>
    <w:rsid w:val="002A4018"/>
    <w:rsid w:val="002A41DC"/>
    <w:rsid w:val="002A4456"/>
    <w:rsid w:val="002A4633"/>
    <w:rsid w:val="002A465C"/>
    <w:rsid w:val="002A46B9"/>
    <w:rsid w:val="002A46DD"/>
    <w:rsid w:val="002A46F3"/>
    <w:rsid w:val="002A4724"/>
    <w:rsid w:val="002A4739"/>
    <w:rsid w:val="002A4C7A"/>
    <w:rsid w:val="002A4CD1"/>
    <w:rsid w:val="002A4D6D"/>
    <w:rsid w:val="002A4EE1"/>
    <w:rsid w:val="002A5100"/>
    <w:rsid w:val="002A5193"/>
    <w:rsid w:val="002A5402"/>
    <w:rsid w:val="002A56CC"/>
    <w:rsid w:val="002A5964"/>
    <w:rsid w:val="002A5975"/>
    <w:rsid w:val="002A5B49"/>
    <w:rsid w:val="002A5CC7"/>
    <w:rsid w:val="002A5D4D"/>
    <w:rsid w:val="002A60EC"/>
    <w:rsid w:val="002A6200"/>
    <w:rsid w:val="002A6215"/>
    <w:rsid w:val="002A674D"/>
    <w:rsid w:val="002A6AA4"/>
    <w:rsid w:val="002A7360"/>
    <w:rsid w:val="002A7509"/>
    <w:rsid w:val="002A76EF"/>
    <w:rsid w:val="002A7714"/>
    <w:rsid w:val="002A7DD2"/>
    <w:rsid w:val="002A7EA9"/>
    <w:rsid w:val="002A7F22"/>
    <w:rsid w:val="002A7FB9"/>
    <w:rsid w:val="002B011C"/>
    <w:rsid w:val="002B0734"/>
    <w:rsid w:val="002B0930"/>
    <w:rsid w:val="002B0951"/>
    <w:rsid w:val="002B0A50"/>
    <w:rsid w:val="002B0E78"/>
    <w:rsid w:val="002B1006"/>
    <w:rsid w:val="002B10BF"/>
    <w:rsid w:val="002B1142"/>
    <w:rsid w:val="002B116A"/>
    <w:rsid w:val="002B1429"/>
    <w:rsid w:val="002B184C"/>
    <w:rsid w:val="002B18AA"/>
    <w:rsid w:val="002B18B1"/>
    <w:rsid w:val="002B1BFB"/>
    <w:rsid w:val="002B1D5E"/>
    <w:rsid w:val="002B2117"/>
    <w:rsid w:val="002B2174"/>
    <w:rsid w:val="002B2928"/>
    <w:rsid w:val="002B2D1D"/>
    <w:rsid w:val="002B2FC3"/>
    <w:rsid w:val="002B370B"/>
    <w:rsid w:val="002B3C5B"/>
    <w:rsid w:val="002B3CC3"/>
    <w:rsid w:val="002B3F0D"/>
    <w:rsid w:val="002B3F21"/>
    <w:rsid w:val="002B40D0"/>
    <w:rsid w:val="002B4185"/>
    <w:rsid w:val="002B43A3"/>
    <w:rsid w:val="002B4572"/>
    <w:rsid w:val="002B464E"/>
    <w:rsid w:val="002B47E3"/>
    <w:rsid w:val="002B4804"/>
    <w:rsid w:val="002B4A24"/>
    <w:rsid w:val="002B4C8E"/>
    <w:rsid w:val="002B4D4A"/>
    <w:rsid w:val="002B4DA1"/>
    <w:rsid w:val="002B4DC0"/>
    <w:rsid w:val="002B4F5F"/>
    <w:rsid w:val="002B504A"/>
    <w:rsid w:val="002B504E"/>
    <w:rsid w:val="002B512B"/>
    <w:rsid w:val="002B5C17"/>
    <w:rsid w:val="002B5C60"/>
    <w:rsid w:val="002B5D9F"/>
    <w:rsid w:val="002B5DD4"/>
    <w:rsid w:val="002B5E25"/>
    <w:rsid w:val="002B6135"/>
    <w:rsid w:val="002B61C2"/>
    <w:rsid w:val="002B6502"/>
    <w:rsid w:val="002B6C25"/>
    <w:rsid w:val="002B6D44"/>
    <w:rsid w:val="002B6E92"/>
    <w:rsid w:val="002B7085"/>
    <w:rsid w:val="002B70B2"/>
    <w:rsid w:val="002B7220"/>
    <w:rsid w:val="002B731B"/>
    <w:rsid w:val="002B731C"/>
    <w:rsid w:val="002B75FE"/>
    <w:rsid w:val="002B76A2"/>
    <w:rsid w:val="002B7F3B"/>
    <w:rsid w:val="002C00AC"/>
    <w:rsid w:val="002C00BF"/>
    <w:rsid w:val="002C0375"/>
    <w:rsid w:val="002C05AE"/>
    <w:rsid w:val="002C0927"/>
    <w:rsid w:val="002C0BD0"/>
    <w:rsid w:val="002C0BFF"/>
    <w:rsid w:val="002C0CE7"/>
    <w:rsid w:val="002C0EB1"/>
    <w:rsid w:val="002C115E"/>
    <w:rsid w:val="002C12AE"/>
    <w:rsid w:val="002C12C8"/>
    <w:rsid w:val="002C1365"/>
    <w:rsid w:val="002C1477"/>
    <w:rsid w:val="002C152F"/>
    <w:rsid w:val="002C1700"/>
    <w:rsid w:val="002C1DA7"/>
    <w:rsid w:val="002C1F8A"/>
    <w:rsid w:val="002C1F90"/>
    <w:rsid w:val="002C21E7"/>
    <w:rsid w:val="002C2273"/>
    <w:rsid w:val="002C23D5"/>
    <w:rsid w:val="002C2465"/>
    <w:rsid w:val="002C2717"/>
    <w:rsid w:val="002C2893"/>
    <w:rsid w:val="002C29B2"/>
    <w:rsid w:val="002C2AFC"/>
    <w:rsid w:val="002C2E05"/>
    <w:rsid w:val="002C2E8B"/>
    <w:rsid w:val="002C30B3"/>
    <w:rsid w:val="002C31C0"/>
    <w:rsid w:val="002C3209"/>
    <w:rsid w:val="002C3289"/>
    <w:rsid w:val="002C361B"/>
    <w:rsid w:val="002C36C0"/>
    <w:rsid w:val="002C3769"/>
    <w:rsid w:val="002C37C2"/>
    <w:rsid w:val="002C3B71"/>
    <w:rsid w:val="002C3CDD"/>
    <w:rsid w:val="002C3F40"/>
    <w:rsid w:val="002C41A2"/>
    <w:rsid w:val="002C4483"/>
    <w:rsid w:val="002C4808"/>
    <w:rsid w:val="002C480C"/>
    <w:rsid w:val="002C4CBB"/>
    <w:rsid w:val="002C4D32"/>
    <w:rsid w:val="002C5156"/>
    <w:rsid w:val="002C5595"/>
    <w:rsid w:val="002C5620"/>
    <w:rsid w:val="002C58DA"/>
    <w:rsid w:val="002C5B89"/>
    <w:rsid w:val="002C5C53"/>
    <w:rsid w:val="002C5C5C"/>
    <w:rsid w:val="002C5D7D"/>
    <w:rsid w:val="002C5DA2"/>
    <w:rsid w:val="002C61CE"/>
    <w:rsid w:val="002C65EB"/>
    <w:rsid w:val="002C6832"/>
    <w:rsid w:val="002C6886"/>
    <w:rsid w:val="002C6CF6"/>
    <w:rsid w:val="002C7045"/>
    <w:rsid w:val="002C7123"/>
    <w:rsid w:val="002C7283"/>
    <w:rsid w:val="002C72A2"/>
    <w:rsid w:val="002C7356"/>
    <w:rsid w:val="002C73A4"/>
    <w:rsid w:val="002C75F5"/>
    <w:rsid w:val="002C76C2"/>
    <w:rsid w:val="002C7708"/>
    <w:rsid w:val="002C7C61"/>
    <w:rsid w:val="002C7CC0"/>
    <w:rsid w:val="002C7CC4"/>
    <w:rsid w:val="002C7E22"/>
    <w:rsid w:val="002C7E60"/>
    <w:rsid w:val="002C7E74"/>
    <w:rsid w:val="002C7F63"/>
    <w:rsid w:val="002D009B"/>
    <w:rsid w:val="002D00D2"/>
    <w:rsid w:val="002D034F"/>
    <w:rsid w:val="002D0820"/>
    <w:rsid w:val="002D0869"/>
    <w:rsid w:val="002D095C"/>
    <w:rsid w:val="002D09D4"/>
    <w:rsid w:val="002D1046"/>
    <w:rsid w:val="002D1086"/>
    <w:rsid w:val="002D122B"/>
    <w:rsid w:val="002D1AE4"/>
    <w:rsid w:val="002D1C0B"/>
    <w:rsid w:val="002D1E31"/>
    <w:rsid w:val="002D1ECD"/>
    <w:rsid w:val="002D207C"/>
    <w:rsid w:val="002D215A"/>
    <w:rsid w:val="002D2252"/>
    <w:rsid w:val="002D226C"/>
    <w:rsid w:val="002D23C8"/>
    <w:rsid w:val="002D259B"/>
    <w:rsid w:val="002D26EF"/>
    <w:rsid w:val="002D2915"/>
    <w:rsid w:val="002D29D0"/>
    <w:rsid w:val="002D2CA2"/>
    <w:rsid w:val="002D3077"/>
    <w:rsid w:val="002D3096"/>
    <w:rsid w:val="002D3398"/>
    <w:rsid w:val="002D3431"/>
    <w:rsid w:val="002D35CA"/>
    <w:rsid w:val="002D3755"/>
    <w:rsid w:val="002D3C06"/>
    <w:rsid w:val="002D3C55"/>
    <w:rsid w:val="002D407E"/>
    <w:rsid w:val="002D42A6"/>
    <w:rsid w:val="002D45EA"/>
    <w:rsid w:val="002D4826"/>
    <w:rsid w:val="002D492E"/>
    <w:rsid w:val="002D4A6D"/>
    <w:rsid w:val="002D4B0D"/>
    <w:rsid w:val="002D4C0C"/>
    <w:rsid w:val="002D4E8A"/>
    <w:rsid w:val="002D5064"/>
    <w:rsid w:val="002D50F3"/>
    <w:rsid w:val="002D533F"/>
    <w:rsid w:val="002D535C"/>
    <w:rsid w:val="002D5465"/>
    <w:rsid w:val="002D5591"/>
    <w:rsid w:val="002D57A0"/>
    <w:rsid w:val="002D5880"/>
    <w:rsid w:val="002D5A19"/>
    <w:rsid w:val="002D5AC6"/>
    <w:rsid w:val="002D5AD9"/>
    <w:rsid w:val="002D5D45"/>
    <w:rsid w:val="002D5D4A"/>
    <w:rsid w:val="002D5EFF"/>
    <w:rsid w:val="002D5F6B"/>
    <w:rsid w:val="002D61C8"/>
    <w:rsid w:val="002D61FF"/>
    <w:rsid w:val="002D621F"/>
    <w:rsid w:val="002D633C"/>
    <w:rsid w:val="002D66D1"/>
    <w:rsid w:val="002D6A02"/>
    <w:rsid w:val="002D6AB8"/>
    <w:rsid w:val="002D6AEE"/>
    <w:rsid w:val="002D6D0C"/>
    <w:rsid w:val="002D7394"/>
    <w:rsid w:val="002D7402"/>
    <w:rsid w:val="002D7492"/>
    <w:rsid w:val="002D78CD"/>
    <w:rsid w:val="002D79B2"/>
    <w:rsid w:val="002D7A70"/>
    <w:rsid w:val="002D7BC5"/>
    <w:rsid w:val="002D7C7F"/>
    <w:rsid w:val="002D7D27"/>
    <w:rsid w:val="002D7D93"/>
    <w:rsid w:val="002D7FA3"/>
    <w:rsid w:val="002E05F6"/>
    <w:rsid w:val="002E0620"/>
    <w:rsid w:val="002E0928"/>
    <w:rsid w:val="002E097B"/>
    <w:rsid w:val="002E0C5E"/>
    <w:rsid w:val="002E0E9F"/>
    <w:rsid w:val="002E1041"/>
    <w:rsid w:val="002E10E6"/>
    <w:rsid w:val="002E1102"/>
    <w:rsid w:val="002E11E5"/>
    <w:rsid w:val="002E11EA"/>
    <w:rsid w:val="002E129E"/>
    <w:rsid w:val="002E12D0"/>
    <w:rsid w:val="002E1350"/>
    <w:rsid w:val="002E171F"/>
    <w:rsid w:val="002E19BB"/>
    <w:rsid w:val="002E1A14"/>
    <w:rsid w:val="002E1A72"/>
    <w:rsid w:val="002E1C05"/>
    <w:rsid w:val="002E1EF8"/>
    <w:rsid w:val="002E2301"/>
    <w:rsid w:val="002E23A4"/>
    <w:rsid w:val="002E244C"/>
    <w:rsid w:val="002E253C"/>
    <w:rsid w:val="002E2611"/>
    <w:rsid w:val="002E2856"/>
    <w:rsid w:val="002E2AA3"/>
    <w:rsid w:val="002E2DA1"/>
    <w:rsid w:val="002E2F4F"/>
    <w:rsid w:val="002E2FCA"/>
    <w:rsid w:val="002E3001"/>
    <w:rsid w:val="002E3145"/>
    <w:rsid w:val="002E31C9"/>
    <w:rsid w:val="002E3366"/>
    <w:rsid w:val="002E3FF0"/>
    <w:rsid w:val="002E442A"/>
    <w:rsid w:val="002E448A"/>
    <w:rsid w:val="002E4786"/>
    <w:rsid w:val="002E4A39"/>
    <w:rsid w:val="002E4B99"/>
    <w:rsid w:val="002E506B"/>
    <w:rsid w:val="002E5350"/>
    <w:rsid w:val="002E5375"/>
    <w:rsid w:val="002E559D"/>
    <w:rsid w:val="002E5912"/>
    <w:rsid w:val="002E5C8F"/>
    <w:rsid w:val="002E5CD4"/>
    <w:rsid w:val="002E5D3C"/>
    <w:rsid w:val="002E60B6"/>
    <w:rsid w:val="002E64CB"/>
    <w:rsid w:val="002E6581"/>
    <w:rsid w:val="002E690E"/>
    <w:rsid w:val="002E690F"/>
    <w:rsid w:val="002E6BBA"/>
    <w:rsid w:val="002E6DE3"/>
    <w:rsid w:val="002E6EF6"/>
    <w:rsid w:val="002E6FDA"/>
    <w:rsid w:val="002E704B"/>
    <w:rsid w:val="002E712A"/>
    <w:rsid w:val="002E71D2"/>
    <w:rsid w:val="002E7637"/>
    <w:rsid w:val="002E76D6"/>
    <w:rsid w:val="002E7D29"/>
    <w:rsid w:val="002E7EA4"/>
    <w:rsid w:val="002F0072"/>
    <w:rsid w:val="002F00D1"/>
    <w:rsid w:val="002F02E8"/>
    <w:rsid w:val="002F032A"/>
    <w:rsid w:val="002F03F1"/>
    <w:rsid w:val="002F04F5"/>
    <w:rsid w:val="002F0663"/>
    <w:rsid w:val="002F09ED"/>
    <w:rsid w:val="002F0C49"/>
    <w:rsid w:val="002F0CF0"/>
    <w:rsid w:val="002F0EF1"/>
    <w:rsid w:val="002F0F17"/>
    <w:rsid w:val="002F0F40"/>
    <w:rsid w:val="002F0FEA"/>
    <w:rsid w:val="002F10D5"/>
    <w:rsid w:val="002F1267"/>
    <w:rsid w:val="002F135D"/>
    <w:rsid w:val="002F1492"/>
    <w:rsid w:val="002F1684"/>
    <w:rsid w:val="002F179B"/>
    <w:rsid w:val="002F1DE1"/>
    <w:rsid w:val="002F1FE3"/>
    <w:rsid w:val="002F224E"/>
    <w:rsid w:val="002F2772"/>
    <w:rsid w:val="002F2815"/>
    <w:rsid w:val="002F2D38"/>
    <w:rsid w:val="002F32BB"/>
    <w:rsid w:val="002F334A"/>
    <w:rsid w:val="002F3474"/>
    <w:rsid w:val="002F3642"/>
    <w:rsid w:val="002F4535"/>
    <w:rsid w:val="002F461D"/>
    <w:rsid w:val="002F47C6"/>
    <w:rsid w:val="002F47E1"/>
    <w:rsid w:val="002F4BBD"/>
    <w:rsid w:val="002F50E7"/>
    <w:rsid w:val="002F5664"/>
    <w:rsid w:val="002F56EC"/>
    <w:rsid w:val="002F6037"/>
    <w:rsid w:val="002F63E3"/>
    <w:rsid w:val="002F65B7"/>
    <w:rsid w:val="002F6715"/>
    <w:rsid w:val="002F6762"/>
    <w:rsid w:val="002F6873"/>
    <w:rsid w:val="002F6A8A"/>
    <w:rsid w:val="002F6ABA"/>
    <w:rsid w:val="002F6B80"/>
    <w:rsid w:val="002F6BA9"/>
    <w:rsid w:val="002F6CFD"/>
    <w:rsid w:val="002F6F43"/>
    <w:rsid w:val="002F7076"/>
    <w:rsid w:val="002F7123"/>
    <w:rsid w:val="002F7374"/>
    <w:rsid w:val="002F7569"/>
    <w:rsid w:val="002F7B1C"/>
    <w:rsid w:val="002F7C10"/>
    <w:rsid w:val="0030011C"/>
    <w:rsid w:val="00300280"/>
    <w:rsid w:val="003005B0"/>
    <w:rsid w:val="0030093B"/>
    <w:rsid w:val="00300CE3"/>
    <w:rsid w:val="00300DAE"/>
    <w:rsid w:val="003011D8"/>
    <w:rsid w:val="00301223"/>
    <w:rsid w:val="00301242"/>
    <w:rsid w:val="0030124D"/>
    <w:rsid w:val="00301259"/>
    <w:rsid w:val="00301427"/>
    <w:rsid w:val="003014C6"/>
    <w:rsid w:val="003016B1"/>
    <w:rsid w:val="00301846"/>
    <w:rsid w:val="003018F7"/>
    <w:rsid w:val="00301986"/>
    <w:rsid w:val="00301BDD"/>
    <w:rsid w:val="00301C58"/>
    <w:rsid w:val="00301D66"/>
    <w:rsid w:val="00301E61"/>
    <w:rsid w:val="003022D1"/>
    <w:rsid w:val="003025A2"/>
    <w:rsid w:val="003025C0"/>
    <w:rsid w:val="00302701"/>
    <w:rsid w:val="003028A5"/>
    <w:rsid w:val="0030294C"/>
    <w:rsid w:val="003029A5"/>
    <w:rsid w:val="00302CAD"/>
    <w:rsid w:val="00302DBD"/>
    <w:rsid w:val="003030C8"/>
    <w:rsid w:val="00303126"/>
    <w:rsid w:val="0030322B"/>
    <w:rsid w:val="00303368"/>
    <w:rsid w:val="003034A7"/>
    <w:rsid w:val="00303642"/>
    <w:rsid w:val="003036F8"/>
    <w:rsid w:val="003038F1"/>
    <w:rsid w:val="00303A7D"/>
    <w:rsid w:val="00303C30"/>
    <w:rsid w:val="00303C88"/>
    <w:rsid w:val="00303D84"/>
    <w:rsid w:val="00303F0B"/>
    <w:rsid w:val="00303F0F"/>
    <w:rsid w:val="0030460E"/>
    <w:rsid w:val="0030477F"/>
    <w:rsid w:val="003048F3"/>
    <w:rsid w:val="0030498E"/>
    <w:rsid w:val="003049A2"/>
    <w:rsid w:val="00304CF7"/>
    <w:rsid w:val="003051C1"/>
    <w:rsid w:val="003053F5"/>
    <w:rsid w:val="003055D8"/>
    <w:rsid w:val="0030563D"/>
    <w:rsid w:val="00305690"/>
    <w:rsid w:val="003056F8"/>
    <w:rsid w:val="0030594D"/>
    <w:rsid w:val="00305CEC"/>
    <w:rsid w:val="00305E72"/>
    <w:rsid w:val="00305EE4"/>
    <w:rsid w:val="00306067"/>
    <w:rsid w:val="003063AC"/>
    <w:rsid w:val="00306718"/>
    <w:rsid w:val="00306953"/>
    <w:rsid w:val="00306A40"/>
    <w:rsid w:val="00306BA5"/>
    <w:rsid w:val="00306C7F"/>
    <w:rsid w:val="00306CA8"/>
    <w:rsid w:val="00307029"/>
    <w:rsid w:val="0030708F"/>
    <w:rsid w:val="00307338"/>
    <w:rsid w:val="00307BD5"/>
    <w:rsid w:val="00307C6E"/>
    <w:rsid w:val="00307F68"/>
    <w:rsid w:val="0031006A"/>
    <w:rsid w:val="00310172"/>
    <w:rsid w:val="00310386"/>
    <w:rsid w:val="00310938"/>
    <w:rsid w:val="00310A25"/>
    <w:rsid w:val="00310C40"/>
    <w:rsid w:val="00310CB9"/>
    <w:rsid w:val="00310D10"/>
    <w:rsid w:val="00310D77"/>
    <w:rsid w:val="00310DA1"/>
    <w:rsid w:val="00310FBA"/>
    <w:rsid w:val="003114F7"/>
    <w:rsid w:val="00311597"/>
    <w:rsid w:val="00311599"/>
    <w:rsid w:val="00311916"/>
    <w:rsid w:val="0031195E"/>
    <w:rsid w:val="00311C4C"/>
    <w:rsid w:val="00311D17"/>
    <w:rsid w:val="00311D3F"/>
    <w:rsid w:val="00311D63"/>
    <w:rsid w:val="0031206B"/>
    <w:rsid w:val="003120F8"/>
    <w:rsid w:val="003121F0"/>
    <w:rsid w:val="00312227"/>
    <w:rsid w:val="0031275E"/>
    <w:rsid w:val="00312C9C"/>
    <w:rsid w:val="00312E12"/>
    <w:rsid w:val="00313601"/>
    <w:rsid w:val="0031372D"/>
    <w:rsid w:val="0031372E"/>
    <w:rsid w:val="00313918"/>
    <w:rsid w:val="003140CE"/>
    <w:rsid w:val="00314735"/>
    <w:rsid w:val="00314B18"/>
    <w:rsid w:val="00314D8D"/>
    <w:rsid w:val="00314F11"/>
    <w:rsid w:val="00315114"/>
    <w:rsid w:val="003151D3"/>
    <w:rsid w:val="0031545C"/>
    <w:rsid w:val="00315BA4"/>
    <w:rsid w:val="00315CDD"/>
    <w:rsid w:val="00316151"/>
    <w:rsid w:val="00316333"/>
    <w:rsid w:val="003163DB"/>
    <w:rsid w:val="003164A3"/>
    <w:rsid w:val="003165CC"/>
    <w:rsid w:val="00316676"/>
    <w:rsid w:val="00316A55"/>
    <w:rsid w:val="00316A79"/>
    <w:rsid w:val="00316C71"/>
    <w:rsid w:val="00316F7D"/>
    <w:rsid w:val="00317404"/>
    <w:rsid w:val="00317437"/>
    <w:rsid w:val="003176AE"/>
    <w:rsid w:val="00317A41"/>
    <w:rsid w:val="00317D6E"/>
    <w:rsid w:val="00320674"/>
    <w:rsid w:val="0032070F"/>
    <w:rsid w:val="003208A1"/>
    <w:rsid w:val="00320A45"/>
    <w:rsid w:val="00320DE9"/>
    <w:rsid w:val="00321057"/>
    <w:rsid w:val="00321123"/>
    <w:rsid w:val="0032116C"/>
    <w:rsid w:val="00321426"/>
    <w:rsid w:val="0032149A"/>
    <w:rsid w:val="003218A9"/>
    <w:rsid w:val="00321A3B"/>
    <w:rsid w:val="00321A7A"/>
    <w:rsid w:val="00321AEE"/>
    <w:rsid w:val="003221A2"/>
    <w:rsid w:val="0032230F"/>
    <w:rsid w:val="00322381"/>
    <w:rsid w:val="0032254C"/>
    <w:rsid w:val="003225F6"/>
    <w:rsid w:val="0032268D"/>
    <w:rsid w:val="00322964"/>
    <w:rsid w:val="00322999"/>
    <w:rsid w:val="00322A46"/>
    <w:rsid w:val="00322F9C"/>
    <w:rsid w:val="0032312C"/>
    <w:rsid w:val="00323591"/>
    <w:rsid w:val="00323608"/>
    <w:rsid w:val="00323731"/>
    <w:rsid w:val="0032387D"/>
    <w:rsid w:val="00324164"/>
    <w:rsid w:val="003244EA"/>
    <w:rsid w:val="00324505"/>
    <w:rsid w:val="0032489D"/>
    <w:rsid w:val="003248EE"/>
    <w:rsid w:val="003249FC"/>
    <w:rsid w:val="00324A8C"/>
    <w:rsid w:val="00324DEC"/>
    <w:rsid w:val="0032501F"/>
    <w:rsid w:val="003251DE"/>
    <w:rsid w:val="003254DC"/>
    <w:rsid w:val="00325708"/>
    <w:rsid w:val="00325949"/>
    <w:rsid w:val="003259A9"/>
    <w:rsid w:val="00325A03"/>
    <w:rsid w:val="0032605D"/>
    <w:rsid w:val="003261DD"/>
    <w:rsid w:val="00326376"/>
    <w:rsid w:val="00326703"/>
    <w:rsid w:val="0032676C"/>
    <w:rsid w:val="003267DC"/>
    <w:rsid w:val="00326C38"/>
    <w:rsid w:val="00327313"/>
    <w:rsid w:val="0032735B"/>
    <w:rsid w:val="003274CA"/>
    <w:rsid w:val="00327683"/>
    <w:rsid w:val="00327732"/>
    <w:rsid w:val="00327737"/>
    <w:rsid w:val="00327740"/>
    <w:rsid w:val="003277E9"/>
    <w:rsid w:val="00327888"/>
    <w:rsid w:val="003279FA"/>
    <w:rsid w:val="00330020"/>
    <w:rsid w:val="00330183"/>
    <w:rsid w:val="00330222"/>
    <w:rsid w:val="00330235"/>
    <w:rsid w:val="003302D5"/>
    <w:rsid w:val="00330389"/>
    <w:rsid w:val="0033044B"/>
    <w:rsid w:val="0033075F"/>
    <w:rsid w:val="003308C3"/>
    <w:rsid w:val="00330983"/>
    <w:rsid w:val="00330AEF"/>
    <w:rsid w:val="00330C44"/>
    <w:rsid w:val="00330D54"/>
    <w:rsid w:val="0033104E"/>
    <w:rsid w:val="003311E3"/>
    <w:rsid w:val="0033135C"/>
    <w:rsid w:val="0033159B"/>
    <w:rsid w:val="00331729"/>
    <w:rsid w:val="0033173D"/>
    <w:rsid w:val="00331771"/>
    <w:rsid w:val="00331B4B"/>
    <w:rsid w:val="00331B63"/>
    <w:rsid w:val="00331BB5"/>
    <w:rsid w:val="00331D48"/>
    <w:rsid w:val="00331E46"/>
    <w:rsid w:val="00332268"/>
    <w:rsid w:val="00332817"/>
    <w:rsid w:val="00332922"/>
    <w:rsid w:val="00332A6E"/>
    <w:rsid w:val="00332B26"/>
    <w:rsid w:val="00332B80"/>
    <w:rsid w:val="00332DA8"/>
    <w:rsid w:val="00333135"/>
    <w:rsid w:val="003335B7"/>
    <w:rsid w:val="003336F3"/>
    <w:rsid w:val="00333773"/>
    <w:rsid w:val="00333B1D"/>
    <w:rsid w:val="00333D01"/>
    <w:rsid w:val="00333FB4"/>
    <w:rsid w:val="00334014"/>
    <w:rsid w:val="003343AE"/>
    <w:rsid w:val="00334921"/>
    <w:rsid w:val="00334D5C"/>
    <w:rsid w:val="0033503E"/>
    <w:rsid w:val="003350C5"/>
    <w:rsid w:val="003351F0"/>
    <w:rsid w:val="003353A3"/>
    <w:rsid w:val="003354A3"/>
    <w:rsid w:val="003354E9"/>
    <w:rsid w:val="00335626"/>
    <w:rsid w:val="003359FB"/>
    <w:rsid w:val="00335A27"/>
    <w:rsid w:val="00335BC5"/>
    <w:rsid w:val="00335BF2"/>
    <w:rsid w:val="00335CFD"/>
    <w:rsid w:val="00335D56"/>
    <w:rsid w:val="00335EA4"/>
    <w:rsid w:val="00335EC4"/>
    <w:rsid w:val="00335F3A"/>
    <w:rsid w:val="003364AB"/>
    <w:rsid w:val="003365C5"/>
    <w:rsid w:val="003366D1"/>
    <w:rsid w:val="00336777"/>
    <w:rsid w:val="00336C32"/>
    <w:rsid w:val="00337249"/>
    <w:rsid w:val="003375C7"/>
    <w:rsid w:val="003376FD"/>
    <w:rsid w:val="003377A2"/>
    <w:rsid w:val="00337984"/>
    <w:rsid w:val="00337EAF"/>
    <w:rsid w:val="00337F9C"/>
    <w:rsid w:val="00340017"/>
    <w:rsid w:val="003402F6"/>
    <w:rsid w:val="0034030B"/>
    <w:rsid w:val="00340494"/>
    <w:rsid w:val="0034055B"/>
    <w:rsid w:val="00340914"/>
    <w:rsid w:val="00340C67"/>
    <w:rsid w:val="00340D20"/>
    <w:rsid w:val="003411D9"/>
    <w:rsid w:val="003414D3"/>
    <w:rsid w:val="00341A13"/>
    <w:rsid w:val="00341A4D"/>
    <w:rsid w:val="00341C2E"/>
    <w:rsid w:val="00341D45"/>
    <w:rsid w:val="00341EAA"/>
    <w:rsid w:val="00341ED1"/>
    <w:rsid w:val="003420A1"/>
    <w:rsid w:val="003420D7"/>
    <w:rsid w:val="00342229"/>
    <w:rsid w:val="003422F2"/>
    <w:rsid w:val="00342616"/>
    <w:rsid w:val="0034275A"/>
    <w:rsid w:val="00342793"/>
    <w:rsid w:val="00342AA2"/>
    <w:rsid w:val="0034347C"/>
    <w:rsid w:val="003442E8"/>
    <w:rsid w:val="00344352"/>
    <w:rsid w:val="003444CB"/>
    <w:rsid w:val="003444E5"/>
    <w:rsid w:val="0034462A"/>
    <w:rsid w:val="003447E6"/>
    <w:rsid w:val="00344A37"/>
    <w:rsid w:val="00344A7C"/>
    <w:rsid w:val="00344B1D"/>
    <w:rsid w:val="00344C04"/>
    <w:rsid w:val="00344C19"/>
    <w:rsid w:val="00344D8B"/>
    <w:rsid w:val="00344E8E"/>
    <w:rsid w:val="00344EB4"/>
    <w:rsid w:val="003451FC"/>
    <w:rsid w:val="00345409"/>
    <w:rsid w:val="003454B8"/>
    <w:rsid w:val="003454D5"/>
    <w:rsid w:val="0034568E"/>
    <w:rsid w:val="003459E6"/>
    <w:rsid w:val="00345F73"/>
    <w:rsid w:val="003465F0"/>
    <w:rsid w:val="00346713"/>
    <w:rsid w:val="00346D22"/>
    <w:rsid w:val="00346F8A"/>
    <w:rsid w:val="00347299"/>
    <w:rsid w:val="003473E2"/>
    <w:rsid w:val="00347682"/>
    <w:rsid w:val="003479F6"/>
    <w:rsid w:val="00347B37"/>
    <w:rsid w:val="00347B4F"/>
    <w:rsid w:val="00347BF2"/>
    <w:rsid w:val="00347CEB"/>
    <w:rsid w:val="00347D96"/>
    <w:rsid w:val="00347DCD"/>
    <w:rsid w:val="00347E3E"/>
    <w:rsid w:val="00350173"/>
    <w:rsid w:val="00350679"/>
    <w:rsid w:val="00350741"/>
    <w:rsid w:val="003509E9"/>
    <w:rsid w:val="00350F0A"/>
    <w:rsid w:val="00350FBE"/>
    <w:rsid w:val="00351543"/>
    <w:rsid w:val="003515EA"/>
    <w:rsid w:val="003516EA"/>
    <w:rsid w:val="00351714"/>
    <w:rsid w:val="003517CC"/>
    <w:rsid w:val="00351AAF"/>
    <w:rsid w:val="00351C1E"/>
    <w:rsid w:val="00351ED4"/>
    <w:rsid w:val="00351F8F"/>
    <w:rsid w:val="003524EC"/>
    <w:rsid w:val="0035257C"/>
    <w:rsid w:val="00352B8C"/>
    <w:rsid w:val="00352D3E"/>
    <w:rsid w:val="00352D4E"/>
    <w:rsid w:val="00352E30"/>
    <w:rsid w:val="00353443"/>
    <w:rsid w:val="003534F3"/>
    <w:rsid w:val="00353625"/>
    <w:rsid w:val="00353787"/>
    <w:rsid w:val="00353F63"/>
    <w:rsid w:val="003540E3"/>
    <w:rsid w:val="0035443B"/>
    <w:rsid w:val="00354A7E"/>
    <w:rsid w:val="00354F31"/>
    <w:rsid w:val="00355199"/>
    <w:rsid w:val="0035539B"/>
    <w:rsid w:val="00355882"/>
    <w:rsid w:val="003558F8"/>
    <w:rsid w:val="0035599E"/>
    <w:rsid w:val="00355C24"/>
    <w:rsid w:val="00355CAF"/>
    <w:rsid w:val="003560BA"/>
    <w:rsid w:val="00356264"/>
    <w:rsid w:val="003562F5"/>
    <w:rsid w:val="0035639F"/>
    <w:rsid w:val="003568F9"/>
    <w:rsid w:val="00356949"/>
    <w:rsid w:val="00356ADB"/>
    <w:rsid w:val="00356B3C"/>
    <w:rsid w:val="00356C9E"/>
    <w:rsid w:val="00356CC1"/>
    <w:rsid w:val="00356D28"/>
    <w:rsid w:val="00356D7C"/>
    <w:rsid w:val="00356E4C"/>
    <w:rsid w:val="00356F50"/>
    <w:rsid w:val="00356FEF"/>
    <w:rsid w:val="0035704A"/>
    <w:rsid w:val="003570DE"/>
    <w:rsid w:val="00357137"/>
    <w:rsid w:val="00357157"/>
    <w:rsid w:val="00357261"/>
    <w:rsid w:val="00357568"/>
    <w:rsid w:val="00357635"/>
    <w:rsid w:val="0035764A"/>
    <w:rsid w:val="003579AB"/>
    <w:rsid w:val="00357CA2"/>
    <w:rsid w:val="00360064"/>
    <w:rsid w:val="003601AB"/>
    <w:rsid w:val="00360290"/>
    <w:rsid w:val="003608F8"/>
    <w:rsid w:val="00360A3F"/>
    <w:rsid w:val="00360FB4"/>
    <w:rsid w:val="00360FF9"/>
    <w:rsid w:val="00361043"/>
    <w:rsid w:val="003619C8"/>
    <w:rsid w:val="00361A4F"/>
    <w:rsid w:val="00361C12"/>
    <w:rsid w:val="00361D57"/>
    <w:rsid w:val="00361E55"/>
    <w:rsid w:val="00362261"/>
    <w:rsid w:val="00362291"/>
    <w:rsid w:val="003624EA"/>
    <w:rsid w:val="003625A8"/>
    <w:rsid w:val="0036261D"/>
    <w:rsid w:val="00362716"/>
    <w:rsid w:val="00362A27"/>
    <w:rsid w:val="00362A38"/>
    <w:rsid w:val="00362CA3"/>
    <w:rsid w:val="00362CFE"/>
    <w:rsid w:val="00362D5F"/>
    <w:rsid w:val="00363266"/>
    <w:rsid w:val="00363361"/>
    <w:rsid w:val="0036356A"/>
    <w:rsid w:val="0036374A"/>
    <w:rsid w:val="00363764"/>
    <w:rsid w:val="00363895"/>
    <w:rsid w:val="00363A01"/>
    <w:rsid w:val="00363A7F"/>
    <w:rsid w:val="00363B3E"/>
    <w:rsid w:val="00363D62"/>
    <w:rsid w:val="00363EB6"/>
    <w:rsid w:val="0036433F"/>
    <w:rsid w:val="003647B6"/>
    <w:rsid w:val="00364CA4"/>
    <w:rsid w:val="00364E3F"/>
    <w:rsid w:val="00364E50"/>
    <w:rsid w:val="00364E84"/>
    <w:rsid w:val="0036519F"/>
    <w:rsid w:val="00365200"/>
    <w:rsid w:val="00365698"/>
    <w:rsid w:val="003656B8"/>
    <w:rsid w:val="003657E4"/>
    <w:rsid w:val="00365832"/>
    <w:rsid w:val="00365921"/>
    <w:rsid w:val="003659F2"/>
    <w:rsid w:val="00365C88"/>
    <w:rsid w:val="00365CAD"/>
    <w:rsid w:val="00365CAE"/>
    <w:rsid w:val="00365DC2"/>
    <w:rsid w:val="00366312"/>
    <w:rsid w:val="0036656B"/>
    <w:rsid w:val="003665AD"/>
    <w:rsid w:val="00366601"/>
    <w:rsid w:val="003666C8"/>
    <w:rsid w:val="00366970"/>
    <w:rsid w:val="00366B37"/>
    <w:rsid w:val="00366C68"/>
    <w:rsid w:val="00366E6D"/>
    <w:rsid w:val="00366FA4"/>
    <w:rsid w:val="00366FFE"/>
    <w:rsid w:val="003670B0"/>
    <w:rsid w:val="00367126"/>
    <w:rsid w:val="0036725B"/>
    <w:rsid w:val="00367481"/>
    <w:rsid w:val="00367773"/>
    <w:rsid w:val="00367921"/>
    <w:rsid w:val="003679B0"/>
    <w:rsid w:val="00367A32"/>
    <w:rsid w:val="00367A8C"/>
    <w:rsid w:val="00367D86"/>
    <w:rsid w:val="00367F7B"/>
    <w:rsid w:val="0037021F"/>
    <w:rsid w:val="00370704"/>
    <w:rsid w:val="00370C65"/>
    <w:rsid w:val="00370CB8"/>
    <w:rsid w:val="00370E84"/>
    <w:rsid w:val="0037124C"/>
    <w:rsid w:val="003713A2"/>
    <w:rsid w:val="003713AF"/>
    <w:rsid w:val="003713CD"/>
    <w:rsid w:val="003717DD"/>
    <w:rsid w:val="00371855"/>
    <w:rsid w:val="00371CC7"/>
    <w:rsid w:val="00371FF9"/>
    <w:rsid w:val="00372530"/>
    <w:rsid w:val="003725F5"/>
    <w:rsid w:val="003727A6"/>
    <w:rsid w:val="00372BA3"/>
    <w:rsid w:val="00372DAE"/>
    <w:rsid w:val="00372DFF"/>
    <w:rsid w:val="00373423"/>
    <w:rsid w:val="0037358F"/>
    <w:rsid w:val="00373AA5"/>
    <w:rsid w:val="00373C28"/>
    <w:rsid w:val="00373D11"/>
    <w:rsid w:val="00373D70"/>
    <w:rsid w:val="00373D7C"/>
    <w:rsid w:val="00373DC0"/>
    <w:rsid w:val="0037413E"/>
    <w:rsid w:val="00374364"/>
    <w:rsid w:val="0037474E"/>
    <w:rsid w:val="00374AAC"/>
    <w:rsid w:val="00374BE5"/>
    <w:rsid w:val="00374D16"/>
    <w:rsid w:val="00374D7E"/>
    <w:rsid w:val="003750CA"/>
    <w:rsid w:val="003754D2"/>
    <w:rsid w:val="003754E2"/>
    <w:rsid w:val="0037557D"/>
    <w:rsid w:val="0037582E"/>
    <w:rsid w:val="003758A1"/>
    <w:rsid w:val="00375D12"/>
    <w:rsid w:val="00375E9E"/>
    <w:rsid w:val="00375FF0"/>
    <w:rsid w:val="003767F4"/>
    <w:rsid w:val="00376E60"/>
    <w:rsid w:val="00376F0F"/>
    <w:rsid w:val="00377077"/>
    <w:rsid w:val="0037712C"/>
    <w:rsid w:val="0037728D"/>
    <w:rsid w:val="0037787F"/>
    <w:rsid w:val="003779D8"/>
    <w:rsid w:val="00380338"/>
    <w:rsid w:val="0038066D"/>
    <w:rsid w:val="003807DB"/>
    <w:rsid w:val="003809F9"/>
    <w:rsid w:val="00380A04"/>
    <w:rsid w:val="00380A52"/>
    <w:rsid w:val="00380B4B"/>
    <w:rsid w:val="00380BEA"/>
    <w:rsid w:val="00380C75"/>
    <w:rsid w:val="00380FB5"/>
    <w:rsid w:val="0038103F"/>
    <w:rsid w:val="0038105C"/>
    <w:rsid w:val="003812F6"/>
    <w:rsid w:val="0038136A"/>
    <w:rsid w:val="0038154D"/>
    <w:rsid w:val="00381A21"/>
    <w:rsid w:val="00381E7C"/>
    <w:rsid w:val="00382423"/>
    <w:rsid w:val="003824F6"/>
    <w:rsid w:val="00382711"/>
    <w:rsid w:val="003829A8"/>
    <w:rsid w:val="00382A7F"/>
    <w:rsid w:val="00382D58"/>
    <w:rsid w:val="00382E97"/>
    <w:rsid w:val="00383002"/>
    <w:rsid w:val="0038343D"/>
    <w:rsid w:val="003835D2"/>
    <w:rsid w:val="00383C82"/>
    <w:rsid w:val="00384028"/>
    <w:rsid w:val="00384092"/>
    <w:rsid w:val="0038418C"/>
    <w:rsid w:val="00384497"/>
    <w:rsid w:val="003846D0"/>
    <w:rsid w:val="003846FB"/>
    <w:rsid w:val="00384852"/>
    <w:rsid w:val="0038486B"/>
    <w:rsid w:val="003850B8"/>
    <w:rsid w:val="00385199"/>
    <w:rsid w:val="0038591E"/>
    <w:rsid w:val="00385FC3"/>
    <w:rsid w:val="00386054"/>
    <w:rsid w:val="003860F6"/>
    <w:rsid w:val="0038634D"/>
    <w:rsid w:val="00386525"/>
    <w:rsid w:val="00386856"/>
    <w:rsid w:val="00386A22"/>
    <w:rsid w:val="00386B97"/>
    <w:rsid w:val="00386C7A"/>
    <w:rsid w:val="00386DF4"/>
    <w:rsid w:val="00387350"/>
    <w:rsid w:val="00387403"/>
    <w:rsid w:val="0038760E"/>
    <w:rsid w:val="00387714"/>
    <w:rsid w:val="003877AA"/>
    <w:rsid w:val="00387856"/>
    <w:rsid w:val="003879AF"/>
    <w:rsid w:val="00387ABD"/>
    <w:rsid w:val="00387C54"/>
    <w:rsid w:val="00387DBD"/>
    <w:rsid w:val="0039001E"/>
    <w:rsid w:val="00390033"/>
    <w:rsid w:val="00390626"/>
    <w:rsid w:val="00390BF7"/>
    <w:rsid w:val="00390CE9"/>
    <w:rsid w:val="00390DF2"/>
    <w:rsid w:val="0039126E"/>
    <w:rsid w:val="00391466"/>
    <w:rsid w:val="0039170B"/>
    <w:rsid w:val="0039174B"/>
    <w:rsid w:val="003917DF"/>
    <w:rsid w:val="00391A1B"/>
    <w:rsid w:val="00391FFD"/>
    <w:rsid w:val="00392062"/>
    <w:rsid w:val="003923BF"/>
    <w:rsid w:val="0039270E"/>
    <w:rsid w:val="003928AA"/>
    <w:rsid w:val="003929F5"/>
    <w:rsid w:val="00392E06"/>
    <w:rsid w:val="003930AF"/>
    <w:rsid w:val="0039326E"/>
    <w:rsid w:val="00393597"/>
    <w:rsid w:val="00393703"/>
    <w:rsid w:val="00393782"/>
    <w:rsid w:val="00393822"/>
    <w:rsid w:val="00393982"/>
    <w:rsid w:val="00393A89"/>
    <w:rsid w:val="00393BE7"/>
    <w:rsid w:val="00393F10"/>
    <w:rsid w:val="00393FFC"/>
    <w:rsid w:val="0039407B"/>
    <w:rsid w:val="003941C3"/>
    <w:rsid w:val="003942A4"/>
    <w:rsid w:val="00394379"/>
    <w:rsid w:val="003944A3"/>
    <w:rsid w:val="0039456F"/>
    <w:rsid w:val="0039461E"/>
    <w:rsid w:val="0039468E"/>
    <w:rsid w:val="00394A7B"/>
    <w:rsid w:val="00394C3D"/>
    <w:rsid w:val="00394F14"/>
    <w:rsid w:val="00394F37"/>
    <w:rsid w:val="00395101"/>
    <w:rsid w:val="00395183"/>
    <w:rsid w:val="003951E4"/>
    <w:rsid w:val="003952A7"/>
    <w:rsid w:val="00395416"/>
    <w:rsid w:val="00395615"/>
    <w:rsid w:val="003958CC"/>
    <w:rsid w:val="00395962"/>
    <w:rsid w:val="00395B91"/>
    <w:rsid w:val="003960A9"/>
    <w:rsid w:val="0039654A"/>
    <w:rsid w:val="00396652"/>
    <w:rsid w:val="00396809"/>
    <w:rsid w:val="00396839"/>
    <w:rsid w:val="00396B50"/>
    <w:rsid w:val="00396BD2"/>
    <w:rsid w:val="00396E92"/>
    <w:rsid w:val="003970FD"/>
    <w:rsid w:val="003975E4"/>
    <w:rsid w:val="00397775"/>
    <w:rsid w:val="00397904"/>
    <w:rsid w:val="003A0032"/>
    <w:rsid w:val="003A01CC"/>
    <w:rsid w:val="003A027B"/>
    <w:rsid w:val="003A02F9"/>
    <w:rsid w:val="003A03EF"/>
    <w:rsid w:val="003A061D"/>
    <w:rsid w:val="003A065B"/>
    <w:rsid w:val="003A07CD"/>
    <w:rsid w:val="003A08B2"/>
    <w:rsid w:val="003A1378"/>
    <w:rsid w:val="003A1402"/>
    <w:rsid w:val="003A1785"/>
    <w:rsid w:val="003A18AF"/>
    <w:rsid w:val="003A1A8D"/>
    <w:rsid w:val="003A1E7E"/>
    <w:rsid w:val="003A1ED9"/>
    <w:rsid w:val="003A25D9"/>
    <w:rsid w:val="003A2610"/>
    <w:rsid w:val="003A265A"/>
    <w:rsid w:val="003A2816"/>
    <w:rsid w:val="003A2B45"/>
    <w:rsid w:val="003A2E29"/>
    <w:rsid w:val="003A2E41"/>
    <w:rsid w:val="003A30CF"/>
    <w:rsid w:val="003A30E6"/>
    <w:rsid w:val="003A3B2F"/>
    <w:rsid w:val="003A3B52"/>
    <w:rsid w:val="003A3C64"/>
    <w:rsid w:val="003A3D01"/>
    <w:rsid w:val="003A3FF9"/>
    <w:rsid w:val="003A413A"/>
    <w:rsid w:val="003A4C1A"/>
    <w:rsid w:val="003A5036"/>
    <w:rsid w:val="003A5863"/>
    <w:rsid w:val="003A5C33"/>
    <w:rsid w:val="003A6121"/>
    <w:rsid w:val="003A6132"/>
    <w:rsid w:val="003A6237"/>
    <w:rsid w:val="003A664E"/>
    <w:rsid w:val="003A66FA"/>
    <w:rsid w:val="003A6899"/>
    <w:rsid w:val="003A69A3"/>
    <w:rsid w:val="003A6ACF"/>
    <w:rsid w:val="003A6C75"/>
    <w:rsid w:val="003A6FB1"/>
    <w:rsid w:val="003A713B"/>
    <w:rsid w:val="003A72ED"/>
    <w:rsid w:val="003A7398"/>
    <w:rsid w:val="003A7404"/>
    <w:rsid w:val="003A75AB"/>
    <w:rsid w:val="003A7618"/>
    <w:rsid w:val="003A79D0"/>
    <w:rsid w:val="003B00BD"/>
    <w:rsid w:val="003B0532"/>
    <w:rsid w:val="003B0847"/>
    <w:rsid w:val="003B09F7"/>
    <w:rsid w:val="003B0ACC"/>
    <w:rsid w:val="003B0E84"/>
    <w:rsid w:val="003B1151"/>
    <w:rsid w:val="003B123B"/>
    <w:rsid w:val="003B1294"/>
    <w:rsid w:val="003B12D2"/>
    <w:rsid w:val="003B1382"/>
    <w:rsid w:val="003B15BD"/>
    <w:rsid w:val="003B1975"/>
    <w:rsid w:val="003B1ADF"/>
    <w:rsid w:val="003B1C54"/>
    <w:rsid w:val="003B1F26"/>
    <w:rsid w:val="003B1F45"/>
    <w:rsid w:val="003B22D4"/>
    <w:rsid w:val="003B259B"/>
    <w:rsid w:val="003B26F9"/>
    <w:rsid w:val="003B2813"/>
    <w:rsid w:val="003B2A08"/>
    <w:rsid w:val="003B2CA0"/>
    <w:rsid w:val="003B2DA2"/>
    <w:rsid w:val="003B2EA7"/>
    <w:rsid w:val="003B2EC5"/>
    <w:rsid w:val="003B30E8"/>
    <w:rsid w:val="003B3208"/>
    <w:rsid w:val="003B34B4"/>
    <w:rsid w:val="003B3591"/>
    <w:rsid w:val="003B3603"/>
    <w:rsid w:val="003B3754"/>
    <w:rsid w:val="003B3833"/>
    <w:rsid w:val="003B3A0E"/>
    <w:rsid w:val="003B3A64"/>
    <w:rsid w:val="003B3B18"/>
    <w:rsid w:val="003B3B82"/>
    <w:rsid w:val="003B3E7A"/>
    <w:rsid w:val="003B3E99"/>
    <w:rsid w:val="003B4099"/>
    <w:rsid w:val="003B4300"/>
    <w:rsid w:val="003B433A"/>
    <w:rsid w:val="003B4419"/>
    <w:rsid w:val="003B459A"/>
    <w:rsid w:val="003B46EE"/>
    <w:rsid w:val="003B4706"/>
    <w:rsid w:val="003B5089"/>
    <w:rsid w:val="003B51BA"/>
    <w:rsid w:val="003B52A8"/>
    <w:rsid w:val="003B5435"/>
    <w:rsid w:val="003B59E0"/>
    <w:rsid w:val="003B5B41"/>
    <w:rsid w:val="003B5B85"/>
    <w:rsid w:val="003B5B8D"/>
    <w:rsid w:val="003B5DEA"/>
    <w:rsid w:val="003B5FA8"/>
    <w:rsid w:val="003B6100"/>
    <w:rsid w:val="003B63EB"/>
    <w:rsid w:val="003B6469"/>
    <w:rsid w:val="003B6864"/>
    <w:rsid w:val="003B694F"/>
    <w:rsid w:val="003B6BB4"/>
    <w:rsid w:val="003B6DB5"/>
    <w:rsid w:val="003B6F7C"/>
    <w:rsid w:val="003B70CC"/>
    <w:rsid w:val="003B7207"/>
    <w:rsid w:val="003B7473"/>
    <w:rsid w:val="003B7500"/>
    <w:rsid w:val="003B76E6"/>
    <w:rsid w:val="003B77BD"/>
    <w:rsid w:val="003B7944"/>
    <w:rsid w:val="003B7C5E"/>
    <w:rsid w:val="003B7D8D"/>
    <w:rsid w:val="003B7E34"/>
    <w:rsid w:val="003B7EEC"/>
    <w:rsid w:val="003C043C"/>
    <w:rsid w:val="003C0567"/>
    <w:rsid w:val="003C090B"/>
    <w:rsid w:val="003C0DEE"/>
    <w:rsid w:val="003C0F3B"/>
    <w:rsid w:val="003C100E"/>
    <w:rsid w:val="003C119B"/>
    <w:rsid w:val="003C1540"/>
    <w:rsid w:val="003C15B0"/>
    <w:rsid w:val="003C15F0"/>
    <w:rsid w:val="003C1748"/>
    <w:rsid w:val="003C18DE"/>
    <w:rsid w:val="003C1942"/>
    <w:rsid w:val="003C19D3"/>
    <w:rsid w:val="003C1A28"/>
    <w:rsid w:val="003C1AE7"/>
    <w:rsid w:val="003C1B22"/>
    <w:rsid w:val="003C1B92"/>
    <w:rsid w:val="003C1C54"/>
    <w:rsid w:val="003C1E03"/>
    <w:rsid w:val="003C2751"/>
    <w:rsid w:val="003C2832"/>
    <w:rsid w:val="003C286A"/>
    <w:rsid w:val="003C2A2D"/>
    <w:rsid w:val="003C2B6C"/>
    <w:rsid w:val="003C2BF2"/>
    <w:rsid w:val="003C2C1B"/>
    <w:rsid w:val="003C3072"/>
    <w:rsid w:val="003C30C8"/>
    <w:rsid w:val="003C350C"/>
    <w:rsid w:val="003C368C"/>
    <w:rsid w:val="003C39E1"/>
    <w:rsid w:val="003C3AE9"/>
    <w:rsid w:val="003C3B3B"/>
    <w:rsid w:val="003C3C04"/>
    <w:rsid w:val="003C3D2C"/>
    <w:rsid w:val="003C43D7"/>
    <w:rsid w:val="003C45A6"/>
    <w:rsid w:val="003C4862"/>
    <w:rsid w:val="003C4B5D"/>
    <w:rsid w:val="003C4DA6"/>
    <w:rsid w:val="003C4F0C"/>
    <w:rsid w:val="003C525D"/>
    <w:rsid w:val="003C596A"/>
    <w:rsid w:val="003C5B3A"/>
    <w:rsid w:val="003C5BC3"/>
    <w:rsid w:val="003C5D34"/>
    <w:rsid w:val="003C5E70"/>
    <w:rsid w:val="003C61C4"/>
    <w:rsid w:val="003C63FC"/>
    <w:rsid w:val="003C6511"/>
    <w:rsid w:val="003C6568"/>
    <w:rsid w:val="003C680C"/>
    <w:rsid w:val="003C690C"/>
    <w:rsid w:val="003C6A42"/>
    <w:rsid w:val="003C6ABB"/>
    <w:rsid w:val="003C709A"/>
    <w:rsid w:val="003C7138"/>
    <w:rsid w:val="003C72F9"/>
    <w:rsid w:val="003C7733"/>
    <w:rsid w:val="003C77E2"/>
    <w:rsid w:val="003C7906"/>
    <w:rsid w:val="003C79B0"/>
    <w:rsid w:val="003C7CC3"/>
    <w:rsid w:val="003C7E5C"/>
    <w:rsid w:val="003C7E9B"/>
    <w:rsid w:val="003D062B"/>
    <w:rsid w:val="003D079E"/>
    <w:rsid w:val="003D0A63"/>
    <w:rsid w:val="003D0B24"/>
    <w:rsid w:val="003D0DB2"/>
    <w:rsid w:val="003D0E3A"/>
    <w:rsid w:val="003D0F5E"/>
    <w:rsid w:val="003D0F64"/>
    <w:rsid w:val="003D1001"/>
    <w:rsid w:val="003D128F"/>
    <w:rsid w:val="003D169F"/>
    <w:rsid w:val="003D180B"/>
    <w:rsid w:val="003D2493"/>
    <w:rsid w:val="003D255E"/>
    <w:rsid w:val="003D25C9"/>
    <w:rsid w:val="003D2BB6"/>
    <w:rsid w:val="003D2BDE"/>
    <w:rsid w:val="003D300C"/>
    <w:rsid w:val="003D3179"/>
    <w:rsid w:val="003D323C"/>
    <w:rsid w:val="003D3512"/>
    <w:rsid w:val="003D368C"/>
    <w:rsid w:val="003D36C1"/>
    <w:rsid w:val="003D37A3"/>
    <w:rsid w:val="003D37FE"/>
    <w:rsid w:val="003D3892"/>
    <w:rsid w:val="003D3A88"/>
    <w:rsid w:val="003D3B96"/>
    <w:rsid w:val="003D3EB5"/>
    <w:rsid w:val="003D4089"/>
    <w:rsid w:val="003D41CE"/>
    <w:rsid w:val="003D4295"/>
    <w:rsid w:val="003D43B8"/>
    <w:rsid w:val="003D475B"/>
    <w:rsid w:val="003D4AAC"/>
    <w:rsid w:val="003D4BF8"/>
    <w:rsid w:val="003D4DEB"/>
    <w:rsid w:val="003D50FC"/>
    <w:rsid w:val="003D5102"/>
    <w:rsid w:val="003D51CB"/>
    <w:rsid w:val="003D563D"/>
    <w:rsid w:val="003D581D"/>
    <w:rsid w:val="003D59D0"/>
    <w:rsid w:val="003D5B3B"/>
    <w:rsid w:val="003D5B3D"/>
    <w:rsid w:val="003D5B91"/>
    <w:rsid w:val="003D5F87"/>
    <w:rsid w:val="003D64F0"/>
    <w:rsid w:val="003D6879"/>
    <w:rsid w:val="003D68B9"/>
    <w:rsid w:val="003D6A09"/>
    <w:rsid w:val="003D6B9D"/>
    <w:rsid w:val="003D6CE3"/>
    <w:rsid w:val="003D6D72"/>
    <w:rsid w:val="003D6EB0"/>
    <w:rsid w:val="003D70EC"/>
    <w:rsid w:val="003D72A7"/>
    <w:rsid w:val="003D779B"/>
    <w:rsid w:val="003D7887"/>
    <w:rsid w:val="003D7998"/>
    <w:rsid w:val="003D7A14"/>
    <w:rsid w:val="003D7D2B"/>
    <w:rsid w:val="003E011F"/>
    <w:rsid w:val="003E0146"/>
    <w:rsid w:val="003E014B"/>
    <w:rsid w:val="003E0205"/>
    <w:rsid w:val="003E0440"/>
    <w:rsid w:val="003E050A"/>
    <w:rsid w:val="003E0959"/>
    <w:rsid w:val="003E09A2"/>
    <w:rsid w:val="003E0AE6"/>
    <w:rsid w:val="003E0AEB"/>
    <w:rsid w:val="003E0C92"/>
    <w:rsid w:val="003E0DBC"/>
    <w:rsid w:val="003E1019"/>
    <w:rsid w:val="003E13C7"/>
    <w:rsid w:val="003E142E"/>
    <w:rsid w:val="003E1CBA"/>
    <w:rsid w:val="003E1D9D"/>
    <w:rsid w:val="003E1E1C"/>
    <w:rsid w:val="003E2221"/>
    <w:rsid w:val="003E22BC"/>
    <w:rsid w:val="003E2405"/>
    <w:rsid w:val="003E252E"/>
    <w:rsid w:val="003E2928"/>
    <w:rsid w:val="003E2948"/>
    <w:rsid w:val="003E2FAF"/>
    <w:rsid w:val="003E2FB1"/>
    <w:rsid w:val="003E330D"/>
    <w:rsid w:val="003E38DE"/>
    <w:rsid w:val="003E398B"/>
    <w:rsid w:val="003E3A98"/>
    <w:rsid w:val="003E3FF1"/>
    <w:rsid w:val="003E425A"/>
    <w:rsid w:val="003E4284"/>
    <w:rsid w:val="003E4374"/>
    <w:rsid w:val="003E4760"/>
    <w:rsid w:val="003E47E4"/>
    <w:rsid w:val="003E483F"/>
    <w:rsid w:val="003E49B9"/>
    <w:rsid w:val="003E4EBB"/>
    <w:rsid w:val="003E502F"/>
    <w:rsid w:val="003E518D"/>
    <w:rsid w:val="003E51D1"/>
    <w:rsid w:val="003E543F"/>
    <w:rsid w:val="003E5549"/>
    <w:rsid w:val="003E55DA"/>
    <w:rsid w:val="003E5669"/>
    <w:rsid w:val="003E5A8D"/>
    <w:rsid w:val="003E5AC8"/>
    <w:rsid w:val="003E5EF0"/>
    <w:rsid w:val="003E6329"/>
    <w:rsid w:val="003E63F6"/>
    <w:rsid w:val="003E65BC"/>
    <w:rsid w:val="003E6AB4"/>
    <w:rsid w:val="003E6B88"/>
    <w:rsid w:val="003E6C9B"/>
    <w:rsid w:val="003E6C9F"/>
    <w:rsid w:val="003E71B7"/>
    <w:rsid w:val="003E744C"/>
    <w:rsid w:val="003E7514"/>
    <w:rsid w:val="003E7CFE"/>
    <w:rsid w:val="003E7E69"/>
    <w:rsid w:val="003E7FFB"/>
    <w:rsid w:val="003F020D"/>
    <w:rsid w:val="003F05F9"/>
    <w:rsid w:val="003F0ABF"/>
    <w:rsid w:val="003F0AE7"/>
    <w:rsid w:val="003F0B15"/>
    <w:rsid w:val="003F0BB6"/>
    <w:rsid w:val="003F0CD8"/>
    <w:rsid w:val="003F0D41"/>
    <w:rsid w:val="003F1031"/>
    <w:rsid w:val="003F1518"/>
    <w:rsid w:val="003F157A"/>
    <w:rsid w:val="003F184F"/>
    <w:rsid w:val="003F1E12"/>
    <w:rsid w:val="003F2247"/>
    <w:rsid w:val="003F2444"/>
    <w:rsid w:val="003F248C"/>
    <w:rsid w:val="003F2546"/>
    <w:rsid w:val="003F25CC"/>
    <w:rsid w:val="003F25E6"/>
    <w:rsid w:val="003F27B1"/>
    <w:rsid w:val="003F2B9C"/>
    <w:rsid w:val="003F2D0A"/>
    <w:rsid w:val="003F3207"/>
    <w:rsid w:val="003F3220"/>
    <w:rsid w:val="003F332F"/>
    <w:rsid w:val="003F3795"/>
    <w:rsid w:val="003F3C5F"/>
    <w:rsid w:val="003F3CFB"/>
    <w:rsid w:val="003F4B67"/>
    <w:rsid w:val="003F4FCD"/>
    <w:rsid w:val="003F53AE"/>
    <w:rsid w:val="003F5875"/>
    <w:rsid w:val="003F5B9F"/>
    <w:rsid w:val="003F5C95"/>
    <w:rsid w:val="003F5CF5"/>
    <w:rsid w:val="003F64E2"/>
    <w:rsid w:val="003F67F6"/>
    <w:rsid w:val="003F6A2F"/>
    <w:rsid w:val="003F6AE4"/>
    <w:rsid w:val="003F6D59"/>
    <w:rsid w:val="003F71D5"/>
    <w:rsid w:val="003F73C2"/>
    <w:rsid w:val="003F73C8"/>
    <w:rsid w:val="003F74A7"/>
    <w:rsid w:val="003F7703"/>
    <w:rsid w:val="003F7773"/>
    <w:rsid w:val="003F793D"/>
    <w:rsid w:val="003F7CA4"/>
    <w:rsid w:val="003F7E46"/>
    <w:rsid w:val="003F7EAC"/>
    <w:rsid w:val="00400143"/>
    <w:rsid w:val="00400273"/>
    <w:rsid w:val="0040063B"/>
    <w:rsid w:val="00400775"/>
    <w:rsid w:val="004008D0"/>
    <w:rsid w:val="00400A7F"/>
    <w:rsid w:val="00400BE3"/>
    <w:rsid w:val="00400C05"/>
    <w:rsid w:val="00400C2D"/>
    <w:rsid w:val="00400C8D"/>
    <w:rsid w:val="00400E37"/>
    <w:rsid w:val="0040117C"/>
    <w:rsid w:val="004011A2"/>
    <w:rsid w:val="0040140D"/>
    <w:rsid w:val="00401452"/>
    <w:rsid w:val="00401506"/>
    <w:rsid w:val="0040156B"/>
    <w:rsid w:val="00401607"/>
    <w:rsid w:val="00401800"/>
    <w:rsid w:val="0040193B"/>
    <w:rsid w:val="00401961"/>
    <w:rsid w:val="00401976"/>
    <w:rsid w:val="00401A99"/>
    <w:rsid w:val="00401BD0"/>
    <w:rsid w:val="00401D5E"/>
    <w:rsid w:val="00401E7A"/>
    <w:rsid w:val="00401E7B"/>
    <w:rsid w:val="00402195"/>
    <w:rsid w:val="00402481"/>
    <w:rsid w:val="0040251F"/>
    <w:rsid w:val="00402637"/>
    <w:rsid w:val="00402910"/>
    <w:rsid w:val="0040305B"/>
    <w:rsid w:val="00403377"/>
    <w:rsid w:val="004034B7"/>
    <w:rsid w:val="00403930"/>
    <w:rsid w:val="004039DB"/>
    <w:rsid w:val="004039F4"/>
    <w:rsid w:val="00403AC2"/>
    <w:rsid w:val="00404089"/>
    <w:rsid w:val="00404106"/>
    <w:rsid w:val="0040429B"/>
    <w:rsid w:val="004042BB"/>
    <w:rsid w:val="004042E9"/>
    <w:rsid w:val="00404510"/>
    <w:rsid w:val="004045D0"/>
    <w:rsid w:val="0040491E"/>
    <w:rsid w:val="00404B78"/>
    <w:rsid w:val="00404CAF"/>
    <w:rsid w:val="0040519E"/>
    <w:rsid w:val="00405236"/>
    <w:rsid w:val="00405433"/>
    <w:rsid w:val="004054CE"/>
    <w:rsid w:val="0040558F"/>
    <w:rsid w:val="004055E8"/>
    <w:rsid w:val="00405870"/>
    <w:rsid w:val="00405A11"/>
    <w:rsid w:val="00405B06"/>
    <w:rsid w:val="00405BAD"/>
    <w:rsid w:val="00405F76"/>
    <w:rsid w:val="00406036"/>
    <w:rsid w:val="00406278"/>
    <w:rsid w:val="0040661D"/>
    <w:rsid w:val="004068A7"/>
    <w:rsid w:val="00406A4C"/>
    <w:rsid w:val="00406A82"/>
    <w:rsid w:val="00406A88"/>
    <w:rsid w:val="00406C50"/>
    <w:rsid w:val="00406EBB"/>
    <w:rsid w:val="00406F27"/>
    <w:rsid w:val="004071DE"/>
    <w:rsid w:val="004075A4"/>
    <w:rsid w:val="0040767D"/>
    <w:rsid w:val="004077BC"/>
    <w:rsid w:val="00407EA7"/>
    <w:rsid w:val="00407ED2"/>
    <w:rsid w:val="00410157"/>
    <w:rsid w:val="0041031E"/>
    <w:rsid w:val="00410492"/>
    <w:rsid w:val="004104AD"/>
    <w:rsid w:val="004105F2"/>
    <w:rsid w:val="004106A2"/>
    <w:rsid w:val="00410710"/>
    <w:rsid w:val="00410771"/>
    <w:rsid w:val="004108AE"/>
    <w:rsid w:val="004108F0"/>
    <w:rsid w:val="004108FB"/>
    <w:rsid w:val="004109E3"/>
    <w:rsid w:val="00410D7C"/>
    <w:rsid w:val="00411012"/>
    <w:rsid w:val="00411170"/>
    <w:rsid w:val="00411574"/>
    <w:rsid w:val="004118A3"/>
    <w:rsid w:val="004119C7"/>
    <w:rsid w:val="00411A04"/>
    <w:rsid w:val="00411B32"/>
    <w:rsid w:val="00411DE8"/>
    <w:rsid w:val="00411F24"/>
    <w:rsid w:val="004120B6"/>
    <w:rsid w:val="00412281"/>
    <w:rsid w:val="00412365"/>
    <w:rsid w:val="00412673"/>
    <w:rsid w:val="00412791"/>
    <w:rsid w:val="004128F0"/>
    <w:rsid w:val="00412A32"/>
    <w:rsid w:val="00412C42"/>
    <w:rsid w:val="00412D8C"/>
    <w:rsid w:val="00412E6E"/>
    <w:rsid w:val="00412FBB"/>
    <w:rsid w:val="0041315D"/>
    <w:rsid w:val="0041359D"/>
    <w:rsid w:val="0041371C"/>
    <w:rsid w:val="004137F5"/>
    <w:rsid w:val="004141E0"/>
    <w:rsid w:val="004142DC"/>
    <w:rsid w:val="004142E7"/>
    <w:rsid w:val="0041447A"/>
    <w:rsid w:val="00414834"/>
    <w:rsid w:val="0041487B"/>
    <w:rsid w:val="0041489E"/>
    <w:rsid w:val="00414C88"/>
    <w:rsid w:val="00414CA2"/>
    <w:rsid w:val="00414D04"/>
    <w:rsid w:val="00414D1D"/>
    <w:rsid w:val="00414DB4"/>
    <w:rsid w:val="00414F6E"/>
    <w:rsid w:val="0041512B"/>
    <w:rsid w:val="0041538C"/>
    <w:rsid w:val="00415461"/>
    <w:rsid w:val="00415700"/>
    <w:rsid w:val="00415866"/>
    <w:rsid w:val="004159B0"/>
    <w:rsid w:val="00415A54"/>
    <w:rsid w:val="00415A56"/>
    <w:rsid w:val="00415ABF"/>
    <w:rsid w:val="00415C92"/>
    <w:rsid w:val="00415D15"/>
    <w:rsid w:val="00415D8A"/>
    <w:rsid w:val="00415E7D"/>
    <w:rsid w:val="00415E9F"/>
    <w:rsid w:val="00416660"/>
    <w:rsid w:val="00416809"/>
    <w:rsid w:val="00416829"/>
    <w:rsid w:val="004168D8"/>
    <w:rsid w:val="00416B88"/>
    <w:rsid w:val="00416BE7"/>
    <w:rsid w:val="0041728B"/>
    <w:rsid w:val="00417391"/>
    <w:rsid w:val="00417397"/>
    <w:rsid w:val="00417543"/>
    <w:rsid w:val="004175E8"/>
    <w:rsid w:val="00417670"/>
    <w:rsid w:val="00417881"/>
    <w:rsid w:val="0041FF37"/>
    <w:rsid w:val="004203D3"/>
    <w:rsid w:val="00420791"/>
    <w:rsid w:val="00420832"/>
    <w:rsid w:val="00420B02"/>
    <w:rsid w:val="00420F08"/>
    <w:rsid w:val="00420FD1"/>
    <w:rsid w:val="004212A0"/>
    <w:rsid w:val="0042130D"/>
    <w:rsid w:val="0042157D"/>
    <w:rsid w:val="00421A24"/>
    <w:rsid w:val="0042246E"/>
    <w:rsid w:val="004225E7"/>
    <w:rsid w:val="004229CD"/>
    <w:rsid w:val="00422A34"/>
    <w:rsid w:val="00422C6D"/>
    <w:rsid w:val="00422C95"/>
    <w:rsid w:val="0042357B"/>
    <w:rsid w:val="004235FE"/>
    <w:rsid w:val="0042388D"/>
    <w:rsid w:val="00423B89"/>
    <w:rsid w:val="00423E16"/>
    <w:rsid w:val="0042400C"/>
    <w:rsid w:val="004241C9"/>
    <w:rsid w:val="004243A1"/>
    <w:rsid w:val="004243C2"/>
    <w:rsid w:val="0042443E"/>
    <w:rsid w:val="00424D1D"/>
    <w:rsid w:val="00424EE2"/>
    <w:rsid w:val="004250AF"/>
    <w:rsid w:val="004250BF"/>
    <w:rsid w:val="0042519C"/>
    <w:rsid w:val="004257C8"/>
    <w:rsid w:val="0042588D"/>
    <w:rsid w:val="00425ADF"/>
    <w:rsid w:val="004261B3"/>
    <w:rsid w:val="004263EB"/>
    <w:rsid w:val="00426435"/>
    <w:rsid w:val="00426480"/>
    <w:rsid w:val="004264CA"/>
    <w:rsid w:val="004265B6"/>
    <w:rsid w:val="00426AAF"/>
    <w:rsid w:val="00426FDE"/>
    <w:rsid w:val="004272DD"/>
    <w:rsid w:val="004273C8"/>
    <w:rsid w:val="0042769D"/>
    <w:rsid w:val="0042794C"/>
    <w:rsid w:val="00427C4D"/>
    <w:rsid w:val="00427EF8"/>
    <w:rsid w:val="00427FAB"/>
    <w:rsid w:val="004303EF"/>
    <w:rsid w:val="00430808"/>
    <w:rsid w:val="004309BE"/>
    <w:rsid w:val="00430CC2"/>
    <w:rsid w:val="00430D53"/>
    <w:rsid w:val="00430DF6"/>
    <w:rsid w:val="00431187"/>
    <w:rsid w:val="0043166A"/>
    <w:rsid w:val="00431852"/>
    <w:rsid w:val="00431855"/>
    <w:rsid w:val="00431D0E"/>
    <w:rsid w:val="00431DC8"/>
    <w:rsid w:val="00431F3C"/>
    <w:rsid w:val="00432711"/>
    <w:rsid w:val="00432AE5"/>
    <w:rsid w:val="00432B4B"/>
    <w:rsid w:val="00432CE2"/>
    <w:rsid w:val="00432E41"/>
    <w:rsid w:val="00432ED7"/>
    <w:rsid w:val="00432F8F"/>
    <w:rsid w:val="0043386E"/>
    <w:rsid w:val="004338F9"/>
    <w:rsid w:val="00433B64"/>
    <w:rsid w:val="00433C4C"/>
    <w:rsid w:val="00433E58"/>
    <w:rsid w:val="00433F0F"/>
    <w:rsid w:val="00434103"/>
    <w:rsid w:val="00434859"/>
    <w:rsid w:val="00434E72"/>
    <w:rsid w:val="00434E93"/>
    <w:rsid w:val="00434F04"/>
    <w:rsid w:val="0043525C"/>
    <w:rsid w:val="004355FC"/>
    <w:rsid w:val="004356A6"/>
    <w:rsid w:val="004357AA"/>
    <w:rsid w:val="004357D6"/>
    <w:rsid w:val="00435978"/>
    <w:rsid w:val="00435A19"/>
    <w:rsid w:val="00435C76"/>
    <w:rsid w:val="00435F41"/>
    <w:rsid w:val="0043624D"/>
    <w:rsid w:val="004362C5"/>
    <w:rsid w:val="00436545"/>
    <w:rsid w:val="0043656C"/>
    <w:rsid w:val="004365A8"/>
    <w:rsid w:val="0043674B"/>
    <w:rsid w:val="00436AD1"/>
    <w:rsid w:val="00436AEA"/>
    <w:rsid w:val="00436AFF"/>
    <w:rsid w:val="00436C7C"/>
    <w:rsid w:val="00436D6F"/>
    <w:rsid w:val="00436F84"/>
    <w:rsid w:val="004374C8"/>
    <w:rsid w:val="00437E60"/>
    <w:rsid w:val="00440234"/>
    <w:rsid w:val="0044030D"/>
    <w:rsid w:val="004403B1"/>
    <w:rsid w:val="004404A3"/>
    <w:rsid w:val="004405FF"/>
    <w:rsid w:val="00440642"/>
    <w:rsid w:val="00440B61"/>
    <w:rsid w:val="00440C34"/>
    <w:rsid w:val="00440D28"/>
    <w:rsid w:val="00440E19"/>
    <w:rsid w:val="00440FA0"/>
    <w:rsid w:val="00441756"/>
    <w:rsid w:val="0044175C"/>
    <w:rsid w:val="00441895"/>
    <w:rsid w:val="00441B08"/>
    <w:rsid w:val="0044255A"/>
    <w:rsid w:val="004428A0"/>
    <w:rsid w:val="00442910"/>
    <w:rsid w:val="00442BC0"/>
    <w:rsid w:val="00442CE7"/>
    <w:rsid w:val="00442E0E"/>
    <w:rsid w:val="00443138"/>
    <w:rsid w:val="0044361E"/>
    <w:rsid w:val="004438E3"/>
    <w:rsid w:val="0044396A"/>
    <w:rsid w:val="00443AB0"/>
    <w:rsid w:val="00443F07"/>
    <w:rsid w:val="00443F0A"/>
    <w:rsid w:val="00443FF9"/>
    <w:rsid w:val="0044420D"/>
    <w:rsid w:val="004445D6"/>
    <w:rsid w:val="004446D9"/>
    <w:rsid w:val="00444958"/>
    <w:rsid w:val="00444A46"/>
    <w:rsid w:val="00444B1D"/>
    <w:rsid w:val="00444D0D"/>
    <w:rsid w:val="00444F29"/>
    <w:rsid w:val="00445074"/>
    <w:rsid w:val="0044523F"/>
    <w:rsid w:val="00445696"/>
    <w:rsid w:val="004457B3"/>
    <w:rsid w:val="004457EE"/>
    <w:rsid w:val="004458FE"/>
    <w:rsid w:val="004459E0"/>
    <w:rsid w:val="004459E7"/>
    <w:rsid w:val="00445ACA"/>
    <w:rsid w:val="00445E43"/>
    <w:rsid w:val="00445E58"/>
    <w:rsid w:val="00445F1B"/>
    <w:rsid w:val="0044612D"/>
    <w:rsid w:val="004464D0"/>
    <w:rsid w:val="004466FF"/>
    <w:rsid w:val="00446A74"/>
    <w:rsid w:val="00446C0C"/>
    <w:rsid w:val="00446EE6"/>
    <w:rsid w:val="0044719F"/>
    <w:rsid w:val="0044732F"/>
    <w:rsid w:val="00447481"/>
    <w:rsid w:val="004474B7"/>
    <w:rsid w:val="00447544"/>
    <w:rsid w:val="0044764A"/>
    <w:rsid w:val="004478EB"/>
    <w:rsid w:val="00447A84"/>
    <w:rsid w:val="00447AF9"/>
    <w:rsid w:val="00447D41"/>
    <w:rsid w:val="00447E03"/>
    <w:rsid w:val="00450581"/>
    <w:rsid w:val="004509F7"/>
    <w:rsid w:val="00450C5F"/>
    <w:rsid w:val="00450D7E"/>
    <w:rsid w:val="004510AE"/>
    <w:rsid w:val="00451305"/>
    <w:rsid w:val="004514A8"/>
    <w:rsid w:val="004514FE"/>
    <w:rsid w:val="004515A1"/>
    <w:rsid w:val="00451B45"/>
    <w:rsid w:val="00452551"/>
    <w:rsid w:val="00452574"/>
    <w:rsid w:val="0045268A"/>
    <w:rsid w:val="004526D7"/>
    <w:rsid w:val="004527C2"/>
    <w:rsid w:val="00452D3F"/>
    <w:rsid w:val="00452DE1"/>
    <w:rsid w:val="0045349F"/>
    <w:rsid w:val="00453659"/>
    <w:rsid w:val="00453783"/>
    <w:rsid w:val="00453837"/>
    <w:rsid w:val="00453A9C"/>
    <w:rsid w:val="00453E7A"/>
    <w:rsid w:val="00453E81"/>
    <w:rsid w:val="00453F31"/>
    <w:rsid w:val="004540EB"/>
    <w:rsid w:val="004543FD"/>
    <w:rsid w:val="0045466F"/>
    <w:rsid w:val="00454734"/>
    <w:rsid w:val="00454762"/>
    <w:rsid w:val="004548FF"/>
    <w:rsid w:val="00454915"/>
    <w:rsid w:val="0045494B"/>
    <w:rsid w:val="00454A52"/>
    <w:rsid w:val="00454A86"/>
    <w:rsid w:val="00454B73"/>
    <w:rsid w:val="00454B84"/>
    <w:rsid w:val="00454C20"/>
    <w:rsid w:val="00454CB6"/>
    <w:rsid w:val="00454DB9"/>
    <w:rsid w:val="00454EE3"/>
    <w:rsid w:val="00455066"/>
    <w:rsid w:val="00455C3F"/>
    <w:rsid w:val="00455C8A"/>
    <w:rsid w:val="00455DDC"/>
    <w:rsid w:val="00456017"/>
    <w:rsid w:val="004562B1"/>
    <w:rsid w:val="00456510"/>
    <w:rsid w:val="00456613"/>
    <w:rsid w:val="0045688D"/>
    <w:rsid w:val="00456D2E"/>
    <w:rsid w:val="00456E31"/>
    <w:rsid w:val="00456E7A"/>
    <w:rsid w:val="00456F1E"/>
    <w:rsid w:val="00456FB0"/>
    <w:rsid w:val="004570CC"/>
    <w:rsid w:val="00457284"/>
    <w:rsid w:val="00457371"/>
    <w:rsid w:val="00457CCD"/>
    <w:rsid w:val="00457E14"/>
    <w:rsid w:val="00457E56"/>
    <w:rsid w:val="00457F34"/>
    <w:rsid w:val="0046061E"/>
    <w:rsid w:val="00460992"/>
    <w:rsid w:val="00460B5D"/>
    <w:rsid w:val="00461357"/>
    <w:rsid w:val="004613AB"/>
    <w:rsid w:val="0046163D"/>
    <w:rsid w:val="00461674"/>
    <w:rsid w:val="00461707"/>
    <w:rsid w:val="00461779"/>
    <w:rsid w:val="00461964"/>
    <w:rsid w:val="004620CF"/>
    <w:rsid w:val="004620EE"/>
    <w:rsid w:val="0046221D"/>
    <w:rsid w:val="00462310"/>
    <w:rsid w:val="00462490"/>
    <w:rsid w:val="0046277A"/>
    <w:rsid w:val="004629DF"/>
    <w:rsid w:val="00462C4F"/>
    <w:rsid w:val="00462D51"/>
    <w:rsid w:val="00462DF9"/>
    <w:rsid w:val="004636D2"/>
    <w:rsid w:val="004639F5"/>
    <w:rsid w:val="00463A43"/>
    <w:rsid w:val="00463A7F"/>
    <w:rsid w:val="00463D59"/>
    <w:rsid w:val="00463DAE"/>
    <w:rsid w:val="00463FAC"/>
    <w:rsid w:val="004640E0"/>
    <w:rsid w:val="00464128"/>
    <w:rsid w:val="00464386"/>
    <w:rsid w:val="00464550"/>
    <w:rsid w:val="00464607"/>
    <w:rsid w:val="00464618"/>
    <w:rsid w:val="00464B41"/>
    <w:rsid w:val="00464C25"/>
    <w:rsid w:val="004650F6"/>
    <w:rsid w:val="004651B1"/>
    <w:rsid w:val="004656A3"/>
    <w:rsid w:val="00465856"/>
    <w:rsid w:val="0046595A"/>
    <w:rsid w:val="00465B4D"/>
    <w:rsid w:val="00465F47"/>
    <w:rsid w:val="0046618C"/>
    <w:rsid w:val="00466223"/>
    <w:rsid w:val="00466318"/>
    <w:rsid w:val="004664BC"/>
    <w:rsid w:val="00466BF0"/>
    <w:rsid w:val="00466D31"/>
    <w:rsid w:val="004672EE"/>
    <w:rsid w:val="004675DC"/>
    <w:rsid w:val="004678C6"/>
    <w:rsid w:val="00467A6D"/>
    <w:rsid w:val="00467D2C"/>
    <w:rsid w:val="00467D51"/>
    <w:rsid w:val="00467FE9"/>
    <w:rsid w:val="00470019"/>
    <w:rsid w:val="004700D2"/>
    <w:rsid w:val="004701BD"/>
    <w:rsid w:val="00470260"/>
    <w:rsid w:val="004704B5"/>
    <w:rsid w:val="004705D5"/>
    <w:rsid w:val="0047077D"/>
    <w:rsid w:val="004708FB"/>
    <w:rsid w:val="00470B6C"/>
    <w:rsid w:val="00470CBF"/>
    <w:rsid w:val="00470ED6"/>
    <w:rsid w:val="00470FC8"/>
    <w:rsid w:val="004715ED"/>
    <w:rsid w:val="0047167C"/>
    <w:rsid w:val="0047168B"/>
    <w:rsid w:val="0047179A"/>
    <w:rsid w:val="0047199D"/>
    <w:rsid w:val="00471D6F"/>
    <w:rsid w:val="00471F90"/>
    <w:rsid w:val="0047207E"/>
    <w:rsid w:val="00472098"/>
    <w:rsid w:val="004721A2"/>
    <w:rsid w:val="00472624"/>
    <w:rsid w:val="004729D7"/>
    <w:rsid w:val="00472AD3"/>
    <w:rsid w:val="00472D27"/>
    <w:rsid w:val="00472E94"/>
    <w:rsid w:val="00472F4A"/>
    <w:rsid w:val="00473421"/>
    <w:rsid w:val="00473AE7"/>
    <w:rsid w:val="00473C12"/>
    <w:rsid w:val="00473D6B"/>
    <w:rsid w:val="00474177"/>
    <w:rsid w:val="004744AE"/>
    <w:rsid w:val="004746EB"/>
    <w:rsid w:val="00474743"/>
    <w:rsid w:val="00474862"/>
    <w:rsid w:val="00474E3B"/>
    <w:rsid w:val="0047513C"/>
    <w:rsid w:val="00475327"/>
    <w:rsid w:val="00475467"/>
    <w:rsid w:val="00475801"/>
    <w:rsid w:val="0047596B"/>
    <w:rsid w:val="00475E06"/>
    <w:rsid w:val="00475F68"/>
    <w:rsid w:val="00475FBD"/>
    <w:rsid w:val="004765CA"/>
    <w:rsid w:val="00476830"/>
    <w:rsid w:val="00476C29"/>
    <w:rsid w:val="00477394"/>
    <w:rsid w:val="004774A8"/>
    <w:rsid w:val="0047786C"/>
    <w:rsid w:val="00477CF8"/>
    <w:rsid w:val="00477E56"/>
    <w:rsid w:val="00480325"/>
    <w:rsid w:val="00480407"/>
    <w:rsid w:val="004805CE"/>
    <w:rsid w:val="0048067D"/>
    <w:rsid w:val="004807B1"/>
    <w:rsid w:val="0048097A"/>
    <w:rsid w:val="00480BC0"/>
    <w:rsid w:val="00480C6E"/>
    <w:rsid w:val="00480FF2"/>
    <w:rsid w:val="004812BE"/>
    <w:rsid w:val="00481302"/>
    <w:rsid w:val="00481306"/>
    <w:rsid w:val="00481539"/>
    <w:rsid w:val="004819AE"/>
    <w:rsid w:val="004819ED"/>
    <w:rsid w:val="00481CC4"/>
    <w:rsid w:val="00481D42"/>
    <w:rsid w:val="00481DAD"/>
    <w:rsid w:val="0048205A"/>
    <w:rsid w:val="0048222E"/>
    <w:rsid w:val="0048251C"/>
    <w:rsid w:val="004827F3"/>
    <w:rsid w:val="00482AE1"/>
    <w:rsid w:val="00483537"/>
    <w:rsid w:val="0048366F"/>
    <w:rsid w:val="00483A6E"/>
    <w:rsid w:val="00483AA0"/>
    <w:rsid w:val="00483B87"/>
    <w:rsid w:val="00483B9F"/>
    <w:rsid w:val="00483DB0"/>
    <w:rsid w:val="00483EA5"/>
    <w:rsid w:val="00484090"/>
    <w:rsid w:val="004841BD"/>
    <w:rsid w:val="00484549"/>
    <w:rsid w:val="00484592"/>
    <w:rsid w:val="004846B4"/>
    <w:rsid w:val="00484912"/>
    <w:rsid w:val="00484E66"/>
    <w:rsid w:val="004850B2"/>
    <w:rsid w:val="004850E3"/>
    <w:rsid w:val="0048527E"/>
    <w:rsid w:val="004853CA"/>
    <w:rsid w:val="004853DE"/>
    <w:rsid w:val="00485429"/>
    <w:rsid w:val="004855E5"/>
    <w:rsid w:val="00485663"/>
    <w:rsid w:val="00485843"/>
    <w:rsid w:val="00485ACA"/>
    <w:rsid w:val="00485C90"/>
    <w:rsid w:val="00485DC0"/>
    <w:rsid w:val="00485F81"/>
    <w:rsid w:val="00486298"/>
    <w:rsid w:val="004863EC"/>
    <w:rsid w:val="00486763"/>
    <w:rsid w:val="004868B2"/>
    <w:rsid w:val="00486A8D"/>
    <w:rsid w:val="00486AEC"/>
    <w:rsid w:val="00486C9E"/>
    <w:rsid w:val="00486DF8"/>
    <w:rsid w:val="00486F89"/>
    <w:rsid w:val="0048700B"/>
    <w:rsid w:val="00487278"/>
    <w:rsid w:val="00487424"/>
    <w:rsid w:val="00487874"/>
    <w:rsid w:val="00487BAA"/>
    <w:rsid w:val="00487BC1"/>
    <w:rsid w:val="00487BED"/>
    <w:rsid w:val="00487F1B"/>
    <w:rsid w:val="00487F91"/>
    <w:rsid w:val="00487FA6"/>
    <w:rsid w:val="004904D4"/>
    <w:rsid w:val="004904EC"/>
    <w:rsid w:val="004905A6"/>
    <w:rsid w:val="00490846"/>
    <w:rsid w:val="0049090F"/>
    <w:rsid w:val="00490DBC"/>
    <w:rsid w:val="00491384"/>
    <w:rsid w:val="00491426"/>
    <w:rsid w:val="00491467"/>
    <w:rsid w:val="00491821"/>
    <w:rsid w:val="00491878"/>
    <w:rsid w:val="00491898"/>
    <w:rsid w:val="00491B52"/>
    <w:rsid w:val="00491E3E"/>
    <w:rsid w:val="00491F2D"/>
    <w:rsid w:val="0049238E"/>
    <w:rsid w:val="004923BE"/>
    <w:rsid w:val="004923C2"/>
    <w:rsid w:val="00492460"/>
    <w:rsid w:val="00492797"/>
    <w:rsid w:val="00492A95"/>
    <w:rsid w:val="00492B72"/>
    <w:rsid w:val="00492FAB"/>
    <w:rsid w:val="0049306C"/>
    <w:rsid w:val="004930A3"/>
    <w:rsid w:val="004934FF"/>
    <w:rsid w:val="00493678"/>
    <w:rsid w:val="00493AC9"/>
    <w:rsid w:val="00493B34"/>
    <w:rsid w:val="00493D56"/>
    <w:rsid w:val="004940F5"/>
    <w:rsid w:val="00494128"/>
    <w:rsid w:val="00494208"/>
    <w:rsid w:val="004946D9"/>
    <w:rsid w:val="004949A7"/>
    <w:rsid w:val="00494B1C"/>
    <w:rsid w:val="00494C16"/>
    <w:rsid w:val="00495264"/>
    <w:rsid w:val="00495443"/>
    <w:rsid w:val="00495444"/>
    <w:rsid w:val="00495490"/>
    <w:rsid w:val="004956ED"/>
    <w:rsid w:val="004959F0"/>
    <w:rsid w:val="00495C52"/>
    <w:rsid w:val="00495E29"/>
    <w:rsid w:val="00495FE9"/>
    <w:rsid w:val="004961DF"/>
    <w:rsid w:val="0049647D"/>
    <w:rsid w:val="00496675"/>
    <w:rsid w:val="004968A8"/>
    <w:rsid w:val="00496ACA"/>
    <w:rsid w:val="00496B4B"/>
    <w:rsid w:val="00496B53"/>
    <w:rsid w:val="00496C49"/>
    <w:rsid w:val="00496D7F"/>
    <w:rsid w:val="0049746A"/>
    <w:rsid w:val="004978ED"/>
    <w:rsid w:val="0049791B"/>
    <w:rsid w:val="00497988"/>
    <w:rsid w:val="00497C38"/>
    <w:rsid w:val="00497E3A"/>
    <w:rsid w:val="00497E67"/>
    <w:rsid w:val="00497F07"/>
    <w:rsid w:val="00497F5B"/>
    <w:rsid w:val="004A0306"/>
    <w:rsid w:val="004A0651"/>
    <w:rsid w:val="004A0792"/>
    <w:rsid w:val="004A087F"/>
    <w:rsid w:val="004A0AFD"/>
    <w:rsid w:val="004A0B99"/>
    <w:rsid w:val="004A0D1C"/>
    <w:rsid w:val="004A128B"/>
    <w:rsid w:val="004A1328"/>
    <w:rsid w:val="004A1457"/>
    <w:rsid w:val="004A16C6"/>
    <w:rsid w:val="004A1711"/>
    <w:rsid w:val="004A1785"/>
    <w:rsid w:val="004A19A0"/>
    <w:rsid w:val="004A1E3A"/>
    <w:rsid w:val="004A24F7"/>
    <w:rsid w:val="004A2A28"/>
    <w:rsid w:val="004A2C1A"/>
    <w:rsid w:val="004A2C6A"/>
    <w:rsid w:val="004A2CE3"/>
    <w:rsid w:val="004A2E99"/>
    <w:rsid w:val="004A36D5"/>
    <w:rsid w:val="004A37DF"/>
    <w:rsid w:val="004A3927"/>
    <w:rsid w:val="004A3ACB"/>
    <w:rsid w:val="004A40DC"/>
    <w:rsid w:val="004A4258"/>
    <w:rsid w:val="004A443F"/>
    <w:rsid w:val="004A48A4"/>
    <w:rsid w:val="004A4997"/>
    <w:rsid w:val="004A49AE"/>
    <w:rsid w:val="004A49D3"/>
    <w:rsid w:val="004A4A80"/>
    <w:rsid w:val="004A4CE6"/>
    <w:rsid w:val="004A4F04"/>
    <w:rsid w:val="004A5105"/>
    <w:rsid w:val="004A5153"/>
    <w:rsid w:val="004A53D6"/>
    <w:rsid w:val="004A54BF"/>
    <w:rsid w:val="004A5A37"/>
    <w:rsid w:val="004A5B02"/>
    <w:rsid w:val="004A5D50"/>
    <w:rsid w:val="004A5F26"/>
    <w:rsid w:val="004A60C7"/>
    <w:rsid w:val="004A62B2"/>
    <w:rsid w:val="004A6587"/>
    <w:rsid w:val="004A68B9"/>
    <w:rsid w:val="004A6969"/>
    <w:rsid w:val="004A6AD8"/>
    <w:rsid w:val="004A6B37"/>
    <w:rsid w:val="004A7035"/>
    <w:rsid w:val="004A73E7"/>
    <w:rsid w:val="004A7446"/>
    <w:rsid w:val="004A74A9"/>
    <w:rsid w:val="004A7696"/>
    <w:rsid w:val="004A76E3"/>
    <w:rsid w:val="004A7A33"/>
    <w:rsid w:val="004A7A96"/>
    <w:rsid w:val="004A7BCC"/>
    <w:rsid w:val="004A7C58"/>
    <w:rsid w:val="004A7D50"/>
    <w:rsid w:val="004A7DCA"/>
    <w:rsid w:val="004A7F29"/>
    <w:rsid w:val="004B060D"/>
    <w:rsid w:val="004B0C43"/>
    <w:rsid w:val="004B13EB"/>
    <w:rsid w:val="004B1639"/>
    <w:rsid w:val="004B1753"/>
    <w:rsid w:val="004B1ABF"/>
    <w:rsid w:val="004B1D25"/>
    <w:rsid w:val="004B1D55"/>
    <w:rsid w:val="004B20FB"/>
    <w:rsid w:val="004B2208"/>
    <w:rsid w:val="004B25DD"/>
    <w:rsid w:val="004B28A9"/>
    <w:rsid w:val="004B2A1A"/>
    <w:rsid w:val="004B2A25"/>
    <w:rsid w:val="004B2B11"/>
    <w:rsid w:val="004B2BB3"/>
    <w:rsid w:val="004B2D21"/>
    <w:rsid w:val="004B2D3B"/>
    <w:rsid w:val="004B330D"/>
    <w:rsid w:val="004B3400"/>
    <w:rsid w:val="004B3489"/>
    <w:rsid w:val="004B3723"/>
    <w:rsid w:val="004B3766"/>
    <w:rsid w:val="004B376C"/>
    <w:rsid w:val="004B3803"/>
    <w:rsid w:val="004B3912"/>
    <w:rsid w:val="004B3962"/>
    <w:rsid w:val="004B3AF1"/>
    <w:rsid w:val="004B3B16"/>
    <w:rsid w:val="004B3C5B"/>
    <w:rsid w:val="004B3C78"/>
    <w:rsid w:val="004B3C93"/>
    <w:rsid w:val="004B46DE"/>
    <w:rsid w:val="004B4737"/>
    <w:rsid w:val="004B4AAF"/>
    <w:rsid w:val="004B4B5E"/>
    <w:rsid w:val="004B4F5D"/>
    <w:rsid w:val="004B51B9"/>
    <w:rsid w:val="004B5220"/>
    <w:rsid w:val="004B52C7"/>
    <w:rsid w:val="004B55C6"/>
    <w:rsid w:val="004B5693"/>
    <w:rsid w:val="004B5696"/>
    <w:rsid w:val="004B5737"/>
    <w:rsid w:val="004B5B9A"/>
    <w:rsid w:val="004B6081"/>
    <w:rsid w:val="004B6118"/>
    <w:rsid w:val="004B640A"/>
    <w:rsid w:val="004B692B"/>
    <w:rsid w:val="004B6D75"/>
    <w:rsid w:val="004B6E76"/>
    <w:rsid w:val="004B6FF7"/>
    <w:rsid w:val="004B7015"/>
    <w:rsid w:val="004B71FB"/>
    <w:rsid w:val="004B7223"/>
    <w:rsid w:val="004B763D"/>
    <w:rsid w:val="004B7758"/>
    <w:rsid w:val="004B7888"/>
    <w:rsid w:val="004B78F1"/>
    <w:rsid w:val="004B7939"/>
    <w:rsid w:val="004B796F"/>
    <w:rsid w:val="004B7A63"/>
    <w:rsid w:val="004B7B57"/>
    <w:rsid w:val="004C02F1"/>
    <w:rsid w:val="004C0798"/>
    <w:rsid w:val="004C0B81"/>
    <w:rsid w:val="004C0C41"/>
    <w:rsid w:val="004C0CC8"/>
    <w:rsid w:val="004C0F31"/>
    <w:rsid w:val="004C12C7"/>
    <w:rsid w:val="004C17FD"/>
    <w:rsid w:val="004C1BE6"/>
    <w:rsid w:val="004C1CEE"/>
    <w:rsid w:val="004C1D55"/>
    <w:rsid w:val="004C1EC3"/>
    <w:rsid w:val="004C2030"/>
    <w:rsid w:val="004C21A2"/>
    <w:rsid w:val="004C2252"/>
    <w:rsid w:val="004C27E6"/>
    <w:rsid w:val="004C290D"/>
    <w:rsid w:val="004C2B73"/>
    <w:rsid w:val="004C2C7E"/>
    <w:rsid w:val="004C2D7B"/>
    <w:rsid w:val="004C3050"/>
    <w:rsid w:val="004C31C5"/>
    <w:rsid w:val="004C32FB"/>
    <w:rsid w:val="004C33E1"/>
    <w:rsid w:val="004C34A8"/>
    <w:rsid w:val="004C3616"/>
    <w:rsid w:val="004C3682"/>
    <w:rsid w:val="004C3742"/>
    <w:rsid w:val="004C3762"/>
    <w:rsid w:val="004C37EA"/>
    <w:rsid w:val="004C3981"/>
    <w:rsid w:val="004C3C15"/>
    <w:rsid w:val="004C4001"/>
    <w:rsid w:val="004C4139"/>
    <w:rsid w:val="004C4304"/>
    <w:rsid w:val="004C4388"/>
    <w:rsid w:val="004C43A8"/>
    <w:rsid w:val="004C43FA"/>
    <w:rsid w:val="004C445B"/>
    <w:rsid w:val="004C45EC"/>
    <w:rsid w:val="004C469B"/>
    <w:rsid w:val="004C4872"/>
    <w:rsid w:val="004C4964"/>
    <w:rsid w:val="004C4976"/>
    <w:rsid w:val="004C4C3A"/>
    <w:rsid w:val="004C4FD0"/>
    <w:rsid w:val="004C5060"/>
    <w:rsid w:val="004C5091"/>
    <w:rsid w:val="004C50F4"/>
    <w:rsid w:val="004C51A2"/>
    <w:rsid w:val="004C5B03"/>
    <w:rsid w:val="004C5BC0"/>
    <w:rsid w:val="004C5C38"/>
    <w:rsid w:val="004C5D86"/>
    <w:rsid w:val="004C5EAD"/>
    <w:rsid w:val="004C5FF9"/>
    <w:rsid w:val="004C6114"/>
    <w:rsid w:val="004C614F"/>
    <w:rsid w:val="004C634A"/>
    <w:rsid w:val="004C6621"/>
    <w:rsid w:val="004C6BB9"/>
    <w:rsid w:val="004C6ECF"/>
    <w:rsid w:val="004C6F46"/>
    <w:rsid w:val="004C6F86"/>
    <w:rsid w:val="004C7128"/>
    <w:rsid w:val="004C7830"/>
    <w:rsid w:val="004C7A20"/>
    <w:rsid w:val="004C7B2F"/>
    <w:rsid w:val="004C7BC3"/>
    <w:rsid w:val="004C7C49"/>
    <w:rsid w:val="004C7FAE"/>
    <w:rsid w:val="004D01C1"/>
    <w:rsid w:val="004D05EC"/>
    <w:rsid w:val="004D0670"/>
    <w:rsid w:val="004D06C6"/>
    <w:rsid w:val="004D0B49"/>
    <w:rsid w:val="004D0CAD"/>
    <w:rsid w:val="004D0CF8"/>
    <w:rsid w:val="004D0E2A"/>
    <w:rsid w:val="004D1210"/>
    <w:rsid w:val="004D1239"/>
    <w:rsid w:val="004D13E2"/>
    <w:rsid w:val="004D17C5"/>
    <w:rsid w:val="004D19EC"/>
    <w:rsid w:val="004D1A77"/>
    <w:rsid w:val="004D1B14"/>
    <w:rsid w:val="004D1E32"/>
    <w:rsid w:val="004D21DB"/>
    <w:rsid w:val="004D2576"/>
    <w:rsid w:val="004D2868"/>
    <w:rsid w:val="004D2872"/>
    <w:rsid w:val="004D2A78"/>
    <w:rsid w:val="004D2B67"/>
    <w:rsid w:val="004D2E4C"/>
    <w:rsid w:val="004D34CA"/>
    <w:rsid w:val="004D354D"/>
    <w:rsid w:val="004D3D00"/>
    <w:rsid w:val="004D3D68"/>
    <w:rsid w:val="004D3D6B"/>
    <w:rsid w:val="004D3E57"/>
    <w:rsid w:val="004D4013"/>
    <w:rsid w:val="004D427B"/>
    <w:rsid w:val="004D459F"/>
    <w:rsid w:val="004D46BB"/>
    <w:rsid w:val="004D47C7"/>
    <w:rsid w:val="004D4D65"/>
    <w:rsid w:val="004D4D7A"/>
    <w:rsid w:val="004D4E4A"/>
    <w:rsid w:val="004D5070"/>
    <w:rsid w:val="004D5140"/>
    <w:rsid w:val="004D5188"/>
    <w:rsid w:val="004D5247"/>
    <w:rsid w:val="004D5768"/>
    <w:rsid w:val="004D5781"/>
    <w:rsid w:val="004D5803"/>
    <w:rsid w:val="004D58A7"/>
    <w:rsid w:val="004D5B4E"/>
    <w:rsid w:val="004D5D88"/>
    <w:rsid w:val="004D5E0B"/>
    <w:rsid w:val="004D5F8B"/>
    <w:rsid w:val="004D6021"/>
    <w:rsid w:val="004D615F"/>
    <w:rsid w:val="004D67C2"/>
    <w:rsid w:val="004D68D4"/>
    <w:rsid w:val="004D6905"/>
    <w:rsid w:val="004D6EC6"/>
    <w:rsid w:val="004D731F"/>
    <w:rsid w:val="004D75ED"/>
    <w:rsid w:val="004D77E0"/>
    <w:rsid w:val="004D7984"/>
    <w:rsid w:val="004D7F37"/>
    <w:rsid w:val="004E03B3"/>
    <w:rsid w:val="004E03D3"/>
    <w:rsid w:val="004E04D2"/>
    <w:rsid w:val="004E0504"/>
    <w:rsid w:val="004E0578"/>
    <w:rsid w:val="004E0644"/>
    <w:rsid w:val="004E0882"/>
    <w:rsid w:val="004E088A"/>
    <w:rsid w:val="004E0A0F"/>
    <w:rsid w:val="004E0A9A"/>
    <w:rsid w:val="004E0A9F"/>
    <w:rsid w:val="004E0B90"/>
    <w:rsid w:val="004E0EFA"/>
    <w:rsid w:val="004E0F83"/>
    <w:rsid w:val="004E14F5"/>
    <w:rsid w:val="004E1783"/>
    <w:rsid w:val="004E18AD"/>
    <w:rsid w:val="004E1DBA"/>
    <w:rsid w:val="004E1DC4"/>
    <w:rsid w:val="004E1E02"/>
    <w:rsid w:val="004E2279"/>
    <w:rsid w:val="004E23A6"/>
    <w:rsid w:val="004E24C2"/>
    <w:rsid w:val="004E251C"/>
    <w:rsid w:val="004E26C8"/>
    <w:rsid w:val="004E27E4"/>
    <w:rsid w:val="004E2D49"/>
    <w:rsid w:val="004E2D57"/>
    <w:rsid w:val="004E2D97"/>
    <w:rsid w:val="004E3024"/>
    <w:rsid w:val="004E323A"/>
    <w:rsid w:val="004E3275"/>
    <w:rsid w:val="004E32EA"/>
    <w:rsid w:val="004E32F9"/>
    <w:rsid w:val="004E3934"/>
    <w:rsid w:val="004E41E6"/>
    <w:rsid w:val="004E434B"/>
    <w:rsid w:val="004E4534"/>
    <w:rsid w:val="004E47FA"/>
    <w:rsid w:val="004E48A4"/>
    <w:rsid w:val="004E4971"/>
    <w:rsid w:val="004E4FD8"/>
    <w:rsid w:val="004E5965"/>
    <w:rsid w:val="004E5AE1"/>
    <w:rsid w:val="004E5BEB"/>
    <w:rsid w:val="004E5C45"/>
    <w:rsid w:val="004E5CD6"/>
    <w:rsid w:val="004E5F0E"/>
    <w:rsid w:val="004E60D0"/>
    <w:rsid w:val="004E6588"/>
    <w:rsid w:val="004E65E9"/>
    <w:rsid w:val="004E6A67"/>
    <w:rsid w:val="004E7100"/>
    <w:rsid w:val="004E7162"/>
    <w:rsid w:val="004E746C"/>
    <w:rsid w:val="004E759B"/>
    <w:rsid w:val="004E7817"/>
    <w:rsid w:val="004E78C2"/>
    <w:rsid w:val="004E7A55"/>
    <w:rsid w:val="004E7AE4"/>
    <w:rsid w:val="004E7BB7"/>
    <w:rsid w:val="004E7BED"/>
    <w:rsid w:val="004E7D2D"/>
    <w:rsid w:val="004E7E56"/>
    <w:rsid w:val="004E7E60"/>
    <w:rsid w:val="004E7E8D"/>
    <w:rsid w:val="004F045C"/>
    <w:rsid w:val="004F05C5"/>
    <w:rsid w:val="004F0650"/>
    <w:rsid w:val="004F0816"/>
    <w:rsid w:val="004F098D"/>
    <w:rsid w:val="004F0FA2"/>
    <w:rsid w:val="004F1076"/>
    <w:rsid w:val="004F13DF"/>
    <w:rsid w:val="004F176C"/>
    <w:rsid w:val="004F1AC3"/>
    <w:rsid w:val="004F1AE6"/>
    <w:rsid w:val="004F1B3C"/>
    <w:rsid w:val="004F1C3C"/>
    <w:rsid w:val="004F1D8F"/>
    <w:rsid w:val="004F1FA1"/>
    <w:rsid w:val="004F200F"/>
    <w:rsid w:val="004F2035"/>
    <w:rsid w:val="004F20CA"/>
    <w:rsid w:val="004F20FB"/>
    <w:rsid w:val="004F21EC"/>
    <w:rsid w:val="004F2241"/>
    <w:rsid w:val="004F230B"/>
    <w:rsid w:val="004F23B0"/>
    <w:rsid w:val="004F242E"/>
    <w:rsid w:val="004F24AB"/>
    <w:rsid w:val="004F2617"/>
    <w:rsid w:val="004F26F2"/>
    <w:rsid w:val="004F28CC"/>
    <w:rsid w:val="004F29BD"/>
    <w:rsid w:val="004F29C0"/>
    <w:rsid w:val="004F2BB1"/>
    <w:rsid w:val="004F2D38"/>
    <w:rsid w:val="004F2E45"/>
    <w:rsid w:val="004F2F98"/>
    <w:rsid w:val="004F34E3"/>
    <w:rsid w:val="004F3639"/>
    <w:rsid w:val="004F395A"/>
    <w:rsid w:val="004F3A0C"/>
    <w:rsid w:val="004F3B0F"/>
    <w:rsid w:val="004F3DD3"/>
    <w:rsid w:val="004F3F36"/>
    <w:rsid w:val="004F407C"/>
    <w:rsid w:val="004F4373"/>
    <w:rsid w:val="004F445F"/>
    <w:rsid w:val="004F44F3"/>
    <w:rsid w:val="004F4B51"/>
    <w:rsid w:val="004F4D0C"/>
    <w:rsid w:val="004F4DE6"/>
    <w:rsid w:val="004F4ED1"/>
    <w:rsid w:val="004F5040"/>
    <w:rsid w:val="004F52A5"/>
    <w:rsid w:val="004F542C"/>
    <w:rsid w:val="004F56B2"/>
    <w:rsid w:val="004F5750"/>
    <w:rsid w:val="004F57C2"/>
    <w:rsid w:val="004F5C7D"/>
    <w:rsid w:val="004F614F"/>
    <w:rsid w:val="004F6674"/>
    <w:rsid w:val="004F67AC"/>
    <w:rsid w:val="004F695A"/>
    <w:rsid w:val="004F6AE1"/>
    <w:rsid w:val="004F6C2E"/>
    <w:rsid w:val="004F6F6B"/>
    <w:rsid w:val="004F7102"/>
    <w:rsid w:val="004F7179"/>
    <w:rsid w:val="004F7270"/>
    <w:rsid w:val="004F72E7"/>
    <w:rsid w:val="004F75A7"/>
    <w:rsid w:val="004F76AB"/>
    <w:rsid w:val="004F77B6"/>
    <w:rsid w:val="004F77D7"/>
    <w:rsid w:val="004F7815"/>
    <w:rsid w:val="004F787E"/>
    <w:rsid w:val="004F7C30"/>
    <w:rsid w:val="004F7CBF"/>
    <w:rsid w:val="004F7F1E"/>
    <w:rsid w:val="00500270"/>
    <w:rsid w:val="00500481"/>
    <w:rsid w:val="005005A8"/>
    <w:rsid w:val="00500A64"/>
    <w:rsid w:val="00500B68"/>
    <w:rsid w:val="00500B83"/>
    <w:rsid w:val="00500BEC"/>
    <w:rsid w:val="00500C8B"/>
    <w:rsid w:val="00500CB6"/>
    <w:rsid w:val="00501250"/>
    <w:rsid w:val="005016A1"/>
    <w:rsid w:val="00501908"/>
    <w:rsid w:val="00501A80"/>
    <w:rsid w:val="00501B5D"/>
    <w:rsid w:val="00501F78"/>
    <w:rsid w:val="0050218C"/>
    <w:rsid w:val="005023C2"/>
    <w:rsid w:val="0050246C"/>
    <w:rsid w:val="005024CB"/>
    <w:rsid w:val="005027D2"/>
    <w:rsid w:val="00502CB5"/>
    <w:rsid w:val="00502CEB"/>
    <w:rsid w:val="00502D44"/>
    <w:rsid w:val="00502DF7"/>
    <w:rsid w:val="00502FA4"/>
    <w:rsid w:val="00503055"/>
    <w:rsid w:val="00503315"/>
    <w:rsid w:val="0050333C"/>
    <w:rsid w:val="005033C4"/>
    <w:rsid w:val="0050343A"/>
    <w:rsid w:val="00503887"/>
    <w:rsid w:val="005038DA"/>
    <w:rsid w:val="00503BB4"/>
    <w:rsid w:val="00503BEA"/>
    <w:rsid w:val="00503C2E"/>
    <w:rsid w:val="00503DCA"/>
    <w:rsid w:val="00503F9F"/>
    <w:rsid w:val="00504091"/>
    <w:rsid w:val="00504106"/>
    <w:rsid w:val="005044C2"/>
    <w:rsid w:val="005044D6"/>
    <w:rsid w:val="00504608"/>
    <w:rsid w:val="005047E6"/>
    <w:rsid w:val="0050490A"/>
    <w:rsid w:val="00504AAD"/>
    <w:rsid w:val="00504C74"/>
    <w:rsid w:val="00504C98"/>
    <w:rsid w:val="00504D60"/>
    <w:rsid w:val="0050544A"/>
    <w:rsid w:val="0050593B"/>
    <w:rsid w:val="00505973"/>
    <w:rsid w:val="00505CBC"/>
    <w:rsid w:val="00505F47"/>
    <w:rsid w:val="00506283"/>
    <w:rsid w:val="005064BA"/>
    <w:rsid w:val="005066D2"/>
    <w:rsid w:val="00506C03"/>
    <w:rsid w:val="00506FC4"/>
    <w:rsid w:val="005070D9"/>
    <w:rsid w:val="005075DE"/>
    <w:rsid w:val="005077BC"/>
    <w:rsid w:val="005077DE"/>
    <w:rsid w:val="0050787F"/>
    <w:rsid w:val="00507887"/>
    <w:rsid w:val="0050788D"/>
    <w:rsid w:val="00507B68"/>
    <w:rsid w:val="005102B6"/>
    <w:rsid w:val="00510521"/>
    <w:rsid w:val="005105ED"/>
    <w:rsid w:val="005109BE"/>
    <w:rsid w:val="00510AE1"/>
    <w:rsid w:val="00510B5B"/>
    <w:rsid w:val="00510EB3"/>
    <w:rsid w:val="00510F1D"/>
    <w:rsid w:val="0051111E"/>
    <w:rsid w:val="0051117D"/>
    <w:rsid w:val="005111F0"/>
    <w:rsid w:val="00511257"/>
    <w:rsid w:val="005113CD"/>
    <w:rsid w:val="00511455"/>
    <w:rsid w:val="005117AB"/>
    <w:rsid w:val="00511F4E"/>
    <w:rsid w:val="00511F7E"/>
    <w:rsid w:val="005122B8"/>
    <w:rsid w:val="00512465"/>
    <w:rsid w:val="005126A1"/>
    <w:rsid w:val="00512A32"/>
    <w:rsid w:val="00512B26"/>
    <w:rsid w:val="00512CD9"/>
    <w:rsid w:val="00513090"/>
    <w:rsid w:val="00513118"/>
    <w:rsid w:val="0051312E"/>
    <w:rsid w:val="00513781"/>
    <w:rsid w:val="005138DA"/>
    <w:rsid w:val="00513969"/>
    <w:rsid w:val="00513B85"/>
    <w:rsid w:val="00513EA2"/>
    <w:rsid w:val="00513EDD"/>
    <w:rsid w:val="00513FF9"/>
    <w:rsid w:val="00514626"/>
    <w:rsid w:val="00514B3E"/>
    <w:rsid w:val="00514BAF"/>
    <w:rsid w:val="00514BCD"/>
    <w:rsid w:val="00514ED8"/>
    <w:rsid w:val="00514F87"/>
    <w:rsid w:val="00515026"/>
    <w:rsid w:val="00515085"/>
    <w:rsid w:val="00515211"/>
    <w:rsid w:val="005152B1"/>
    <w:rsid w:val="00515471"/>
    <w:rsid w:val="00515763"/>
    <w:rsid w:val="00515AE9"/>
    <w:rsid w:val="00515B5D"/>
    <w:rsid w:val="005163BF"/>
    <w:rsid w:val="00516494"/>
    <w:rsid w:val="005164FB"/>
    <w:rsid w:val="005168AE"/>
    <w:rsid w:val="00516BA6"/>
    <w:rsid w:val="005173CA"/>
    <w:rsid w:val="005173E6"/>
    <w:rsid w:val="005175A3"/>
    <w:rsid w:val="0051794A"/>
    <w:rsid w:val="00517BF1"/>
    <w:rsid w:val="0052002C"/>
    <w:rsid w:val="00520052"/>
    <w:rsid w:val="0052040A"/>
    <w:rsid w:val="0052070D"/>
    <w:rsid w:val="005207F1"/>
    <w:rsid w:val="005207F4"/>
    <w:rsid w:val="00520AC7"/>
    <w:rsid w:val="00520CA8"/>
    <w:rsid w:val="00520CB9"/>
    <w:rsid w:val="00520EC5"/>
    <w:rsid w:val="00521223"/>
    <w:rsid w:val="00521284"/>
    <w:rsid w:val="005213B8"/>
    <w:rsid w:val="005214AD"/>
    <w:rsid w:val="0052155B"/>
    <w:rsid w:val="005219B5"/>
    <w:rsid w:val="00521C0A"/>
    <w:rsid w:val="00522317"/>
    <w:rsid w:val="00522F80"/>
    <w:rsid w:val="005230A0"/>
    <w:rsid w:val="00523179"/>
    <w:rsid w:val="005232D3"/>
    <w:rsid w:val="0052330F"/>
    <w:rsid w:val="00523396"/>
    <w:rsid w:val="0052342D"/>
    <w:rsid w:val="0052343E"/>
    <w:rsid w:val="005234CB"/>
    <w:rsid w:val="005234FA"/>
    <w:rsid w:val="0052381C"/>
    <w:rsid w:val="005238EF"/>
    <w:rsid w:val="00523C06"/>
    <w:rsid w:val="00523F56"/>
    <w:rsid w:val="00523F62"/>
    <w:rsid w:val="00523FCD"/>
    <w:rsid w:val="00524216"/>
    <w:rsid w:val="005243F7"/>
    <w:rsid w:val="00524515"/>
    <w:rsid w:val="00524656"/>
    <w:rsid w:val="0052486F"/>
    <w:rsid w:val="00524972"/>
    <w:rsid w:val="00524AC0"/>
    <w:rsid w:val="00524EF3"/>
    <w:rsid w:val="005250F4"/>
    <w:rsid w:val="005252ED"/>
    <w:rsid w:val="005254A8"/>
    <w:rsid w:val="00525506"/>
    <w:rsid w:val="005256BB"/>
    <w:rsid w:val="005257E1"/>
    <w:rsid w:val="005257EE"/>
    <w:rsid w:val="00525855"/>
    <w:rsid w:val="0052593D"/>
    <w:rsid w:val="005259E7"/>
    <w:rsid w:val="00525AFC"/>
    <w:rsid w:val="00525C61"/>
    <w:rsid w:val="00525E21"/>
    <w:rsid w:val="00526043"/>
    <w:rsid w:val="005261D3"/>
    <w:rsid w:val="00526277"/>
    <w:rsid w:val="005262A4"/>
    <w:rsid w:val="00526401"/>
    <w:rsid w:val="0052659F"/>
    <w:rsid w:val="0052667F"/>
    <w:rsid w:val="005267C8"/>
    <w:rsid w:val="00526978"/>
    <w:rsid w:val="00526A42"/>
    <w:rsid w:val="00526ABC"/>
    <w:rsid w:val="00526CDB"/>
    <w:rsid w:val="00526FF5"/>
    <w:rsid w:val="005271F0"/>
    <w:rsid w:val="00527289"/>
    <w:rsid w:val="0052734B"/>
    <w:rsid w:val="00527DF4"/>
    <w:rsid w:val="00527FEE"/>
    <w:rsid w:val="005300F2"/>
    <w:rsid w:val="00530133"/>
    <w:rsid w:val="005301C6"/>
    <w:rsid w:val="0053032A"/>
    <w:rsid w:val="005304E9"/>
    <w:rsid w:val="00530673"/>
    <w:rsid w:val="005306FC"/>
    <w:rsid w:val="0053086C"/>
    <w:rsid w:val="00530AFE"/>
    <w:rsid w:val="00530CE4"/>
    <w:rsid w:val="00530D42"/>
    <w:rsid w:val="00530FA2"/>
    <w:rsid w:val="00531425"/>
    <w:rsid w:val="0053160B"/>
    <w:rsid w:val="0053163E"/>
    <w:rsid w:val="005319F8"/>
    <w:rsid w:val="00531D8D"/>
    <w:rsid w:val="00531DF4"/>
    <w:rsid w:val="00531F69"/>
    <w:rsid w:val="00532110"/>
    <w:rsid w:val="0053219A"/>
    <w:rsid w:val="00532256"/>
    <w:rsid w:val="005322F9"/>
    <w:rsid w:val="005323CD"/>
    <w:rsid w:val="005329F4"/>
    <w:rsid w:val="00532E8D"/>
    <w:rsid w:val="00533742"/>
    <w:rsid w:val="00533764"/>
    <w:rsid w:val="00533787"/>
    <w:rsid w:val="005337C4"/>
    <w:rsid w:val="005337D2"/>
    <w:rsid w:val="005339FB"/>
    <w:rsid w:val="0053420F"/>
    <w:rsid w:val="005348A7"/>
    <w:rsid w:val="005348F0"/>
    <w:rsid w:val="00534B61"/>
    <w:rsid w:val="00534F7E"/>
    <w:rsid w:val="00535038"/>
    <w:rsid w:val="00535365"/>
    <w:rsid w:val="00535506"/>
    <w:rsid w:val="00535572"/>
    <w:rsid w:val="00535CAF"/>
    <w:rsid w:val="00535CBA"/>
    <w:rsid w:val="00535D44"/>
    <w:rsid w:val="00535E28"/>
    <w:rsid w:val="00536178"/>
    <w:rsid w:val="00536210"/>
    <w:rsid w:val="005366DD"/>
    <w:rsid w:val="00536755"/>
    <w:rsid w:val="005367B0"/>
    <w:rsid w:val="005367FA"/>
    <w:rsid w:val="00536854"/>
    <w:rsid w:val="00536870"/>
    <w:rsid w:val="00536B01"/>
    <w:rsid w:val="00536CFB"/>
    <w:rsid w:val="00536ECD"/>
    <w:rsid w:val="00536EF1"/>
    <w:rsid w:val="00537337"/>
    <w:rsid w:val="0053743D"/>
    <w:rsid w:val="0053765A"/>
    <w:rsid w:val="0053791D"/>
    <w:rsid w:val="00537D0B"/>
    <w:rsid w:val="00537D26"/>
    <w:rsid w:val="00537F29"/>
    <w:rsid w:val="00537FE0"/>
    <w:rsid w:val="00540126"/>
    <w:rsid w:val="005402D5"/>
    <w:rsid w:val="00540573"/>
    <w:rsid w:val="00540585"/>
    <w:rsid w:val="005406C3"/>
    <w:rsid w:val="0054072E"/>
    <w:rsid w:val="00540839"/>
    <w:rsid w:val="00540958"/>
    <w:rsid w:val="00540AF9"/>
    <w:rsid w:val="00540BD5"/>
    <w:rsid w:val="00540F6B"/>
    <w:rsid w:val="00541143"/>
    <w:rsid w:val="00541294"/>
    <w:rsid w:val="0054129E"/>
    <w:rsid w:val="0054135D"/>
    <w:rsid w:val="00541423"/>
    <w:rsid w:val="00541AE4"/>
    <w:rsid w:val="00541BE7"/>
    <w:rsid w:val="00541C99"/>
    <w:rsid w:val="00541E67"/>
    <w:rsid w:val="00541E70"/>
    <w:rsid w:val="00541F3A"/>
    <w:rsid w:val="0054202A"/>
    <w:rsid w:val="00542341"/>
    <w:rsid w:val="00542347"/>
    <w:rsid w:val="0054253B"/>
    <w:rsid w:val="00542C9C"/>
    <w:rsid w:val="005432CC"/>
    <w:rsid w:val="00543446"/>
    <w:rsid w:val="0054345C"/>
    <w:rsid w:val="00543795"/>
    <w:rsid w:val="0054386C"/>
    <w:rsid w:val="00543C71"/>
    <w:rsid w:val="00543EE4"/>
    <w:rsid w:val="0054410A"/>
    <w:rsid w:val="005441B0"/>
    <w:rsid w:val="005441F5"/>
    <w:rsid w:val="005441FD"/>
    <w:rsid w:val="00544210"/>
    <w:rsid w:val="00544257"/>
    <w:rsid w:val="00544540"/>
    <w:rsid w:val="00544715"/>
    <w:rsid w:val="005447B4"/>
    <w:rsid w:val="005447E7"/>
    <w:rsid w:val="00544928"/>
    <w:rsid w:val="00544C4D"/>
    <w:rsid w:val="00544D49"/>
    <w:rsid w:val="00544E67"/>
    <w:rsid w:val="00544FF0"/>
    <w:rsid w:val="0054500A"/>
    <w:rsid w:val="005450D1"/>
    <w:rsid w:val="00545550"/>
    <w:rsid w:val="00545691"/>
    <w:rsid w:val="005458A0"/>
    <w:rsid w:val="005458ED"/>
    <w:rsid w:val="00545AB0"/>
    <w:rsid w:val="00545E86"/>
    <w:rsid w:val="00546083"/>
    <w:rsid w:val="00546700"/>
    <w:rsid w:val="00546730"/>
    <w:rsid w:val="0054706B"/>
    <w:rsid w:val="005471D4"/>
    <w:rsid w:val="0054733F"/>
    <w:rsid w:val="00547470"/>
    <w:rsid w:val="005476F2"/>
    <w:rsid w:val="00547A73"/>
    <w:rsid w:val="00547C2A"/>
    <w:rsid w:val="00547DAE"/>
    <w:rsid w:val="00547EA1"/>
    <w:rsid w:val="00547F62"/>
    <w:rsid w:val="005500CF"/>
    <w:rsid w:val="00550373"/>
    <w:rsid w:val="00550569"/>
    <w:rsid w:val="005506FE"/>
    <w:rsid w:val="0055075F"/>
    <w:rsid w:val="005508F9"/>
    <w:rsid w:val="00550C81"/>
    <w:rsid w:val="00550CB0"/>
    <w:rsid w:val="00550CE2"/>
    <w:rsid w:val="00551003"/>
    <w:rsid w:val="005511E7"/>
    <w:rsid w:val="00551322"/>
    <w:rsid w:val="00551BB6"/>
    <w:rsid w:val="00551D2C"/>
    <w:rsid w:val="00551E0B"/>
    <w:rsid w:val="00551F0B"/>
    <w:rsid w:val="00551FAD"/>
    <w:rsid w:val="00552215"/>
    <w:rsid w:val="00552CF9"/>
    <w:rsid w:val="00552EE9"/>
    <w:rsid w:val="005531E0"/>
    <w:rsid w:val="005532C2"/>
    <w:rsid w:val="005532D0"/>
    <w:rsid w:val="0055354F"/>
    <w:rsid w:val="00553633"/>
    <w:rsid w:val="005538DA"/>
    <w:rsid w:val="00553C3C"/>
    <w:rsid w:val="0055416D"/>
    <w:rsid w:val="005542DA"/>
    <w:rsid w:val="005542F3"/>
    <w:rsid w:val="00554537"/>
    <w:rsid w:val="005545CC"/>
    <w:rsid w:val="0055467E"/>
    <w:rsid w:val="00554714"/>
    <w:rsid w:val="005547C2"/>
    <w:rsid w:val="00554CD9"/>
    <w:rsid w:val="00554D5D"/>
    <w:rsid w:val="00554E75"/>
    <w:rsid w:val="0055526A"/>
    <w:rsid w:val="0055530C"/>
    <w:rsid w:val="005557C0"/>
    <w:rsid w:val="00555C70"/>
    <w:rsid w:val="00555C8E"/>
    <w:rsid w:val="00555D9A"/>
    <w:rsid w:val="00555FB6"/>
    <w:rsid w:val="00556098"/>
    <w:rsid w:val="00556116"/>
    <w:rsid w:val="0055620B"/>
    <w:rsid w:val="00556525"/>
    <w:rsid w:val="00556589"/>
    <w:rsid w:val="005565FB"/>
    <w:rsid w:val="00556887"/>
    <w:rsid w:val="005568A7"/>
    <w:rsid w:val="00556900"/>
    <w:rsid w:val="00556A27"/>
    <w:rsid w:val="00556CA3"/>
    <w:rsid w:val="00556DB3"/>
    <w:rsid w:val="005572B3"/>
    <w:rsid w:val="00557349"/>
    <w:rsid w:val="00557385"/>
    <w:rsid w:val="00557414"/>
    <w:rsid w:val="005574AF"/>
    <w:rsid w:val="005574BD"/>
    <w:rsid w:val="0055753E"/>
    <w:rsid w:val="00557557"/>
    <w:rsid w:val="00557A41"/>
    <w:rsid w:val="00557E9B"/>
    <w:rsid w:val="00560081"/>
    <w:rsid w:val="00560099"/>
    <w:rsid w:val="00560A86"/>
    <w:rsid w:val="00560ACF"/>
    <w:rsid w:val="00560CE4"/>
    <w:rsid w:val="00560CF9"/>
    <w:rsid w:val="00561012"/>
    <w:rsid w:val="005615BC"/>
    <w:rsid w:val="005615BD"/>
    <w:rsid w:val="005615E0"/>
    <w:rsid w:val="005616EF"/>
    <w:rsid w:val="00561911"/>
    <w:rsid w:val="00561967"/>
    <w:rsid w:val="00561E28"/>
    <w:rsid w:val="00561F3C"/>
    <w:rsid w:val="00562012"/>
    <w:rsid w:val="005624BD"/>
    <w:rsid w:val="0056279E"/>
    <w:rsid w:val="00562820"/>
    <w:rsid w:val="00562840"/>
    <w:rsid w:val="005628EF"/>
    <w:rsid w:val="00562994"/>
    <w:rsid w:val="00562F3D"/>
    <w:rsid w:val="00562FAA"/>
    <w:rsid w:val="00562FBA"/>
    <w:rsid w:val="005630C7"/>
    <w:rsid w:val="00563673"/>
    <w:rsid w:val="0056370D"/>
    <w:rsid w:val="00563A49"/>
    <w:rsid w:val="00563AB1"/>
    <w:rsid w:val="00563D89"/>
    <w:rsid w:val="00563F02"/>
    <w:rsid w:val="00564018"/>
    <w:rsid w:val="0056413A"/>
    <w:rsid w:val="0056421D"/>
    <w:rsid w:val="00564275"/>
    <w:rsid w:val="00564383"/>
    <w:rsid w:val="00564542"/>
    <w:rsid w:val="005646F6"/>
    <w:rsid w:val="00564A5F"/>
    <w:rsid w:val="005652AF"/>
    <w:rsid w:val="005652B7"/>
    <w:rsid w:val="00565344"/>
    <w:rsid w:val="00565690"/>
    <w:rsid w:val="005657D1"/>
    <w:rsid w:val="005657F4"/>
    <w:rsid w:val="0056583F"/>
    <w:rsid w:val="00565AB8"/>
    <w:rsid w:val="005662DA"/>
    <w:rsid w:val="00566511"/>
    <w:rsid w:val="00566B33"/>
    <w:rsid w:val="00566F4F"/>
    <w:rsid w:val="00567294"/>
    <w:rsid w:val="00567556"/>
    <w:rsid w:val="0056781D"/>
    <w:rsid w:val="0056788C"/>
    <w:rsid w:val="00567C39"/>
    <w:rsid w:val="00567E35"/>
    <w:rsid w:val="00567F9B"/>
    <w:rsid w:val="00570286"/>
    <w:rsid w:val="005703E9"/>
    <w:rsid w:val="0057061D"/>
    <w:rsid w:val="0057075C"/>
    <w:rsid w:val="00570A3B"/>
    <w:rsid w:val="00570C0E"/>
    <w:rsid w:val="00570EE4"/>
    <w:rsid w:val="00570F1A"/>
    <w:rsid w:val="00571127"/>
    <w:rsid w:val="0057134E"/>
    <w:rsid w:val="00571362"/>
    <w:rsid w:val="005714CF"/>
    <w:rsid w:val="005714E5"/>
    <w:rsid w:val="00571679"/>
    <w:rsid w:val="00571C8F"/>
    <w:rsid w:val="00571FE2"/>
    <w:rsid w:val="005720A2"/>
    <w:rsid w:val="00572374"/>
    <w:rsid w:val="0057259C"/>
    <w:rsid w:val="00572727"/>
    <w:rsid w:val="00572931"/>
    <w:rsid w:val="00572B80"/>
    <w:rsid w:val="00572BD4"/>
    <w:rsid w:val="00572D84"/>
    <w:rsid w:val="005730CA"/>
    <w:rsid w:val="00573353"/>
    <w:rsid w:val="00573609"/>
    <w:rsid w:val="005736AE"/>
    <w:rsid w:val="00573701"/>
    <w:rsid w:val="0057402B"/>
    <w:rsid w:val="0057420E"/>
    <w:rsid w:val="00574214"/>
    <w:rsid w:val="005743FD"/>
    <w:rsid w:val="00574472"/>
    <w:rsid w:val="00574503"/>
    <w:rsid w:val="00574764"/>
    <w:rsid w:val="0057488A"/>
    <w:rsid w:val="00574C19"/>
    <w:rsid w:val="00574FF8"/>
    <w:rsid w:val="00575051"/>
    <w:rsid w:val="00575144"/>
    <w:rsid w:val="00575181"/>
    <w:rsid w:val="0057531F"/>
    <w:rsid w:val="00575413"/>
    <w:rsid w:val="0057541F"/>
    <w:rsid w:val="005755DE"/>
    <w:rsid w:val="00575947"/>
    <w:rsid w:val="00575B35"/>
    <w:rsid w:val="00575BBE"/>
    <w:rsid w:val="00575DFA"/>
    <w:rsid w:val="00575E1C"/>
    <w:rsid w:val="00575F79"/>
    <w:rsid w:val="00576047"/>
    <w:rsid w:val="00576078"/>
    <w:rsid w:val="00576399"/>
    <w:rsid w:val="005764B4"/>
    <w:rsid w:val="00576555"/>
    <w:rsid w:val="0057667C"/>
    <w:rsid w:val="00576AAD"/>
    <w:rsid w:val="00576DBA"/>
    <w:rsid w:val="00576ED1"/>
    <w:rsid w:val="005770A9"/>
    <w:rsid w:val="005775F4"/>
    <w:rsid w:val="005776D8"/>
    <w:rsid w:val="00577ADE"/>
    <w:rsid w:val="00577C2B"/>
    <w:rsid w:val="00577EE0"/>
    <w:rsid w:val="005804A8"/>
    <w:rsid w:val="005804D9"/>
    <w:rsid w:val="00580812"/>
    <w:rsid w:val="005808E9"/>
    <w:rsid w:val="00580B3E"/>
    <w:rsid w:val="00580B76"/>
    <w:rsid w:val="00580D5A"/>
    <w:rsid w:val="00580D85"/>
    <w:rsid w:val="00580F7E"/>
    <w:rsid w:val="00581586"/>
    <w:rsid w:val="005817AD"/>
    <w:rsid w:val="00581949"/>
    <w:rsid w:val="005819FB"/>
    <w:rsid w:val="00581B08"/>
    <w:rsid w:val="00581E3F"/>
    <w:rsid w:val="00581EC3"/>
    <w:rsid w:val="00582296"/>
    <w:rsid w:val="0058249C"/>
    <w:rsid w:val="005824EC"/>
    <w:rsid w:val="0058269C"/>
    <w:rsid w:val="005828F7"/>
    <w:rsid w:val="00582B71"/>
    <w:rsid w:val="00582D03"/>
    <w:rsid w:val="005834E9"/>
    <w:rsid w:val="00583574"/>
    <w:rsid w:val="0058358D"/>
    <w:rsid w:val="0058377F"/>
    <w:rsid w:val="00583AFB"/>
    <w:rsid w:val="00583B2F"/>
    <w:rsid w:val="00583B45"/>
    <w:rsid w:val="00583BFF"/>
    <w:rsid w:val="00583C4E"/>
    <w:rsid w:val="00583FC3"/>
    <w:rsid w:val="0058426E"/>
    <w:rsid w:val="005843F9"/>
    <w:rsid w:val="00584491"/>
    <w:rsid w:val="005844EA"/>
    <w:rsid w:val="0058489D"/>
    <w:rsid w:val="00584914"/>
    <w:rsid w:val="0058498D"/>
    <w:rsid w:val="00584A98"/>
    <w:rsid w:val="00584E9D"/>
    <w:rsid w:val="005850D2"/>
    <w:rsid w:val="00585254"/>
    <w:rsid w:val="00585285"/>
    <w:rsid w:val="00585393"/>
    <w:rsid w:val="005853E7"/>
    <w:rsid w:val="0058540A"/>
    <w:rsid w:val="0058547D"/>
    <w:rsid w:val="00585632"/>
    <w:rsid w:val="0058592D"/>
    <w:rsid w:val="00586060"/>
    <w:rsid w:val="00586214"/>
    <w:rsid w:val="00586240"/>
    <w:rsid w:val="00586451"/>
    <w:rsid w:val="0058647F"/>
    <w:rsid w:val="00586750"/>
    <w:rsid w:val="0058697A"/>
    <w:rsid w:val="00586AA0"/>
    <w:rsid w:val="00586DFC"/>
    <w:rsid w:val="005870B1"/>
    <w:rsid w:val="0058728D"/>
    <w:rsid w:val="00587344"/>
    <w:rsid w:val="005873EE"/>
    <w:rsid w:val="0058741B"/>
    <w:rsid w:val="0058765A"/>
    <w:rsid w:val="00587917"/>
    <w:rsid w:val="00587CBF"/>
    <w:rsid w:val="00587FF2"/>
    <w:rsid w:val="00590079"/>
    <w:rsid w:val="005903A0"/>
    <w:rsid w:val="00590FCC"/>
    <w:rsid w:val="00591120"/>
    <w:rsid w:val="0059127E"/>
    <w:rsid w:val="00591D7C"/>
    <w:rsid w:val="00591EA5"/>
    <w:rsid w:val="00592640"/>
    <w:rsid w:val="0059266C"/>
    <w:rsid w:val="00592692"/>
    <w:rsid w:val="00592851"/>
    <w:rsid w:val="005929FB"/>
    <w:rsid w:val="00592B49"/>
    <w:rsid w:val="00592C39"/>
    <w:rsid w:val="00592C67"/>
    <w:rsid w:val="00592EFA"/>
    <w:rsid w:val="00592F23"/>
    <w:rsid w:val="00592F2E"/>
    <w:rsid w:val="005930CD"/>
    <w:rsid w:val="005933F5"/>
    <w:rsid w:val="00593641"/>
    <w:rsid w:val="00593B19"/>
    <w:rsid w:val="00593CC6"/>
    <w:rsid w:val="00593E26"/>
    <w:rsid w:val="00593EED"/>
    <w:rsid w:val="005943A8"/>
    <w:rsid w:val="00594795"/>
    <w:rsid w:val="00594889"/>
    <w:rsid w:val="0059494E"/>
    <w:rsid w:val="005949F1"/>
    <w:rsid w:val="00594A54"/>
    <w:rsid w:val="00594B22"/>
    <w:rsid w:val="00594B37"/>
    <w:rsid w:val="00594B9E"/>
    <w:rsid w:val="00594BF5"/>
    <w:rsid w:val="00594D5D"/>
    <w:rsid w:val="00594DC0"/>
    <w:rsid w:val="005953A7"/>
    <w:rsid w:val="00595AA1"/>
    <w:rsid w:val="00595EFE"/>
    <w:rsid w:val="005960FF"/>
    <w:rsid w:val="005967FE"/>
    <w:rsid w:val="00596D7A"/>
    <w:rsid w:val="00596DE2"/>
    <w:rsid w:val="00597063"/>
    <w:rsid w:val="005970FF"/>
    <w:rsid w:val="00597143"/>
    <w:rsid w:val="00597385"/>
    <w:rsid w:val="005974BE"/>
    <w:rsid w:val="005976AB"/>
    <w:rsid w:val="005976D6"/>
    <w:rsid w:val="00597A74"/>
    <w:rsid w:val="00597B3C"/>
    <w:rsid w:val="00597E7A"/>
    <w:rsid w:val="00597F20"/>
    <w:rsid w:val="005A0163"/>
    <w:rsid w:val="005A0424"/>
    <w:rsid w:val="005A05D2"/>
    <w:rsid w:val="005A0819"/>
    <w:rsid w:val="005A083E"/>
    <w:rsid w:val="005A0919"/>
    <w:rsid w:val="005A0D4C"/>
    <w:rsid w:val="005A0EA2"/>
    <w:rsid w:val="005A0EE6"/>
    <w:rsid w:val="005A1249"/>
    <w:rsid w:val="005A162F"/>
    <w:rsid w:val="005A184D"/>
    <w:rsid w:val="005A1A01"/>
    <w:rsid w:val="005A1AD2"/>
    <w:rsid w:val="005A1AD5"/>
    <w:rsid w:val="005A1AF6"/>
    <w:rsid w:val="005A1DFB"/>
    <w:rsid w:val="005A1F19"/>
    <w:rsid w:val="005A1F76"/>
    <w:rsid w:val="005A204A"/>
    <w:rsid w:val="005A207A"/>
    <w:rsid w:val="005A20AB"/>
    <w:rsid w:val="005A214C"/>
    <w:rsid w:val="005A266C"/>
    <w:rsid w:val="005A26C7"/>
    <w:rsid w:val="005A2949"/>
    <w:rsid w:val="005A2B2B"/>
    <w:rsid w:val="005A2BB1"/>
    <w:rsid w:val="005A2DC4"/>
    <w:rsid w:val="005A315B"/>
    <w:rsid w:val="005A322A"/>
    <w:rsid w:val="005A3486"/>
    <w:rsid w:val="005A34C9"/>
    <w:rsid w:val="005A3552"/>
    <w:rsid w:val="005A3B13"/>
    <w:rsid w:val="005A3D0B"/>
    <w:rsid w:val="005A3E7E"/>
    <w:rsid w:val="005A42E7"/>
    <w:rsid w:val="005A4468"/>
    <w:rsid w:val="005A4522"/>
    <w:rsid w:val="005A452C"/>
    <w:rsid w:val="005A45F8"/>
    <w:rsid w:val="005A4660"/>
    <w:rsid w:val="005A47A7"/>
    <w:rsid w:val="005A485B"/>
    <w:rsid w:val="005A4B36"/>
    <w:rsid w:val="005A4BF6"/>
    <w:rsid w:val="005A519E"/>
    <w:rsid w:val="005A548A"/>
    <w:rsid w:val="005A553F"/>
    <w:rsid w:val="005A55F6"/>
    <w:rsid w:val="005A580F"/>
    <w:rsid w:val="005A5D4A"/>
    <w:rsid w:val="005A600E"/>
    <w:rsid w:val="005A635A"/>
    <w:rsid w:val="005A63D8"/>
    <w:rsid w:val="005A6432"/>
    <w:rsid w:val="005A677F"/>
    <w:rsid w:val="005A685A"/>
    <w:rsid w:val="005A6D99"/>
    <w:rsid w:val="005A783C"/>
    <w:rsid w:val="005A7BED"/>
    <w:rsid w:val="005A7DD5"/>
    <w:rsid w:val="005A7DEF"/>
    <w:rsid w:val="005A7EAA"/>
    <w:rsid w:val="005A7F46"/>
    <w:rsid w:val="005B0018"/>
    <w:rsid w:val="005B0038"/>
    <w:rsid w:val="005B00DB"/>
    <w:rsid w:val="005B00E4"/>
    <w:rsid w:val="005B040F"/>
    <w:rsid w:val="005B0670"/>
    <w:rsid w:val="005B08B5"/>
    <w:rsid w:val="005B0912"/>
    <w:rsid w:val="005B0960"/>
    <w:rsid w:val="005B09CE"/>
    <w:rsid w:val="005B0CF0"/>
    <w:rsid w:val="005B0D35"/>
    <w:rsid w:val="005B0DCA"/>
    <w:rsid w:val="005B0DDD"/>
    <w:rsid w:val="005B0F93"/>
    <w:rsid w:val="005B12A8"/>
    <w:rsid w:val="005B141E"/>
    <w:rsid w:val="005B16E9"/>
    <w:rsid w:val="005B1861"/>
    <w:rsid w:val="005B189B"/>
    <w:rsid w:val="005B1952"/>
    <w:rsid w:val="005B1A4A"/>
    <w:rsid w:val="005B1B68"/>
    <w:rsid w:val="005B1B8A"/>
    <w:rsid w:val="005B2071"/>
    <w:rsid w:val="005B2522"/>
    <w:rsid w:val="005B29BC"/>
    <w:rsid w:val="005B2E55"/>
    <w:rsid w:val="005B2FF9"/>
    <w:rsid w:val="005B3018"/>
    <w:rsid w:val="005B304F"/>
    <w:rsid w:val="005B32EC"/>
    <w:rsid w:val="005B3408"/>
    <w:rsid w:val="005B3425"/>
    <w:rsid w:val="005B397D"/>
    <w:rsid w:val="005B3BD1"/>
    <w:rsid w:val="005B41A2"/>
    <w:rsid w:val="005B4355"/>
    <w:rsid w:val="005B48DA"/>
    <w:rsid w:val="005B4ABE"/>
    <w:rsid w:val="005B4B0D"/>
    <w:rsid w:val="005B4E18"/>
    <w:rsid w:val="005B4ECB"/>
    <w:rsid w:val="005B51E0"/>
    <w:rsid w:val="005B5214"/>
    <w:rsid w:val="005B5312"/>
    <w:rsid w:val="005B532E"/>
    <w:rsid w:val="005B53CE"/>
    <w:rsid w:val="005B540F"/>
    <w:rsid w:val="005B55D1"/>
    <w:rsid w:val="005B57AA"/>
    <w:rsid w:val="005B5937"/>
    <w:rsid w:val="005B5F39"/>
    <w:rsid w:val="005B6480"/>
    <w:rsid w:val="005B682E"/>
    <w:rsid w:val="005B68E1"/>
    <w:rsid w:val="005B69A4"/>
    <w:rsid w:val="005B6D54"/>
    <w:rsid w:val="005B714D"/>
    <w:rsid w:val="005B71F6"/>
    <w:rsid w:val="005B743C"/>
    <w:rsid w:val="005B74CA"/>
    <w:rsid w:val="005B7545"/>
    <w:rsid w:val="005B76AB"/>
    <w:rsid w:val="005B7961"/>
    <w:rsid w:val="005B7B3B"/>
    <w:rsid w:val="005B7CEB"/>
    <w:rsid w:val="005B7D64"/>
    <w:rsid w:val="005B7E1A"/>
    <w:rsid w:val="005B7F04"/>
    <w:rsid w:val="005C0098"/>
    <w:rsid w:val="005C009C"/>
    <w:rsid w:val="005C04F5"/>
    <w:rsid w:val="005C0897"/>
    <w:rsid w:val="005C08EA"/>
    <w:rsid w:val="005C0A1B"/>
    <w:rsid w:val="005C0D1A"/>
    <w:rsid w:val="005C0DA0"/>
    <w:rsid w:val="005C0FDF"/>
    <w:rsid w:val="005C1165"/>
    <w:rsid w:val="005C130B"/>
    <w:rsid w:val="005C1AE2"/>
    <w:rsid w:val="005C1BFC"/>
    <w:rsid w:val="005C1C81"/>
    <w:rsid w:val="005C1C99"/>
    <w:rsid w:val="005C1E0C"/>
    <w:rsid w:val="005C2441"/>
    <w:rsid w:val="005C24AB"/>
    <w:rsid w:val="005C2531"/>
    <w:rsid w:val="005C2654"/>
    <w:rsid w:val="005C26DC"/>
    <w:rsid w:val="005C2726"/>
    <w:rsid w:val="005C2C30"/>
    <w:rsid w:val="005C2C51"/>
    <w:rsid w:val="005C2E8F"/>
    <w:rsid w:val="005C3041"/>
    <w:rsid w:val="005C31AE"/>
    <w:rsid w:val="005C3322"/>
    <w:rsid w:val="005C3462"/>
    <w:rsid w:val="005C375D"/>
    <w:rsid w:val="005C3981"/>
    <w:rsid w:val="005C39B0"/>
    <w:rsid w:val="005C3C58"/>
    <w:rsid w:val="005C41B5"/>
    <w:rsid w:val="005C4209"/>
    <w:rsid w:val="005C428D"/>
    <w:rsid w:val="005C4324"/>
    <w:rsid w:val="005C4525"/>
    <w:rsid w:val="005C4B75"/>
    <w:rsid w:val="005C4F23"/>
    <w:rsid w:val="005C5097"/>
    <w:rsid w:val="005C5127"/>
    <w:rsid w:val="005C5155"/>
    <w:rsid w:val="005C5156"/>
    <w:rsid w:val="005C597B"/>
    <w:rsid w:val="005C5A01"/>
    <w:rsid w:val="005C5FBF"/>
    <w:rsid w:val="005C5FE1"/>
    <w:rsid w:val="005C6074"/>
    <w:rsid w:val="005C62F9"/>
    <w:rsid w:val="005C684D"/>
    <w:rsid w:val="005C68AC"/>
    <w:rsid w:val="005C69AA"/>
    <w:rsid w:val="005C69D2"/>
    <w:rsid w:val="005C6B8C"/>
    <w:rsid w:val="005C6BD6"/>
    <w:rsid w:val="005C6BDC"/>
    <w:rsid w:val="005C7201"/>
    <w:rsid w:val="005C780B"/>
    <w:rsid w:val="005C788F"/>
    <w:rsid w:val="005C7B2E"/>
    <w:rsid w:val="005D0107"/>
    <w:rsid w:val="005D0198"/>
    <w:rsid w:val="005D0199"/>
    <w:rsid w:val="005D01A6"/>
    <w:rsid w:val="005D01E5"/>
    <w:rsid w:val="005D03B7"/>
    <w:rsid w:val="005D0C03"/>
    <w:rsid w:val="005D0CBD"/>
    <w:rsid w:val="005D0DBC"/>
    <w:rsid w:val="005D0FCD"/>
    <w:rsid w:val="005D1340"/>
    <w:rsid w:val="005D1420"/>
    <w:rsid w:val="005D154A"/>
    <w:rsid w:val="005D15CD"/>
    <w:rsid w:val="005D1CCB"/>
    <w:rsid w:val="005D1FE9"/>
    <w:rsid w:val="005D20DC"/>
    <w:rsid w:val="005D23E5"/>
    <w:rsid w:val="005D253D"/>
    <w:rsid w:val="005D2BD1"/>
    <w:rsid w:val="005D2F1A"/>
    <w:rsid w:val="005D3258"/>
    <w:rsid w:val="005D346A"/>
    <w:rsid w:val="005D370E"/>
    <w:rsid w:val="005D37D3"/>
    <w:rsid w:val="005D3F89"/>
    <w:rsid w:val="005D42CA"/>
    <w:rsid w:val="005D42F4"/>
    <w:rsid w:val="005D44BE"/>
    <w:rsid w:val="005D44F2"/>
    <w:rsid w:val="005D497A"/>
    <w:rsid w:val="005D4A17"/>
    <w:rsid w:val="005D4B35"/>
    <w:rsid w:val="005D51AB"/>
    <w:rsid w:val="005D555A"/>
    <w:rsid w:val="005D5629"/>
    <w:rsid w:val="005D58C0"/>
    <w:rsid w:val="005D58D5"/>
    <w:rsid w:val="005D5A79"/>
    <w:rsid w:val="005D5BF1"/>
    <w:rsid w:val="005D5C80"/>
    <w:rsid w:val="005D5D0A"/>
    <w:rsid w:val="005D6194"/>
    <w:rsid w:val="005D630A"/>
    <w:rsid w:val="005D652B"/>
    <w:rsid w:val="005D6A31"/>
    <w:rsid w:val="005D6ACE"/>
    <w:rsid w:val="005D6D13"/>
    <w:rsid w:val="005D6D8F"/>
    <w:rsid w:val="005D6E7F"/>
    <w:rsid w:val="005D6F74"/>
    <w:rsid w:val="005D75FB"/>
    <w:rsid w:val="005D770D"/>
    <w:rsid w:val="005D7847"/>
    <w:rsid w:val="005D78A5"/>
    <w:rsid w:val="005D7AEA"/>
    <w:rsid w:val="005D7C7B"/>
    <w:rsid w:val="005E0397"/>
    <w:rsid w:val="005E03FE"/>
    <w:rsid w:val="005E08A2"/>
    <w:rsid w:val="005E0A93"/>
    <w:rsid w:val="005E0D8F"/>
    <w:rsid w:val="005E0D93"/>
    <w:rsid w:val="005E0DF7"/>
    <w:rsid w:val="005E1570"/>
    <w:rsid w:val="005E166B"/>
    <w:rsid w:val="005E176A"/>
    <w:rsid w:val="005E1C38"/>
    <w:rsid w:val="005E22F2"/>
    <w:rsid w:val="005E2319"/>
    <w:rsid w:val="005E2512"/>
    <w:rsid w:val="005E260B"/>
    <w:rsid w:val="005E26DE"/>
    <w:rsid w:val="005E275A"/>
    <w:rsid w:val="005E27B6"/>
    <w:rsid w:val="005E27F2"/>
    <w:rsid w:val="005E2996"/>
    <w:rsid w:val="005E2B9E"/>
    <w:rsid w:val="005E2D40"/>
    <w:rsid w:val="005E2FB1"/>
    <w:rsid w:val="005E3057"/>
    <w:rsid w:val="005E31E5"/>
    <w:rsid w:val="005E3388"/>
    <w:rsid w:val="005E340C"/>
    <w:rsid w:val="005E3460"/>
    <w:rsid w:val="005E3503"/>
    <w:rsid w:val="005E36A4"/>
    <w:rsid w:val="005E375E"/>
    <w:rsid w:val="005E375F"/>
    <w:rsid w:val="005E3861"/>
    <w:rsid w:val="005E3963"/>
    <w:rsid w:val="005E39B4"/>
    <w:rsid w:val="005E3A7C"/>
    <w:rsid w:val="005E3B18"/>
    <w:rsid w:val="005E3B82"/>
    <w:rsid w:val="005E3E24"/>
    <w:rsid w:val="005E3FEF"/>
    <w:rsid w:val="005E419D"/>
    <w:rsid w:val="005E41ED"/>
    <w:rsid w:val="005E43BB"/>
    <w:rsid w:val="005E46A0"/>
    <w:rsid w:val="005E48C8"/>
    <w:rsid w:val="005E4CB3"/>
    <w:rsid w:val="005E4E2D"/>
    <w:rsid w:val="005E4E48"/>
    <w:rsid w:val="005E4E6B"/>
    <w:rsid w:val="005E5098"/>
    <w:rsid w:val="005E50C3"/>
    <w:rsid w:val="005E53F7"/>
    <w:rsid w:val="005E5568"/>
    <w:rsid w:val="005E55FA"/>
    <w:rsid w:val="005E5786"/>
    <w:rsid w:val="005E57A8"/>
    <w:rsid w:val="005E592D"/>
    <w:rsid w:val="005E59F9"/>
    <w:rsid w:val="005E5AE9"/>
    <w:rsid w:val="005E5CE3"/>
    <w:rsid w:val="005E5F36"/>
    <w:rsid w:val="005E6045"/>
    <w:rsid w:val="005E64A4"/>
    <w:rsid w:val="005E65ED"/>
    <w:rsid w:val="005E68F7"/>
    <w:rsid w:val="005E6AEF"/>
    <w:rsid w:val="005E6DD1"/>
    <w:rsid w:val="005E700A"/>
    <w:rsid w:val="005E7061"/>
    <w:rsid w:val="005E7100"/>
    <w:rsid w:val="005E7202"/>
    <w:rsid w:val="005E762B"/>
    <w:rsid w:val="005E7781"/>
    <w:rsid w:val="005E7790"/>
    <w:rsid w:val="005E77E6"/>
    <w:rsid w:val="005E78C1"/>
    <w:rsid w:val="005E791A"/>
    <w:rsid w:val="005E7AFE"/>
    <w:rsid w:val="005E7C45"/>
    <w:rsid w:val="005E7D83"/>
    <w:rsid w:val="005E7F0B"/>
    <w:rsid w:val="005F00BF"/>
    <w:rsid w:val="005F02E0"/>
    <w:rsid w:val="005F0450"/>
    <w:rsid w:val="005F046A"/>
    <w:rsid w:val="005F0494"/>
    <w:rsid w:val="005F06D9"/>
    <w:rsid w:val="005F0968"/>
    <w:rsid w:val="005F0A74"/>
    <w:rsid w:val="005F0F71"/>
    <w:rsid w:val="005F0F92"/>
    <w:rsid w:val="005F11D3"/>
    <w:rsid w:val="005F1203"/>
    <w:rsid w:val="005F1457"/>
    <w:rsid w:val="005F1878"/>
    <w:rsid w:val="005F1BCB"/>
    <w:rsid w:val="005F1C9A"/>
    <w:rsid w:val="005F1CA0"/>
    <w:rsid w:val="005F1EB2"/>
    <w:rsid w:val="005F1ED1"/>
    <w:rsid w:val="005F219A"/>
    <w:rsid w:val="005F24DF"/>
    <w:rsid w:val="005F24E1"/>
    <w:rsid w:val="005F27F1"/>
    <w:rsid w:val="005F2866"/>
    <w:rsid w:val="005F2870"/>
    <w:rsid w:val="005F289E"/>
    <w:rsid w:val="005F2983"/>
    <w:rsid w:val="005F2AA8"/>
    <w:rsid w:val="005F2B69"/>
    <w:rsid w:val="005F3068"/>
    <w:rsid w:val="005F3215"/>
    <w:rsid w:val="005F33EF"/>
    <w:rsid w:val="005F3AE3"/>
    <w:rsid w:val="005F3B22"/>
    <w:rsid w:val="005F40D2"/>
    <w:rsid w:val="005F4257"/>
    <w:rsid w:val="005F4389"/>
    <w:rsid w:val="005F43BE"/>
    <w:rsid w:val="005F4479"/>
    <w:rsid w:val="005F44EE"/>
    <w:rsid w:val="005F45D1"/>
    <w:rsid w:val="005F45D4"/>
    <w:rsid w:val="005F4854"/>
    <w:rsid w:val="005F49C8"/>
    <w:rsid w:val="005F4A71"/>
    <w:rsid w:val="005F4A82"/>
    <w:rsid w:val="005F4B7B"/>
    <w:rsid w:val="005F4B91"/>
    <w:rsid w:val="005F4BCA"/>
    <w:rsid w:val="005F514B"/>
    <w:rsid w:val="005F56A9"/>
    <w:rsid w:val="005F56C9"/>
    <w:rsid w:val="005F57FA"/>
    <w:rsid w:val="005F5A13"/>
    <w:rsid w:val="005F5C1D"/>
    <w:rsid w:val="005F5C9A"/>
    <w:rsid w:val="005F5D09"/>
    <w:rsid w:val="005F5D9F"/>
    <w:rsid w:val="005F60A5"/>
    <w:rsid w:val="005F6148"/>
    <w:rsid w:val="005F62A0"/>
    <w:rsid w:val="005F6507"/>
    <w:rsid w:val="005F65F9"/>
    <w:rsid w:val="005F6845"/>
    <w:rsid w:val="005F6FD1"/>
    <w:rsid w:val="005F6FD7"/>
    <w:rsid w:val="005F6FF0"/>
    <w:rsid w:val="005F71E6"/>
    <w:rsid w:val="005F73E4"/>
    <w:rsid w:val="005F74E4"/>
    <w:rsid w:val="005F7780"/>
    <w:rsid w:val="005F781C"/>
    <w:rsid w:val="005F7ABE"/>
    <w:rsid w:val="005F7CE7"/>
    <w:rsid w:val="005F7EDB"/>
    <w:rsid w:val="005F7F36"/>
    <w:rsid w:val="006004C5"/>
    <w:rsid w:val="0060071D"/>
    <w:rsid w:val="00600848"/>
    <w:rsid w:val="0060086A"/>
    <w:rsid w:val="00600A65"/>
    <w:rsid w:val="00600B93"/>
    <w:rsid w:val="00600D50"/>
    <w:rsid w:val="00600F0F"/>
    <w:rsid w:val="0060109B"/>
    <w:rsid w:val="006019CC"/>
    <w:rsid w:val="00601AF6"/>
    <w:rsid w:val="006020B2"/>
    <w:rsid w:val="00602215"/>
    <w:rsid w:val="00602398"/>
    <w:rsid w:val="006025D8"/>
    <w:rsid w:val="00602643"/>
    <w:rsid w:val="006026CF"/>
    <w:rsid w:val="006027AE"/>
    <w:rsid w:val="006027E6"/>
    <w:rsid w:val="00602840"/>
    <w:rsid w:val="00602E03"/>
    <w:rsid w:val="00602EE6"/>
    <w:rsid w:val="00603296"/>
    <w:rsid w:val="0060382D"/>
    <w:rsid w:val="0060390C"/>
    <w:rsid w:val="0060392E"/>
    <w:rsid w:val="00603A4E"/>
    <w:rsid w:val="00603B5F"/>
    <w:rsid w:val="00603BF9"/>
    <w:rsid w:val="00603C99"/>
    <w:rsid w:val="00603D2E"/>
    <w:rsid w:val="00603E3A"/>
    <w:rsid w:val="00603ECA"/>
    <w:rsid w:val="00603EE1"/>
    <w:rsid w:val="00604625"/>
    <w:rsid w:val="0060496E"/>
    <w:rsid w:val="00604AEC"/>
    <w:rsid w:val="00604CB0"/>
    <w:rsid w:val="00604E51"/>
    <w:rsid w:val="00605016"/>
    <w:rsid w:val="006051BA"/>
    <w:rsid w:val="00605253"/>
    <w:rsid w:val="00605458"/>
    <w:rsid w:val="006057C1"/>
    <w:rsid w:val="00605840"/>
    <w:rsid w:val="00605CA0"/>
    <w:rsid w:val="0060601D"/>
    <w:rsid w:val="00606264"/>
    <w:rsid w:val="00606453"/>
    <w:rsid w:val="006067C2"/>
    <w:rsid w:val="00606833"/>
    <w:rsid w:val="006069C0"/>
    <w:rsid w:val="006069C1"/>
    <w:rsid w:val="006069EB"/>
    <w:rsid w:val="00606AFD"/>
    <w:rsid w:val="00606B94"/>
    <w:rsid w:val="00606C84"/>
    <w:rsid w:val="00606DED"/>
    <w:rsid w:val="00606E4F"/>
    <w:rsid w:val="0060707E"/>
    <w:rsid w:val="00607773"/>
    <w:rsid w:val="0060784B"/>
    <w:rsid w:val="00607E66"/>
    <w:rsid w:val="00610070"/>
    <w:rsid w:val="006102C2"/>
    <w:rsid w:val="0061054A"/>
    <w:rsid w:val="006106BD"/>
    <w:rsid w:val="006108A3"/>
    <w:rsid w:val="00610BB6"/>
    <w:rsid w:val="00610E91"/>
    <w:rsid w:val="006115F2"/>
    <w:rsid w:val="0061170F"/>
    <w:rsid w:val="0061183A"/>
    <w:rsid w:val="0061187F"/>
    <w:rsid w:val="00611CD6"/>
    <w:rsid w:val="00611DF5"/>
    <w:rsid w:val="00611E91"/>
    <w:rsid w:val="006120FC"/>
    <w:rsid w:val="00612158"/>
    <w:rsid w:val="00612436"/>
    <w:rsid w:val="006127A3"/>
    <w:rsid w:val="006129DE"/>
    <w:rsid w:val="00613331"/>
    <w:rsid w:val="00613768"/>
    <w:rsid w:val="00613972"/>
    <w:rsid w:val="00613B06"/>
    <w:rsid w:val="00613B2D"/>
    <w:rsid w:val="00614379"/>
    <w:rsid w:val="006143BD"/>
    <w:rsid w:val="00614434"/>
    <w:rsid w:val="006146A0"/>
    <w:rsid w:val="006154CF"/>
    <w:rsid w:val="006156A2"/>
    <w:rsid w:val="00615A56"/>
    <w:rsid w:val="00615B25"/>
    <w:rsid w:val="00615BB6"/>
    <w:rsid w:val="00615E42"/>
    <w:rsid w:val="0061600B"/>
    <w:rsid w:val="0061608F"/>
    <w:rsid w:val="0061622D"/>
    <w:rsid w:val="00616280"/>
    <w:rsid w:val="006166FD"/>
    <w:rsid w:val="006168DB"/>
    <w:rsid w:val="00616C60"/>
    <w:rsid w:val="006172AA"/>
    <w:rsid w:val="006173D6"/>
    <w:rsid w:val="00617708"/>
    <w:rsid w:val="00617A6D"/>
    <w:rsid w:val="00617AC0"/>
    <w:rsid w:val="00617B21"/>
    <w:rsid w:val="00617BA2"/>
    <w:rsid w:val="00617E32"/>
    <w:rsid w:val="00617EBA"/>
    <w:rsid w:val="0062018E"/>
    <w:rsid w:val="0062029B"/>
    <w:rsid w:val="00620357"/>
    <w:rsid w:val="006204F0"/>
    <w:rsid w:val="0062069A"/>
    <w:rsid w:val="006206B4"/>
    <w:rsid w:val="00620865"/>
    <w:rsid w:val="0062087E"/>
    <w:rsid w:val="00620AAD"/>
    <w:rsid w:val="00620B6F"/>
    <w:rsid w:val="00620C87"/>
    <w:rsid w:val="00620D9B"/>
    <w:rsid w:val="00620E9C"/>
    <w:rsid w:val="0062117F"/>
    <w:rsid w:val="00621248"/>
    <w:rsid w:val="006219AD"/>
    <w:rsid w:val="00621A71"/>
    <w:rsid w:val="00621ED8"/>
    <w:rsid w:val="006221AF"/>
    <w:rsid w:val="006221D0"/>
    <w:rsid w:val="0062234B"/>
    <w:rsid w:val="0062244D"/>
    <w:rsid w:val="00622529"/>
    <w:rsid w:val="006225B1"/>
    <w:rsid w:val="0062267B"/>
    <w:rsid w:val="006226F6"/>
    <w:rsid w:val="006227A8"/>
    <w:rsid w:val="006227ED"/>
    <w:rsid w:val="00622A3F"/>
    <w:rsid w:val="00622AC0"/>
    <w:rsid w:val="00622BEE"/>
    <w:rsid w:val="0062310B"/>
    <w:rsid w:val="0062355E"/>
    <w:rsid w:val="00623660"/>
    <w:rsid w:val="00623769"/>
    <w:rsid w:val="0062376A"/>
    <w:rsid w:val="006239A6"/>
    <w:rsid w:val="00623B8C"/>
    <w:rsid w:val="00623E38"/>
    <w:rsid w:val="00624086"/>
    <w:rsid w:val="00624631"/>
    <w:rsid w:val="00624DAD"/>
    <w:rsid w:val="0062504D"/>
    <w:rsid w:val="006251D4"/>
    <w:rsid w:val="0062522D"/>
    <w:rsid w:val="006253C4"/>
    <w:rsid w:val="0062551B"/>
    <w:rsid w:val="006259F7"/>
    <w:rsid w:val="00625BA5"/>
    <w:rsid w:val="00625D49"/>
    <w:rsid w:val="0062627F"/>
    <w:rsid w:val="006265B8"/>
    <w:rsid w:val="0062666B"/>
    <w:rsid w:val="00626784"/>
    <w:rsid w:val="006267B3"/>
    <w:rsid w:val="0062695F"/>
    <w:rsid w:val="00626968"/>
    <w:rsid w:val="00626F98"/>
    <w:rsid w:val="006271D8"/>
    <w:rsid w:val="006273F4"/>
    <w:rsid w:val="006275FC"/>
    <w:rsid w:val="006276CA"/>
    <w:rsid w:val="00627847"/>
    <w:rsid w:val="00627947"/>
    <w:rsid w:val="00627980"/>
    <w:rsid w:val="00627A39"/>
    <w:rsid w:val="00627B60"/>
    <w:rsid w:val="00627E98"/>
    <w:rsid w:val="00630327"/>
    <w:rsid w:val="006306A9"/>
    <w:rsid w:val="006306D4"/>
    <w:rsid w:val="006308F8"/>
    <w:rsid w:val="00630A5F"/>
    <w:rsid w:val="00630AA9"/>
    <w:rsid w:val="00630D37"/>
    <w:rsid w:val="00630D51"/>
    <w:rsid w:val="00630DF2"/>
    <w:rsid w:val="00630EEB"/>
    <w:rsid w:val="00630F07"/>
    <w:rsid w:val="00630F3C"/>
    <w:rsid w:val="00630F6A"/>
    <w:rsid w:val="0063139B"/>
    <w:rsid w:val="00631849"/>
    <w:rsid w:val="00631987"/>
    <w:rsid w:val="00631B46"/>
    <w:rsid w:val="00632048"/>
    <w:rsid w:val="006322B0"/>
    <w:rsid w:val="00632388"/>
    <w:rsid w:val="006323C7"/>
    <w:rsid w:val="00632519"/>
    <w:rsid w:val="00632C17"/>
    <w:rsid w:val="00632FCB"/>
    <w:rsid w:val="0063310B"/>
    <w:rsid w:val="006331B3"/>
    <w:rsid w:val="00633AA5"/>
    <w:rsid w:val="00633E65"/>
    <w:rsid w:val="00633EFB"/>
    <w:rsid w:val="00634077"/>
    <w:rsid w:val="006342B4"/>
    <w:rsid w:val="00634774"/>
    <w:rsid w:val="00634A44"/>
    <w:rsid w:val="00635A17"/>
    <w:rsid w:val="00635A86"/>
    <w:rsid w:val="00635B44"/>
    <w:rsid w:val="00635D1F"/>
    <w:rsid w:val="006362F7"/>
    <w:rsid w:val="006364E6"/>
    <w:rsid w:val="00636E66"/>
    <w:rsid w:val="00636F2E"/>
    <w:rsid w:val="00636FC6"/>
    <w:rsid w:val="00637084"/>
    <w:rsid w:val="006371A3"/>
    <w:rsid w:val="006379E0"/>
    <w:rsid w:val="00637A0F"/>
    <w:rsid w:val="00637AEA"/>
    <w:rsid w:val="00637BE9"/>
    <w:rsid w:val="00637F49"/>
    <w:rsid w:val="00637F54"/>
    <w:rsid w:val="00640030"/>
    <w:rsid w:val="006403DE"/>
    <w:rsid w:val="00640613"/>
    <w:rsid w:val="00640848"/>
    <w:rsid w:val="00640866"/>
    <w:rsid w:val="00640871"/>
    <w:rsid w:val="00640A20"/>
    <w:rsid w:val="00640AAD"/>
    <w:rsid w:val="00640C68"/>
    <w:rsid w:val="00641073"/>
    <w:rsid w:val="00641295"/>
    <w:rsid w:val="006413FB"/>
    <w:rsid w:val="0064168F"/>
    <w:rsid w:val="006418F0"/>
    <w:rsid w:val="00641AC9"/>
    <w:rsid w:val="00641B1C"/>
    <w:rsid w:val="00641B61"/>
    <w:rsid w:val="00641B74"/>
    <w:rsid w:val="00641BFA"/>
    <w:rsid w:val="00641CAD"/>
    <w:rsid w:val="00642045"/>
    <w:rsid w:val="0064219E"/>
    <w:rsid w:val="006421F6"/>
    <w:rsid w:val="006422DB"/>
    <w:rsid w:val="00642730"/>
    <w:rsid w:val="00642905"/>
    <w:rsid w:val="00642ED1"/>
    <w:rsid w:val="00643700"/>
    <w:rsid w:val="006437DC"/>
    <w:rsid w:val="00643A1E"/>
    <w:rsid w:val="00643D2F"/>
    <w:rsid w:val="00643E05"/>
    <w:rsid w:val="00643E38"/>
    <w:rsid w:val="006440CD"/>
    <w:rsid w:val="006440FC"/>
    <w:rsid w:val="00644108"/>
    <w:rsid w:val="0064448B"/>
    <w:rsid w:val="00644584"/>
    <w:rsid w:val="00644608"/>
    <w:rsid w:val="00644715"/>
    <w:rsid w:val="006448A1"/>
    <w:rsid w:val="0064496D"/>
    <w:rsid w:val="006449C7"/>
    <w:rsid w:val="00644C33"/>
    <w:rsid w:val="00644E20"/>
    <w:rsid w:val="00644EF4"/>
    <w:rsid w:val="006452A6"/>
    <w:rsid w:val="006455D4"/>
    <w:rsid w:val="006456B6"/>
    <w:rsid w:val="00645703"/>
    <w:rsid w:val="006457C7"/>
    <w:rsid w:val="00645A03"/>
    <w:rsid w:val="00645B26"/>
    <w:rsid w:val="00645BC6"/>
    <w:rsid w:val="00645CC8"/>
    <w:rsid w:val="00645DB2"/>
    <w:rsid w:val="00646165"/>
    <w:rsid w:val="00646D85"/>
    <w:rsid w:val="00646E94"/>
    <w:rsid w:val="00647083"/>
    <w:rsid w:val="00647490"/>
    <w:rsid w:val="00647639"/>
    <w:rsid w:val="0064771D"/>
    <w:rsid w:val="00647729"/>
    <w:rsid w:val="006477DE"/>
    <w:rsid w:val="00647801"/>
    <w:rsid w:val="00647834"/>
    <w:rsid w:val="00647B4F"/>
    <w:rsid w:val="00647D38"/>
    <w:rsid w:val="0065012A"/>
    <w:rsid w:val="006502D9"/>
    <w:rsid w:val="00650416"/>
    <w:rsid w:val="006507A2"/>
    <w:rsid w:val="006508C2"/>
    <w:rsid w:val="0065095F"/>
    <w:rsid w:val="00650B79"/>
    <w:rsid w:val="00650C2E"/>
    <w:rsid w:val="00650EAF"/>
    <w:rsid w:val="0065121C"/>
    <w:rsid w:val="006512EF"/>
    <w:rsid w:val="006513AC"/>
    <w:rsid w:val="00651463"/>
    <w:rsid w:val="006517F1"/>
    <w:rsid w:val="006518C9"/>
    <w:rsid w:val="00651996"/>
    <w:rsid w:val="00651A67"/>
    <w:rsid w:val="00651CE8"/>
    <w:rsid w:val="006520F6"/>
    <w:rsid w:val="00652107"/>
    <w:rsid w:val="00652162"/>
    <w:rsid w:val="0065233F"/>
    <w:rsid w:val="006525BF"/>
    <w:rsid w:val="006525E1"/>
    <w:rsid w:val="006526BE"/>
    <w:rsid w:val="006526CB"/>
    <w:rsid w:val="006526FD"/>
    <w:rsid w:val="006527DE"/>
    <w:rsid w:val="00652B69"/>
    <w:rsid w:val="00652BB6"/>
    <w:rsid w:val="00652E54"/>
    <w:rsid w:val="00653427"/>
    <w:rsid w:val="00653736"/>
    <w:rsid w:val="006537CC"/>
    <w:rsid w:val="006538E5"/>
    <w:rsid w:val="00653C88"/>
    <w:rsid w:val="00654C45"/>
    <w:rsid w:val="0065532B"/>
    <w:rsid w:val="006556F8"/>
    <w:rsid w:val="00655709"/>
    <w:rsid w:val="00655793"/>
    <w:rsid w:val="006558DE"/>
    <w:rsid w:val="00656807"/>
    <w:rsid w:val="006569F0"/>
    <w:rsid w:val="00656A08"/>
    <w:rsid w:val="00656EE9"/>
    <w:rsid w:val="00656F7F"/>
    <w:rsid w:val="0065706E"/>
    <w:rsid w:val="006570D6"/>
    <w:rsid w:val="00657619"/>
    <w:rsid w:val="006577AE"/>
    <w:rsid w:val="00657883"/>
    <w:rsid w:val="00657B4F"/>
    <w:rsid w:val="00657D0D"/>
    <w:rsid w:val="00657E5E"/>
    <w:rsid w:val="006601D5"/>
    <w:rsid w:val="006601E2"/>
    <w:rsid w:val="00660232"/>
    <w:rsid w:val="00660453"/>
    <w:rsid w:val="00660511"/>
    <w:rsid w:val="006605A3"/>
    <w:rsid w:val="006605F6"/>
    <w:rsid w:val="00660BA2"/>
    <w:rsid w:val="006615C1"/>
    <w:rsid w:val="0066174C"/>
    <w:rsid w:val="00661848"/>
    <w:rsid w:val="00661BAE"/>
    <w:rsid w:val="00661D8D"/>
    <w:rsid w:val="0066202E"/>
    <w:rsid w:val="00662594"/>
    <w:rsid w:val="006626B7"/>
    <w:rsid w:val="006629A0"/>
    <w:rsid w:val="00662A70"/>
    <w:rsid w:val="00662F3A"/>
    <w:rsid w:val="00662FBD"/>
    <w:rsid w:val="0066303E"/>
    <w:rsid w:val="00663097"/>
    <w:rsid w:val="00663165"/>
    <w:rsid w:val="00663346"/>
    <w:rsid w:val="00663384"/>
    <w:rsid w:val="006633A9"/>
    <w:rsid w:val="006633EA"/>
    <w:rsid w:val="006635A6"/>
    <w:rsid w:val="006635D8"/>
    <w:rsid w:val="00663628"/>
    <w:rsid w:val="0066366D"/>
    <w:rsid w:val="00663913"/>
    <w:rsid w:val="00663A6D"/>
    <w:rsid w:val="00663B48"/>
    <w:rsid w:val="00663C35"/>
    <w:rsid w:val="00663F45"/>
    <w:rsid w:val="0066420E"/>
    <w:rsid w:val="00664446"/>
    <w:rsid w:val="00664644"/>
    <w:rsid w:val="00664970"/>
    <w:rsid w:val="0066498F"/>
    <w:rsid w:val="00664A64"/>
    <w:rsid w:val="00664BA5"/>
    <w:rsid w:val="00664C56"/>
    <w:rsid w:val="00664D5C"/>
    <w:rsid w:val="00664DD2"/>
    <w:rsid w:val="00664FCB"/>
    <w:rsid w:val="00665019"/>
    <w:rsid w:val="00665386"/>
    <w:rsid w:val="006654DA"/>
    <w:rsid w:val="00665631"/>
    <w:rsid w:val="00665766"/>
    <w:rsid w:val="00665A4F"/>
    <w:rsid w:val="00665A6F"/>
    <w:rsid w:val="00665AF9"/>
    <w:rsid w:val="00665B32"/>
    <w:rsid w:val="006660D0"/>
    <w:rsid w:val="00666426"/>
    <w:rsid w:val="00666903"/>
    <w:rsid w:val="00666A2F"/>
    <w:rsid w:val="00666AAA"/>
    <w:rsid w:val="00666B84"/>
    <w:rsid w:val="00666E48"/>
    <w:rsid w:val="00666F63"/>
    <w:rsid w:val="0066719A"/>
    <w:rsid w:val="00667389"/>
    <w:rsid w:val="00667505"/>
    <w:rsid w:val="00667594"/>
    <w:rsid w:val="00667C26"/>
    <w:rsid w:val="006700D4"/>
    <w:rsid w:val="006701D0"/>
    <w:rsid w:val="00670252"/>
    <w:rsid w:val="006704EA"/>
    <w:rsid w:val="006704F2"/>
    <w:rsid w:val="006705A8"/>
    <w:rsid w:val="0067077B"/>
    <w:rsid w:val="006708AB"/>
    <w:rsid w:val="00670931"/>
    <w:rsid w:val="00670EC1"/>
    <w:rsid w:val="00670F01"/>
    <w:rsid w:val="00670FC2"/>
    <w:rsid w:val="00671092"/>
    <w:rsid w:val="00671277"/>
    <w:rsid w:val="00671527"/>
    <w:rsid w:val="006716D8"/>
    <w:rsid w:val="006716E6"/>
    <w:rsid w:val="0067197C"/>
    <w:rsid w:val="006721A8"/>
    <w:rsid w:val="00672208"/>
    <w:rsid w:val="006723B2"/>
    <w:rsid w:val="006725D5"/>
    <w:rsid w:val="006725EC"/>
    <w:rsid w:val="0067268F"/>
    <w:rsid w:val="006727DF"/>
    <w:rsid w:val="00672937"/>
    <w:rsid w:val="00672E22"/>
    <w:rsid w:val="00672E5F"/>
    <w:rsid w:val="00672F88"/>
    <w:rsid w:val="006730E4"/>
    <w:rsid w:val="00673131"/>
    <w:rsid w:val="00673191"/>
    <w:rsid w:val="0067323C"/>
    <w:rsid w:val="00673527"/>
    <w:rsid w:val="006735C6"/>
    <w:rsid w:val="00673A4F"/>
    <w:rsid w:val="00673ADA"/>
    <w:rsid w:val="00673BB3"/>
    <w:rsid w:val="00673C28"/>
    <w:rsid w:val="00673DF8"/>
    <w:rsid w:val="00673F3B"/>
    <w:rsid w:val="0067407B"/>
    <w:rsid w:val="00674141"/>
    <w:rsid w:val="0067415B"/>
    <w:rsid w:val="00674193"/>
    <w:rsid w:val="0067423E"/>
    <w:rsid w:val="00674393"/>
    <w:rsid w:val="006744B6"/>
    <w:rsid w:val="0067460A"/>
    <w:rsid w:val="0067475C"/>
    <w:rsid w:val="00674764"/>
    <w:rsid w:val="00674785"/>
    <w:rsid w:val="00674860"/>
    <w:rsid w:val="006748DB"/>
    <w:rsid w:val="00674A4D"/>
    <w:rsid w:val="00674A8C"/>
    <w:rsid w:val="0067507F"/>
    <w:rsid w:val="00675231"/>
    <w:rsid w:val="00675276"/>
    <w:rsid w:val="006755B4"/>
    <w:rsid w:val="00675885"/>
    <w:rsid w:val="006758BD"/>
    <w:rsid w:val="00675990"/>
    <w:rsid w:val="00675AB1"/>
    <w:rsid w:val="00675AB6"/>
    <w:rsid w:val="00675CE9"/>
    <w:rsid w:val="00675D49"/>
    <w:rsid w:val="00676333"/>
    <w:rsid w:val="006765F0"/>
    <w:rsid w:val="0067663A"/>
    <w:rsid w:val="00676652"/>
    <w:rsid w:val="006767D9"/>
    <w:rsid w:val="00676879"/>
    <w:rsid w:val="0067687B"/>
    <w:rsid w:val="0067696D"/>
    <w:rsid w:val="0067699F"/>
    <w:rsid w:val="00676B8E"/>
    <w:rsid w:val="00676E1F"/>
    <w:rsid w:val="00676F1D"/>
    <w:rsid w:val="00676FE1"/>
    <w:rsid w:val="00677043"/>
    <w:rsid w:val="00677201"/>
    <w:rsid w:val="0067767C"/>
    <w:rsid w:val="006779C5"/>
    <w:rsid w:val="00677CF4"/>
    <w:rsid w:val="00677EA5"/>
    <w:rsid w:val="00680067"/>
    <w:rsid w:val="006800A1"/>
    <w:rsid w:val="006801DF"/>
    <w:rsid w:val="0068026D"/>
    <w:rsid w:val="0068043C"/>
    <w:rsid w:val="0068083C"/>
    <w:rsid w:val="00680B34"/>
    <w:rsid w:val="00680B3F"/>
    <w:rsid w:val="00680F29"/>
    <w:rsid w:val="00681670"/>
    <w:rsid w:val="0068176B"/>
    <w:rsid w:val="00681E41"/>
    <w:rsid w:val="006823CF"/>
    <w:rsid w:val="00682448"/>
    <w:rsid w:val="00682687"/>
    <w:rsid w:val="00682967"/>
    <w:rsid w:val="00682AC4"/>
    <w:rsid w:val="00682CA6"/>
    <w:rsid w:val="00682D5A"/>
    <w:rsid w:val="00682E59"/>
    <w:rsid w:val="006833BA"/>
    <w:rsid w:val="00683711"/>
    <w:rsid w:val="006837D6"/>
    <w:rsid w:val="00683906"/>
    <w:rsid w:val="0068392B"/>
    <w:rsid w:val="00683DD2"/>
    <w:rsid w:val="00684027"/>
    <w:rsid w:val="006840F7"/>
    <w:rsid w:val="00684181"/>
    <w:rsid w:val="006841B9"/>
    <w:rsid w:val="00684221"/>
    <w:rsid w:val="006843DC"/>
    <w:rsid w:val="00684549"/>
    <w:rsid w:val="006845CE"/>
    <w:rsid w:val="006846A1"/>
    <w:rsid w:val="0068484C"/>
    <w:rsid w:val="00684B9A"/>
    <w:rsid w:val="00684FD1"/>
    <w:rsid w:val="00685023"/>
    <w:rsid w:val="006850D1"/>
    <w:rsid w:val="0068517A"/>
    <w:rsid w:val="0068530E"/>
    <w:rsid w:val="006855A3"/>
    <w:rsid w:val="00685836"/>
    <w:rsid w:val="0068585A"/>
    <w:rsid w:val="00685866"/>
    <w:rsid w:val="00685954"/>
    <w:rsid w:val="00685955"/>
    <w:rsid w:val="006859F7"/>
    <w:rsid w:val="00685B15"/>
    <w:rsid w:val="00685CB2"/>
    <w:rsid w:val="00685F91"/>
    <w:rsid w:val="0068605C"/>
    <w:rsid w:val="00686223"/>
    <w:rsid w:val="006862B9"/>
    <w:rsid w:val="0068650C"/>
    <w:rsid w:val="00686615"/>
    <w:rsid w:val="006866F0"/>
    <w:rsid w:val="0068684B"/>
    <w:rsid w:val="00686A6F"/>
    <w:rsid w:val="00686AFF"/>
    <w:rsid w:val="00686C25"/>
    <w:rsid w:val="00686D4A"/>
    <w:rsid w:val="00686D7F"/>
    <w:rsid w:val="00686E61"/>
    <w:rsid w:val="00686ECE"/>
    <w:rsid w:val="006870F5"/>
    <w:rsid w:val="00687438"/>
    <w:rsid w:val="00687506"/>
    <w:rsid w:val="006879AE"/>
    <w:rsid w:val="006879B9"/>
    <w:rsid w:val="00687AB9"/>
    <w:rsid w:val="00687D2E"/>
    <w:rsid w:val="006906D7"/>
    <w:rsid w:val="00690DD3"/>
    <w:rsid w:val="00690EBF"/>
    <w:rsid w:val="00690F49"/>
    <w:rsid w:val="006912BD"/>
    <w:rsid w:val="006912F5"/>
    <w:rsid w:val="0069162A"/>
    <w:rsid w:val="006916AD"/>
    <w:rsid w:val="006916D6"/>
    <w:rsid w:val="00691BBB"/>
    <w:rsid w:val="00691D2A"/>
    <w:rsid w:val="00691DA8"/>
    <w:rsid w:val="00691E18"/>
    <w:rsid w:val="00692026"/>
    <w:rsid w:val="0069205F"/>
    <w:rsid w:val="0069208C"/>
    <w:rsid w:val="00692475"/>
    <w:rsid w:val="00692477"/>
    <w:rsid w:val="00692577"/>
    <w:rsid w:val="00692A98"/>
    <w:rsid w:val="00692FA1"/>
    <w:rsid w:val="0069307B"/>
    <w:rsid w:val="0069346B"/>
    <w:rsid w:val="0069359A"/>
    <w:rsid w:val="0069371E"/>
    <w:rsid w:val="0069386E"/>
    <w:rsid w:val="00693A0D"/>
    <w:rsid w:val="00693BCE"/>
    <w:rsid w:val="00693BF3"/>
    <w:rsid w:val="00693EB7"/>
    <w:rsid w:val="0069406F"/>
    <w:rsid w:val="00694149"/>
    <w:rsid w:val="0069423D"/>
    <w:rsid w:val="0069434F"/>
    <w:rsid w:val="0069440B"/>
    <w:rsid w:val="0069450A"/>
    <w:rsid w:val="00694698"/>
    <w:rsid w:val="0069490E"/>
    <w:rsid w:val="00694A8F"/>
    <w:rsid w:val="00694B95"/>
    <w:rsid w:val="00694FDF"/>
    <w:rsid w:val="00695132"/>
    <w:rsid w:val="00695A92"/>
    <w:rsid w:val="00695C41"/>
    <w:rsid w:val="00695D3C"/>
    <w:rsid w:val="00695F61"/>
    <w:rsid w:val="00696222"/>
    <w:rsid w:val="0069675B"/>
    <w:rsid w:val="0069687F"/>
    <w:rsid w:val="00696B23"/>
    <w:rsid w:val="00696B26"/>
    <w:rsid w:val="00696C09"/>
    <w:rsid w:val="006970C5"/>
    <w:rsid w:val="0069726A"/>
    <w:rsid w:val="0069738C"/>
    <w:rsid w:val="0069751E"/>
    <w:rsid w:val="006975C4"/>
    <w:rsid w:val="00697813"/>
    <w:rsid w:val="00697A3D"/>
    <w:rsid w:val="00697A65"/>
    <w:rsid w:val="00697B7B"/>
    <w:rsid w:val="00697CA8"/>
    <w:rsid w:val="00697F86"/>
    <w:rsid w:val="006A0105"/>
    <w:rsid w:val="006A036B"/>
    <w:rsid w:val="006A08D7"/>
    <w:rsid w:val="006A0950"/>
    <w:rsid w:val="006A09F0"/>
    <w:rsid w:val="006A0A80"/>
    <w:rsid w:val="006A0B77"/>
    <w:rsid w:val="006A136E"/>
    <w:rsid w:val="006A1951"/>
    <w:rsid w:val="006A1A6C"/>
    <w:rsid w:val="006A1A7F"/>
    <w:rsid w:val="006A1BE0"/>
    <w:rsid w:val="006A1C3E"/>
    <w:rsid w:val="006A1E6F"/>
    <w:rsid w:val="006A21FE"/>
    <w:rsid w:val="006A2839"/>
    <w:rsid w:val="006A28AC"/>
    <w:rsid w:val="006A2CF0"/>
    <w:rsid w:val="006A2D64"/>
    <w:rsid w:val="006A3054"/>
    <w:rsid w:val="006A34B7"/>
    <w:rsid w:val="006A35C2"/>
    <w:rsid w:val="006A378D"/>
    <w:rsid w:val="006A3A0C"/>
    <w:rsid w:val="006A41A7"/>
    <w:rsid w:val="006A41B9"/>
    <w:rsid w:val="006A43AB"/>
    <w:rsid w:val="006A44C0"/>
    <w:rsid w:val="006A450A"/>
    <w:rsid w:val="006A45F1"/>
    <w:rsid w:val="006A46E4"/>
    <w:rsid w:val="006A4DDA"/>
    <w:rsid w:val="006A4F25"/>
    <w:rsid w:val="006A4F7B"/>
    <w:rsid w:val="006A4FD0"/>
    <w:rsid w:val="006A536E"/>
    <w:rsid w:val="006A5409"/>
    <w:rsid w:val="006A56A6"/>
    <w:rsid w:val="006A596A"/>
    <w:rsid w:val="006A5A45"/>
    <w:rsid w:val="006A5BAB"/>
    <w:rsid w:val="006A5D26"/>
    <w:rsid w:val="006A5FAA"/>
    <w:rsid w:val="006A622E"/>
    <w:rsid w:val="006A6287"/>
    <w:rsid w:val="006A6353"/>
    <w:rsid w:val="006A647C"/>
    <w:rsid w:val="006A667F"/>
    <w:rsid w:val="006A6858"/>
    <w:rsid w:val="006A6F3E"/>
    <w:rsid w:val="006A6F65"/>
    <w:rsid w:val="006A6FAF"/>
    <w:rsid w:val="006A7131"/>
    <w:rsid w:val="006A71CA"/>
    <w:rsid w:val="006A71E9"/>
    <w:rsid w:val="006A7350"/>
    <w:rsid w:val="006A763B"/>
    <w:rsid w:val="006A76A4"/>
    <w:rsid w:val="006A7EF5"/>
    <w:rsid w:val="006B011F"/>
    <w:rsid w:val="006B020B"/>
    <w:rsid w:val="006B043C"/>
    <w:rsid w:val="006B06A2"/>
    <w:rsid w:val="006B0763"/>
    <w:rsid w:val="006B086E"/>
    <w:rsid w:val="006B092B"/>
    <w:rsid w:val="006B0B59"/>
    <w:rsid w:val="006B0C53"/>
    <w:rsid w:val="006B1059"/>
    <w:rsid w:val="006B1106"/>
    <w:rsid w:val="006B11B2"/>
    <w:rsid w:val="006B139E"/>
    <w:rsid w:val="006B1E43"/>
    <w:rsid w:val="006B1F49"/>
    <w:rsid w:val="006B24A5"/>
    <w:rsid w:val="006B24DA"/>
    <w:rsid w:val="006B24E8"/>
    <w:rsid w:val="006B2591"/>
    <w:rsid w:val="006B25F1"/>
    <w:rsid w:val="006B27BB"/>
    <w:rsid w:val="006B2882"/>
    <w:rsid w:val="006B2895"/>
    <w:rsid w:val="006B28C5"/>
    <w:rsid w:val="006B2924"/>
    <w:rsid w:val="006B2D2C"/>
    <w:rsid w:val="006B2D39"/>
    <w:rsid w:val="006B3218"/>
    <w:rsid w:val="006B334D"/>
    <w:rsid w:val="006B3508"/>
    <w:rsid w:val="006B3FA3"/>
    <w:rsid w:val="006B40E2"/>
    <w:rsid w:val="006B4744"/>
    <w:rsid w:val="006B4B8D"/>
    <w:rsid w:val="006B4C0D"/>
    <w:rsid w:val="006B4D56"/>
    <w:rsid w:val="006B50EB"/>
    <w:rsid w:val="006B510B"/>
    <w:rsid w:val="006B52D6"/>
    <w:rsid w:val="006B545B"/>
    <w:rsid w:val="006B5524"/>
    <w:rsid w:val="006B591E"/>
    <w:rsid w:val="006B5B0C"/>
    <w:rsid w:val="006B5D05"/>
    <w:rsid w:val="006B5D4F"/>
    <w:rsid w:val="006B5E39"/>
    <w:rsid w:val="006B633D"/>
    <w:rsid w:val="006B657B"/>
    <w:rsid w:val="006B65B3"/>
    <w:rsid w:val="006B65C6"/>
    <w:rsid w:val="006B662F"/>
    <w:rsid w:val="006B6840"/>
    <w:rsid w:val="006B6E11"/>
    <w:rsid w:val="006B718E"/>
    <w:rsid w:val="006B77B4"/>
    <w:rsid w:val="006B78F7"/>
    <w:rsid w:val="006C012E"/>
    <w:rsid w:val="006C01B8"/>
    <w:rsid w:val="006C023D"/>
    <w:rsid w:val="006C0306"/>
    <w:rsid w:val="006C03F1"/>
    <w:rsid w:val="006C0BE5"/>
    <w:rsid w:val="006C0EE4"/>
    <w:rsid w:val="006C12FD"/>
    <w:rsid w:val="006C155C"/>
    <w:rsid w:val="006C16CA"/>
    <w:rsid w:val="006C17AC"/>
    <w:rsid w:val="006C18AA"/>
    <w:rsid w:val="006C1955"/>
    <w:rsid w:val="006C1A76"/>
    <w:rsid w:val="006C1E79"/>
    <w:rsid w:val="006C2243"/>
    <w:rsid w:val="006C2926"/>
    <w:rsid w:val="006C29A6"/>
    <w:rsid w:val="006C2A39"/>
    <w:rsid w:val="006C2A4A"/>
    <w:rsid w:val="006C2A9C"/>
    <w:rsid w:val="006C2CE9"/>
    <w:rsid w:val="006C32E8"/>
    <w:rsid w:val="006C333F"/>
    <w:rsid w:val="006C3715"/>
    <w:rsid w:val="006C383D"/>
    <w:rsid w:val="006C39C9"/>
    <w:rsid w:val="006C3B9C"/>
    <w:rsid w:val="006C3C8F"/>
    <w:rsid w:val="006C3D19"/>
    <w:rsid w:val="006C3E4E"/>
    <w:rsid w:val="006C47A3"/>
    <w:rsid w:val="006C4887"/>
    <w:rsid w:val="006C4B09"/>
    <w:rsid w:val="006C4B18"/>
    <w:rsid w:val="006C4BB7"/>
    <w:rsid w:val="006C4C66"/>
    <w:rsid w:val="006C5069"/>
    <w:rsid w:val="006C51D5"/>
    <w:rsid w:val="006C5266"/>
    <w:rsid w:val="006C538E"/>
    <w:rsid w:val="006C5994"/>
    <w:rsid w:val="006C5E6D"/>
    <w:rsid w:val="006C5F85"/>
    <w:rsid w:val="006C6185"/>
    <w:rsid w:val="006C6332"/>
    <w:rsid w:val="006C6501"/>
    <w:rsid w:val="006C6833"/>
    <w:rsid w:val="006C6DF6"/>
    <w:rsid w:val="006C6E6C"/>
    <w:rsid w:val="006C6EC0"/>
    <w:rsid w:val="006C6F38"/>
    <w:rsid w:val="006C6FDD"/>
    <w:rsid w:val="006C73C7"/>
    <w:rsid w:val="006C7601"/>
    <w:rsid w:val="006C769C"/>
    <w:rsid w:val="006C791D"/>
    <w:rsid w:val="006C7B7D"/>
    <w:rsid w:val="006D0077"/>
    <w:rsid w:val="006D00A4"/>
    <w:rsid w:val="006D044A"/>
    <w:rsid w:val="006D0888"/>
    <w:rsid w:val="006D0929"/>
    <w:rsid w:val="006D098C"/>
    <w:rsid w:val="006D0AA7"/>
    <w:rsid w:val="006D0C02"/>
    <w:rsid w:val="006D0E50"/>
    <w:rsid w:val="006D0F9D"/>
    <w:rsid w:val="006D1132"/>
    <w:rsid w:val="006D1157"/>
    <w:rsid w:val="006D11E9"/>
    <w:rsid w:val="006D12DC"/>
    <w:rsid w:val="006D13C6"/>
    <w:rsid w:val="006D1846"/>
    <w:rsid w:val="006D1A75"/>
    <w:rsid w:val="006D1CFF"/>
    <w:rsid w:val="006D2040"/>
    <w:rsid w:val="006D2134"/>
    <w:rsid w:val="006D22F0"/>
    <w:rsid w:val="006D262C"/>
    <w:rsid w:val="006D27F8"/>
    <w:rsid w:val="006D2915"/>
    <w:rsid w:val="006D2D4F"/>
    <w:rsid w:val="006D2DDB"/>
    <w:rsid w:val="006D2F17"/>
    <w:rsid w:val="006D355B"/>
    <w:rsid w:val="006D3722"/>
    <w:rsid w:val="006D3749"/>
    <w:rsid w:val="006D37D0"/>
    <w:rsid w:val="006D38B5"/>
    <w:rsid w:val="006D3928"/>
    <w:rsid w:val="006D39C6"/>
    <w:rsid w:val="006D3A93"/>
    <w:rsid w:val="006D3C0C"/>
    <w:rsid w:val="006D3D02"/>
    <w:rsid w:val="006D3EE8"/>
    <w:rsid w:val="006D3F2E"/>
    <w:rsid w:val="006D40FB"/>
    <w:rsid w:val="006D4191"/>
    <w:rsid w:val="006D41ED"/>
    <w:rsid w:val="006D428B"/>
    <w:rsid w:val="006D43A6"/>
    <w:rsid w:val="006D4466"/>
    <w:rsid w:val="006D4687"/>
    <w:rsid w:val="006D4694"/>
    <w:rsid w:val="006D46DD"/>
    <w:rsid w:val="006D47F6"/>
    <w:rsid w:val="006D4B89"/>
    <w:rsid w:val="006D4B8B"/>
    <w:rsid w:val="006D4C17"/>
    <w:rsid w:val="006D4F8D"/>
    <w:rsid w:val="006D55DC"/>
    <w:rsid w:val="006D5CBB"/>
    <w:rsid w:val="006D5D77"/>
    <w:rsid w:val="006D5FFE"/>
    <w:rsid w:val="006D6059"/>
    <w:rsid w:val="006D6296"/>
    <w:rsid w:val="006D62AC"/>
    <w:rsid w:val="006D633D"/>
    <w:rsid w:val="006D69F0"/>
    <w:rsid w:val="006D69F2"/>
    <w:rsid w:val="006D6A25"/>
    <w:rsid w:val="006D6A5F"/>
    <w:rsid w:val="006D6BC8"/>
    <w:rsid w:val="006D6C23"/>
    <w:rsid w:val="006D6C3B"/>
    <w:rsid w:val="006D6FC9"/>
    <w:rsid w:val="006D70B7"/>
    <w:rsid w:val="006D71ED"/>
    <w:rsid w:val="006D72B3"/>
    <w:rsid w:val="006D733A"/>
    <w:rsid w:val="006D74DE"/>
    <w:rsid w:val="006D7648"/>
    <w:rsid w:val="006D7AF1"/>
    <w:rsid w:val="006D7B27"/>
    <w:rsid w:val="006D7DAF"/>
    <w:rsid w:val="006D7F1D"/>
    <w:rsid w:val="006E0192"/>
    <w:rsid w:val="006E0228"/>
    <w:rsid w:val="006E02DC"/>
    <w:rsid w:val="006E0351"/>
    <w:rsid w:val="006E04CC"/>
    <w:rsid w:val="006E04CE"/>
    <w:rsid w:val="006E05A1"/>
    <w:rsid w:val="006E0C03"/>
    <w:rsid w:val="006E0FAC"/>
    <w:rsid w:val="006E1017"/>
    <w:rsid w:val="006E12C6"/>
    <w:rsid w:val="006E15C3"/>
    <w:rsid w:val="006E15EE"/>
    <w:rsid w:val="006E16ED"/>
    <w:rsid w:val="006E1874"/>
    <w:rsid w:val="006E1E20"/>
    <w:rsid w:val="006E204C"/>
    <w:rsid w:val="006E20E1"/>
    <w:rsid w:val="006E214B"/>
    <w:rsid w:val="006E251A"/>
    <w:rsid w:val="006E277D"/>
    <w:rsid w:val="006E2849"/>
    <w:rsid w:val="006E29A6"/>
    <w:rsid w:val="006E2B89"/>
    <w:rsid w:val="006E2C8A"/>
    <w:rsid w:val="006E310C"/>
    <w:rsid w:val="006E3122"/>
    <w:rsid w:val="006E3865"/>
    <w:rsid w:val="006E39F9"/>
    <w:rsid w:val="006E3BAE"/>
    <w:rsid w:val="006E4049"/>
    <w:rsid w:val="006E40C9"/>
    <w:rsid w:val="006E4BA7"/>
    <w:rsid w:val="006E4F51"/>
    <w:rsid w:val="006E502A"/>
    <w:rsid w:val="006E5113"/>
    <w:rsid w:val="006E5675"/>
    <w:rsid w:val="006E579E"/>
    <w:rsid w:val="006E58BA"/>
    <w:rsid w:val="006E5A94"/>
    <w:rsid w:val="006E5DA9"/>
    <w:rsid w:val="006E5E2B"/>
    <w:rsid w:val="006E5F2C"/>
    <w:rsid w:val="006E6045"/>
    <w:rsid w:val="006E618A"/>
    <w:rsid w:val="006E6422"/>
    <w:rsid w:val="006E644B"/>
    <w:rsid w:val="006E67C6"/>
    <w:rsid w:val="006E6864"/>
    <w:rsid w:val="006E69EF"/>
    <w:rsid w:val="006E6F3B"/>
    <w:rsid w:val="006E6F8C"/>
    <w:rsid w:val="006E6FA1"/>
    <w:rsid w:val="006E7109"/>
    <w:rsid w:val="006E73E6"/>
    <w:rsid w:val="006E75A2"/>
    <w:rsid w:val="006E7664"/>
    <w:rsid w:val="006E7A2F"/>
    <w:rsid w:val="006E7AA2"/>
    <w:rsid w:val="006E7C97"/>
    <w:rsid w:val="006F0081"/>
    <w:rsid w:val="006F0095"/>
    <w:rsid w:val="006F01D1"/>
    <w:rsid w:val="006F0394"/>
    <w:rsid w:val="006F0D60"/>
    <w:rsid w:val="006F156D"/>
    <w:rsid w:val="006F17F5"/>
    <w:rsid w:val="006F1B52"/>
    <w:rsid w:val="006F1BB3"/>
    <w:rsid w:val="006F1D86"/>
    <w:rsid w:val="006F1F1D"/>
    <w:rsid w:val="006F2063"/>
    <w:rsid w:val="006F2136"/>
    <w:rsid w:val="006F2232"/>
    <w:rsid w:val="006F2B97"/>
    <w:rsid w:val="006F2C7F"/>
    <w:rsid w:val="006F2D4F"/>
    <w:rsid w:val="006F2DD0"/>
    <w:rsid w:val="006F2F12"/>
    <w:rsid w:val="006F3072"/>
    <w:rsid w:val="006F3079"/>
    <w:rsid w:val="006F30FD"/>
    <w:rsid w:val="006F316B"/>
    <w:rsid w:val="006F322E"/>
    <w:rsid w:val="006F327C"/>
    <w:rsid w:val="006F3501"/>
    <w:rsid w:val="006F3778"/>
    <w:rsid w:val="006F37A4"/>
    <w:rsid w:val="006F37C9"/>
    <w:rsid w:val="006F3A03"/>
    <w:rsid w:val="006F3A2B"/>
    <w:rsid w:val="006F3DB3"/>
    <w:rsid w:val="006F421C"/>
    <w:rsid w:val="006F424F"/>
    <w:rsid w:val="006F43E8"/>
    <w:rsid w:val="006F45EF"/>
    <w:rsid w:val="006F4741"/>
    <w:rsid w:val="006F4E89"/>
    <w:rsid w:val="006F50DD"/>
    <w:rsid w:val="006F51B7"/>
    <w:rsid w:val="006F5246"/>
    <w:rsid w:val="006F5683"/>
    <w:rsid w:val="006F5703"/>
    <w:rsid w:val="006F592E"/>
    <w:rsid w:val="006F5A1C"/>
    <w:rsid w:val="006F5A2F"/>
    <w:rsid w:val="006F63ED"/>
    <w:rsid w:val="006F6441"/>
    <w:rsid w:val="006F6793"/>
    <w:rsid w:val="006F689F"/>
    <w:rsid w:val="006F6AE5"/>
    <w:rsid w:val="006F7098"/>
    <w:rsid w:val="006F71FA"/>
    <w:rsid w:val="006F721B"/>
    <w:rsid w:val="006F75D7"/>
    <w:rsid w:val="006F79C7"/>
    <w:rsid w:val="006F7C66"/>
    <w:rsid w:val="006F7D84"/>
    <w:rsid w:val="006F7E65"/>
    <w:rsid w:val="006F7EAB"/>
    <w:rsid w:val="00700509"/>
    <w:rsid w:val="007006D0"/>
    <w:rsid w:val="00700A19"/>
    <w:rsid w:val="00700B7C"/>
    <w:rsid w:val="00700C86"/>
    <w:rsid w:val="00700CDD"/>
    <w:rsid w:val="00700E74"/>
    <w:rsid w:val="007010B9"/>
    <w:rsid w:val="0070115B"/>
    <w:rsid w:val="0070118A"/>
    <w:rsid w:val="00701236"/>
    <w:rsid w:val="007014D9"/>
    <w:rsid w:val="007018C2"/>
    <w:rsid w:val="007018F8"/>
    <w:rsid w:val="00701A8B"/>
    <w:rsid w:val="00701D30"/>
    <w:rsid w:val="00701D92"/>
    <w:rsid w:val="00701E49"/>
    <w:rsid w:val="00701F58"/>
    <w:rsid w:val="00701F9F"/>
    <w:rsid w:val="00702114"/>
    <w:rsid w:val="0070213F"/>
    <w:rsid w:val="00702171"/>
    <w:rsid w:val="007021B0"/>
    <w:rsid w:val="007022A9"/>
    <w:rsid w:val="007024C9"/>
    <w:rsid w:val="0070254E"/>
    <w:rsid w:val="0070257C"/>
    <w:rsid w:val="00702622"/>
    <w:rsid w:val="00702899"/>
    <w:rsid w:val="00702D95"/>
    <w:rsid w:val="0070331B"/>
    <w:rsid w:val="00703824"/>
    <w:rsid w:val="0070382C"/>
    <w:rsid w:val="00703940"/>
    <w:rsid w:val="00703A78"/>
    <w:rsid w:val="00704240"/>
    <w:rsid w:val="007042A5"/>
    <w:rsid w:val="0070446D"/>
    <w:rsid w:val="007047B1"/>
    <w:rsid w:val="007047C0"/>
    <w:rsid w:val="007047C2"/>
    <w:rsid w:val="0070495A"/>
    <w:rsid w:val="00704A9E"/>
    <w:rsid w:val="00704AAF"/>
    <w:rsid w:val="00704AE6"/>
    <w:rsid w:val="00704B5C"/>
    <w:rsid w:val="00704D7B"/>
    <w:rsid w:val="00704DB0"/>
    <w:rsid w:val="00704EF3"/>
    <w:rsid w:val="00704FE4"/>
    <w:rsid w:val="00705360"/>
    <w:rsid w:val="0070536B"/>
    <w:rsid w:val="0070547E"/>
    <w:rsid w:val="0070554E"/>
    <w:rsid w:val="007057AE"/>
    <w:rsid w:val="00705897"/>
    <w:rsid w:val="00705B0D"/>
    <w:rsid w:val="00705EAD"/>
    <w:rsid w:val="00705ED1"/>
    <w:rsid w:val="007064B5"/>
    <w:rsid w:val="00706B03"/>
    <w:rsid w:val="00706C06"/>
    <w:rsid w:val="00706FEC"/>
    <w:rsid w:val="007070FF"/>
    <w:rsid w:val="0070781D"/>
    <w:rsid w:val="007078C9"/>
    <w:rsid w:val="00707AA3"/>
    <w:rsid w:val="0071000C"/>
    <w:rsid w:val="00710300"/>
    <w:rsid w:val="007103AC"/>
    <w:rsid w:val="00710593"/>
    <w:rsid w:val="007109B4"/>
    <w:rsid w:val="00710A69"/>
    <w:rsid w:val="00710DF3"/>
    <w:rsid w:val="0071105D"/>
    <w:rsid w:val="00711326"/>
    <w:rsid w:val="00711368"/>
    <w:rsid w:val="007116FD"/>
    <w:rsid w:val="007118B8"/>
    <w:rsid w:val="007119C9"/>
    <w:rsid w:val="007119E6"/>
    <w:rsid w:val="00711AAB"/>
    <w:rsid w:val="00711F0E"/>
    <w:rsid w:val="00711F35"/>
    <w:rsid w:val="00711FDD"/>
    <w:rsid w:val="007121A3"/>
    <w:rsid w:val="00712204"/>
    <w:rsid w:val="00712208"/>
    <w:rsid w:val="007126B7"/>
    <w:rsid w:val="007129D1"/>
    <w:rsid w:val="00712B8E"/>
    <w:rsid w:val="00712C58"/>
    <w:rsid w:val="00712D5D"/>
    <w:rsid w:val="00712F06"/>
    <w:rsid w:val="00713016"/>
    <w:rsid w:val="00713081"/>
    <w:rsid w:val="007136D1"/>
    <w:rsid w:val="00713742"/>
    <w:rsid w:val="00713C43"/>
    <w:rsid w:val="00713E68"/>
    <w:rsid w:val="00713ED6"/>
    <w:rsid w:val="00713FA1"/>
    <w:rsid w:val="00714016"/>
    <w:rsid w:val="0071486A"/>
    <w:rsid w:val="00714A3B"/>
    <w:rsid w:val="00714CFE"/>
    <w:rsid w:val="00714DC3"/>
    <w:rsid w:val="00714DF9"/>
    <w:rsid w:val="00714FB6"/>
    <w:rsid w:val="00715026"/>
    <w:rsid w:val="007150A6"/>
    <w:rsid w:val="007150EB"/>
    <w:rsid w:val="00715317"/>
    <w:rsid w:val="00715336"/>
    <w:rsid w:val="007156A1"/>
    <w:rsid w:val="00715872"/>
    <w:rsid w:val="00715AF4"/>
    <w:rsid w:val="00715BD1"/>
    <w:rsid w:val="00715CA2"/>
    <w:rsid w:val="00715D3C"/>
    <w:rsid w:val="00715F1A"/>
    <w:rsid w:val="007161B9"/>
    <w:rsid w:val="007161D1"/>
    <w:rsid w:val="0071633E"/>
    <w:rsid w:val="00716695"/>
    <w:rsid w:val="007166D4"/>
    <w:rsid w:val="00716AB0"/>
    <w:rsid w:val="00716D04"/>
    <w:rsid w:val="00716E67"/>
    <w:rsid w:val="00717185"/>
    <w:rsid w:val="0071723D"/>
    <w:rsid w:val="007175A0"/>
    <w:rsid w:val="007175FD"/>
    <w:rsid w:val="007177DE"/>
    <w:rsid w:val="00717A40"/>
    <w:rsid w:val="00717A92"/>
    <w:rsid w:val="00717D08"/>
    <w:rsid w:val="00717FAE"/>
    <w:rsid w:val="00720007"/>
    <w:rsid w:val="00720074"/>
    <w:rsid w:val="007200B6"/>
    <w:rsid w:val="0072031F"/>
    <w:rsid w:val="00720524"/>
    <w:rsid w:val="007205CA"/>
    <w:rsid w:val="007205DC"/>
    <w:rsid w:val="00720A49"/>
    <w:rsid w:val="00720D11"/>
    <w:rsid w:val="00721129"/>
    <w:rsid w:val="00721380"/>
    <w:rsid w:val="00721487"/>
    <w:rsid w:val="007216AD"/>
    <w:rsid w:val="00721787"/>
    <w:rsid w:val="007217D9"/>
    <w:rsid w:val="00721C24"/>
    <w:rsid w:val="00721F78"/>
    <w:rsid w:val="0072237C"/>
    <w:rsid w:val="00722412"/>
    <w:rsid w:val="007227A7"/>
    <w:rsid w:val="007228E5"/>
    <w:rsid w:val="00722B56"/>
    <w:rsid w:val="00722BA5"/>
    <w:rsid w:val="00722D7A"/>
    <w:rsid w:val="00723154"/>
    <w:rsid w:val="007234B6"/>
    <w:rsid w:val="007234E7"/>
    <w:rsid w:val="00723525"/>
    <w:rsid w:val="007236F1"/>
    <w:rsid w:val="00723ADC"/>
    <w:rsid w:val="00723B86"/>
    <w:rsid w:val="00723E68"/>
    <w:rsid w:val="007242BD"/>
    <w:rsid w:val="0072444A"/>
    <w:rsid w:val="007244DC"/>
    <w:rsid w:val="00724560"/>
    <w:rsid w:val="00724586"/>
    <w:rsid w:val="0072468E"/>
    <w:rsid w:val="00724691"/>
    <w:rsid w:val="00724907"/>
    <w:rsid w:val="00724A2E"/>
    <w:rsid w:val="00724A5C"/>
    <w:rsid w:val="00724AD5"/>
    <w:rsid w:val="00724D8F"/>
    <w:rsid w:val="00724E6E"/>
    <w:rsid w:val="00724EE9"/>
    <w:rsid w:val="00725023"/>
    <w:rsid w:val="0072503E"/>
    <w:rsid w:val="007250A9"/>
    <w:rsid w:val="007265D5"/>
    <w:rsid w:val="00726738"/>
    <w:rsid w:val="007267AA"/>
    <w:rsid w:val="00726A28"/>
    <w:rsid w:val="00726A6D"/>
    <w:rsid w:val="00726D64"/>
    <w:rsid w:val="00726EBD"/>
    <w:rsid w:val="00727352"/>
    <w:rsid w:val="00727865"/>
    <w:rsid w:val="00727A9B"/>
    <w:rsid w:val="007301E0"/>
    <w:rsid w:val="00730353"/>
    <w:rsid w:val="00730487"/>
    <w:rsid w:val="00730558"/>
    <w:rsid w:val="00730616"/>
    <w:rsid w:val="0073074F"/>
    <w:rsid w:val="00730774"/>
    <w:rsid w:val="00730861"/>
    <w:rsid w:val="007308EA"/>
    <w:rsid w:val="00730C94"/>
    <w:rsid w:val="00730EDA"/>
    <w:rsid w:val="0073104F"/>
    <w:rsid w:val="00731053"/>
    <w:rsid w:val="007310F1"/>
    <w:rsid w:val="007312AA"/>
    <w:rsid w:val="00731426"/>
    <w:rsid w:val="007314CA"/>
    <w:rsid w:val="00731840"/>
    <w:rsid w:val="00731960"/>
    <w:rsid w:val="00731C63"/>
    <w:rsid w:val="00732049"/>
    <w:rsid w:val="00732897"/>
    <w:rsid w:val="00732B2E"/>
    <w:rsid w:val="00732DA0"/>
    <w:rsid w:val="00733201"/>
    <w:rsid w:val="00733A8B"/>
    <w:rsid w:val="00733B00"/>
    <w:rsid w:val="00733CE6"/>
    <w:rsid w:val="00733F2E"/>
    <w:rsid w:val="0073411A"/>
    <w:rsid w:val="00734304"/>
    <w:rsid w:val="00734511"/>
    <w:rsid w:val="007349B9"/>
    <w:rsid w:val="00734BC1"/>
    <w:rsid w:val="00734DCE"/>
    <w:rsid w:val="00734F1B"/>
    <w:rsid w:val="00734F21"/>
    <w:rsid w:val="007350B8"/>
    <w:rsid w:val="0073537C"/>
    <w:rsid w:val="00735464"/>
    <w:rsid w:val="0073550F"/>
    <w:rsid w:val="007357BB"/>
    <w:rsid w:val="00735C88"/>
    <w:rsid w:val="00735D9B"/>
    <w:rsid w:val="00735DBE"/>
    <w:rsid w:val="00735EDB"/>
    <w:rsid w:val="00736042"/>
    <w:rsid w:val="00736426"/>
    <w:rsid w:val="00736496"/>
    <w:rsid w:val="0073652C"/>
    <w:rsid w:val="00736671"/>
    <w:rsid w:val="007368F2"/>
    <w:rsid w:val="00736B7A"/>
    <w:rsid w:val="00736CC9"/>
    <w:rsid w:val="00736D1B"/>
    <w:rsid w:val="00736DB1"/>
    <w:rsid w:val="00736DD2"/>
    <w:rsid w:val="00737670"/>
    <w:rsid w:val="007377C9"/>
    <w:rsid w:val="0073782F"/>
    <w:rsid w:val="0073787B"/>
    <w:rsid w:val="00737C8D"/>
    <w:rsid w:val="00737D6D"/>
    <w:rsid w:val="00740303"/>
    <w:rsid w:val="0074038F"/>
    <w:rsid w:val="00740795"/>
    <w:rsid w:val="00740BA4"/>
    <w:rsid w:val="00740C88"/>
    <w:rsid w:val="00741683"/>
    <w:rsid w:val="00741776"/>
    <w:rsid w:val="00741C1E"/>
    <w:rsid w:val="00741CAC"/>
    <w:rsid w:val="00741CD0"/>
    <w:rsid w:val="00741DC6"/>
    <w:rsid w:val="00741E03"/>
    <w:rsid w:val="00741EBB"/>
    <w:rsid w:val="00741FE1"/>
    <w:rsid w:val="00742138"/>
    <w:rsid w:val="00742402"/>
    <w:rsid w:val="007426B4"/>
    <w:rsid w:val="00742741"/>
    <w:rsid w:val="007429C2"/>
    <w:rsid w:val="007429D6"/>
    <w:rsid w:val="00742D72"/>
    <w:rsid w:val="00743116"/>
    <w:rsid w:val="00743272"/>
    <w:rsid w:val="0074327E"/>
    <w:rsid w:val="007435F9"/>
    <w:rsid w:val="00743680"/>
    <w:rsid w:val="007439BD"/>
    <w:rsid w:val="00743A5A"/>
    <w:rsid w:val="00743AAB"/>
    <w:rsid w:val="00743C06"/>
    <w:rsid w:val="00743C8D"/>
    <w:rsid w:val="00743FF6"/>
    <w:rsid w:val="007446C4"/>
    <w:rsid w:val="007447E2"/>
    <w:rsid w:val="00744859"/>
    <w:rsid w:val="00744B30"/>
    <w:rsid w:val="00744CDB"/>
    <w:rsid w:val="00744D56"/>
    <w:rsid w:val="00744DFB"/>
    <w:rsid w:val="00744E09"/>
    <w:rsid w:val="00745532"/>
    <w:rsid w:val="00745560"/>
    <w:rsid w:val="00745836"/>
    <w:rsid w:val="00745D64"/>
    <w:rsid w:val="00745E9A"/>
    <w:rsid w:val="00745E9E"/>
    <w:rsid w:val="00745F0E"/>
    <w:rsid w:val="00745FE9"/>
    <w:rsid w:val="0074613F"/>
    <w:rsid w:val="007462B0"/>
    <w:rsid w:val="007467E4"/>
    <w:rsid w:val="00746A79"/>
    <w:rsid w:val="00746E30"/>
    <w:rsid w:val="00746E90"/>
    <w:rsid w:val="00746E9E"/>
    <w:rsid w:val="007470CA"/>
    <w:rsid w:val="007471C0"/>
    <w:rsid w:val="00747A5E"/>
    <w:rsid w:val="00747A75"/>
    <w:rsid w:val="00747B48"/>
    <w:rsid w:val="00747BF0"/>
    <w:rsid w:val="00747D03"/>
    <w:rsid w:val="007504B7"/>
    <w:rsid w:val="007505F1"/>
    <w:rsid w:val="007507D7"/>
    <w:rsid w:val="0075088D"/>
    <w:rsid w:val="00750936"/>
    <w:rsid w:val="00750BD4"/>
    <w:rsid w:val="00750D17"/>
    <w:rsid w:val="00750D3B"/>
    <w:rsid w:val="0075110F"/>
    <w:rsid w:val="007516BC"/>
    <w:rsid w:val="00751755"/>
    <w:rsid w:val="0075177C"/>
    <w:rsid w:val="00751963"/>
    <w:rsid w:val="00751AA9"/>
    <w:rsid w:val="00751D4B"/>
    <w:rsid w:val="007520DD"/>
    <w:rsid w:val="00752126"/>
    <w:rsid w:val="00752245"/>
    <w:rsid w:val="0075226A"/>
    <w:rsid w:val="00752323"/>
    <w:rsid w:val="0075246C"/>
    <w:rsid w:val="00752640"/>
    <w:rsid w:val="00752941"/>
    <w:rsid w:val="0075325C"/>
    <w:rsid w:val="007537C2"/>
    <w:rsid w:val="00753803"/>
    <w:rsid w:val="00753DCB"/>
    <w:rsid w:val="00753E79"/>
    <w:rsid w:val="00753FAC"/>
    <w:rsid w:val="0075444F"/>
    <w:rsid w:val="007545AC"/>
    <w:rsid w:val="00754651"/>
    <w:rsid w:val="00754709"/>
    <w:rsid w:val="00754A59"/>
    <w:rsid w:val="00754D30"/>
    <w:rsid w:val="007552CF"/>
    <w:rsid w:val="00755507"/>
    <w:rsid w:val="007559CE"/>
    <w:rsid w:val="00755B60"/>
    <w:rsid w:val="00755DAE"/>
    <w:rsid w:val="00755E66"/>
    <w:rsid w:val="00756084"/>
    <w:rsid w:val="0075626C"/>
    <w:rsid w:val="00756380"/>
    <w:rsid w:val="007565A2"/>
    <w:rsid w:val="00756A61"/>
    <w:rsid w:val="00756AC8"/>
    <w:rsid w:val="00756B7E"/>
    <w:rsid w:val="00756DE4"/>
    <w:rsid w:val="00756F6A"/>
    <w:rsid w:val="007571A3"/>
    <w:rsid w:val="007604D6"/>
    <w:rsid w:val="007605A5"/>
    <w:rsid w:val="00760915"/>
    <w:rsid w:val="00760D7F"/>
    <w:rsid w:val="00760F24"/>
    <w:rsid w:val="007610C0"/>
    <w:rsid w:val="00761ABE"/>
    <w:rsid w:val="00761B19"/>
    <w:rsid w:val="00761CA7"/>
    <w:rsid w:val="00761DED"/>
    <w:rsid w:val="00761E4C"/>
    <w:rsid w:val="0076211B"/>
    <w:rsid w:val="007621DF"/>
    <w:rsid w:val="00762224"/>
    <w:rsid w:val="00762341"/>
    <w:rsid w:val="00762436"/>
    <w:rsid w:val="00762629"/>
    <w:rsid w:val="00762AEB"/>
    <w:rsid w:val="00762B9A"/>
    <w:rsid w:val="00762D38"/>
    <w:rsid w:val="00762EBA"/>
    <w:rsid w:val="007631CA"/>
    <w:rsid w:val="007631EC"/>
    <w:rsid w:val="0076321A"/>
    <w:rsid w:val="00763253"/>
    <w:rsid w:val="007632D5"/>
    <w:rsid w:val="00763328"/>
    <w:rsid w:val="00763365"/>
    <w:rsid w:val="0076357A"/>
    <w:rsid w:val="007636F9"/>
    <w:rsid w:val="007637D2"/>
    <w:rsid w:val="00763AAF"/>
    <w:rsid w:val="00763D7A"/>
    <w:rsid w:val="00763DAE"/>
    <w:rsid w:val="00763E24"/>
    <w:rsid w:val="00763E4F"/>
    <w:rsid w:val="00763F7B"/>
    <w:rsid w:val="007640D0"/>
    <w:rsid w:val="00764240"/>
    <w:rsid w:val="0076462A"/>
    <w:rsid w:val="00764777"/>
    <w:rsid w:val="007648BB"/>
    <w:rsid w:val="007648EC"/>
    <w:rsid w:val="007649BB"/>
    <w:rsid w:val="00764DE8"/>
    <w:rsid w:val="00764E22"/>
    <w:rsid w:val="00764EC5"/>
    <w:rsid w:val="007650E6"/>
    <w:rsid w:val="007651D9"/>
    <w:rsid w:val="00765540"/>
    <w:rsid w:val="007655E8"/>
    <w:rsid w:val="0076561F"/>
    <w:rsid w:val="0076565C"/>
    <w:rsid w:val="00765778"/>
    <w:rsid w:val="007657FC"/>
    <w:rsid w:val="00765C42"/>
    <w:rsid w:val="00765D6C"/>
    <w:rsid w:val="0076603A"/>
    <w:rsid w:val="0076615D"/>
    <w:rsid w:val="007661D0"/>
    <w:rsid w:val="0076692C"/>
    <w:rsid w:val="00766BC6"/>
    <w:rsid w:val="00766D80"/>
    <w:rsid w:val="007671E2"/>
    <w:rsid w:val="007674AA"/>
    <w:rsid w:val="00767596"/>
    <w:rsid w:val="00767971"/>
    <w:rsid w:val="00767AC5"/>
    <w:rsid w:val="00767C2A"/>
    <w:rsid w:val="00767FAF"/>
    <w:rsid w:val="007701C7"/>
    <w:rsid w:val="00770259"/>
    <w:rsid w:val="007702E9"/>
    <w:rsid w:val="00770341"/>
    <w:rsid w:val="007704A8"/>
    <w:rsid w:val="00770506"/>
    <w:rsid w:val="007706EE"/>
    <w:rsid w:val="007706F0"/>
    <w:rsid w:val="00770D64"/>
    <w:rsid w:val="00770DE4"/>
    <w:rsid w:val="00770E02"/>
    <w:rsid w:val="00770EB2"/>
    <w:rsid w:val="00770EBE"/>
    <w:rsid w:val="00770F01"/>
    <w:rsid w:val="00770FAC"/>
    <w:rsid w:val="007710F8"/>
    <w:rsid w:val="0077113D"/>
    <w:rsid w:val="00771733"/>
    <w:rsid w:val="007717E8"/>
    <w:rsid w:val="00771990"/>
    <w:rsid w:val="007719A3"/>
    <w:rsid w:val="007719A4"/>
    <w:rsid w:val="00771A82"/>
    <w:rsid w:val="00771AC5"/>
    <w:rsid w:val="00771ACA"/>
    <w:rsid w:val="00771B55"/>
    <w:rsid w:val="00772020"/>
    <w:rsid w:val="007722EE"/>
    <w:rsid w:val="00772440"/>
    <w:rsid w:val="00772753"/>
    <w:rsid w:val="007729DE"/>
    <w:rsid w:val="00773169"/>
    <w:rsid w:val="007732A6"/>
    <w:rsid w:val="00773328"/>
    <w:rsid w:val="0077337F"/>
    <w:rsid w:val="007734B1"/>
    <w:rsid w:val="007734F6"/>
    <w:rsid w:val="00773564"/>
    <w:rsid w:val="007738AD"/>
    <w:rsid w:val="00773CDF"/>
    <w:rsid w:val="00773E7B"/>
    <w:rsid w:val="007740D0"/>
    <w:rsid w:val="007741B7"/>
    <w:rsid w:val="00774237"/>
    <w:rsid w:val="007742F9"/>
    <w:rsid w:val="0077482B"/>
    <w:rsid w:val="0077498E"/>
    <w:rsid w:val="00774A7F"/>
    <w:rsid w:val="00774C67"/>
    <w:rsid w:val="00774F8F"/>
    <w:rsid w:val="007750D8"/>
    <w:rsid w:val="0077512D"/>
    <w:rsid w:val="007751BB"/>
    <w:rsid w:val="007753FD"/>
    <w:rsid w:val="00775CF4"/>
    <w:rsid w:val="00775F5C"/>
    <w:rsid w:val="00775FC2"/>
    <w:rsid w:val="00775FFC"/>
    <w:rsid w:val="00776311"/>
    <w:rsid w:val="00776332"/>
    <w:rsid w:val="007764FD"/>
    <w:rsid w:val="0077660E"/>
    <w:rsid w:val="00776821"/>
    <w:rsid w:val="00776957"/>
    <w:rsid w:val="00776A8B"/>
    <w:rsid w:val="0077703A"/>
    <w:rsid w:val="007770A3"/>
    <w:rsid w:val="007771F9"/>
    <w:rsid w:val="007774D4"/>
    <w:rsid w:val="007776B6"/>
    <w:rsid w:val="007776F7"/>
    <w:rsid w:val="007779E3"/>
    <w:rsid w:val="00777BCE"/>
    <w:rsid w:val="00777C73"/>
    <w:rsid w:val="00777F3D"/>
    <w:rsid w:val="007800F7"/>
    <w:rsid w:val="00780306"/>
    <w:rsid w:val="007803FD"/>
    <w:rsid w:val="00780494"/>
    <w:rsid w:val="00780518"/>
    <w:rsid w:val="007806FB"/>
    <w:rsid w:val="0078083B"/>
    <w:rsid w:val="00780930"/>
    <w:rsid w:val="00780B84"/>
    <w:rsid w:val="00780CED"/>
    <w:rsid w:val="00781205"/>
    <w:rsid w:val="007812CE"/>
    <w:rsid w:val="007814C2"/>
    <w:rsid w:val="00781749"/>
    <w:rsid w:val="0078182F"/>
    <w:rsid w:val="00781967"/>
    <w:rsid w:val="00781BE6"/>
    <w:rsid w:val="00782164"/>
    <w:rsid w:val="007823AE"/>
    <w:rsid w:val="007827AD"/>
    <w:rsid w:val="00782C65"/>
    <w:rsid w:val="00782EDC"/>
    <w:rsid w:val="00783012"/>
    <w:rsid w:val="00783286"/>
    <w:rsid w:val="0078355D"/>
    <w:rsid w:val="0078377E"/>
    <w:rsid w:val="007837F2"/>
    <w:rsid w:val="007839A3"/>
    <w:rsid w:val="00783A19"/>
    <w:rsid w:val="00783BE5"/>
    <w:rsid w:val="00783E94"/>
    <w:rsid w:val="00784784"/>
    <w:rsid w:val="00784A11"/>
    <w:rsid w:val="00784AE4"/>
    <w:rsid w:val="00784C95"/>
    <w:rsid w:val="00784D5B"/>
    <w:rsid w:val="00784FBA"/>
    <w:rsid w:val="0078526A"/>
    <w:rsid w:val="00785547"/>
    <w:rsid w:val="007855C2"/>
    <w:rsid w:val="007857BF"/>
    <w:rsid w:val="007857CC"/>
    <w:rsid w:val="00785B6E"/>
    <w:rsid w:val="00785DE0"/>
    <w:rsid w:val="00786131"/>
    <w:rsid w:val="0078621E"/>
    <w:rsid w:val="0078651C"/>
    <w:rsid w:val="00786576"/>
    <w:rsid w:val="007867B9"/>
    <w:rsid w:val="0078687F"/>
    <w:rsid w:val="00786999"/>
    <w:rsid w:val="00786CA2"/>
    <w:rsid w:val="00786DF4"/>
    <w:rsid w:val="00787117"/>
    <w:rsid w:val="007871CF"/>
    <w:rsid w:val="00787503"/>
    <w:rsid w:val="007876F3"/>
    <w:rsid w:val="007877FD"/>
    <w:rsid w:val="00787826"/>
    <w:rsid w:val="007879C9"/>
    <w:rsid w:val="00787AC8"/>
    <w:rsid w:val="00790000"/>
    <w:rsid w:val="00790042"/>
    <w:rsid w:val="00790542"/>
    <w:rsid w:val="007905FB"/>
    <w:rsid w:val="00790724"/>
    <w:rsid w:val="007909CA"/>
    <w:rsid w:val="00790AF2"/>
    <w:rsid w:val="00790BFA"/>
    <w:rsid w:val="00790F1B"/>
    <w:rsid w:val="0079129D"/>
    <w:rsid w:val="0079193D"/>
    <w:rsid w:val="00791A57"/>
    <w:rsid w:val="00791B00"/>
    <w:rsid w:val="00791CC1"/>
    <w:rsid w:val="007920C1"/>
    <w:rsid w:val="007920F2"/>
    <w:rsid w:val="00792171"/>
    <w:rsid w:val="0079231C"/>
    <w:rsid w:val="00792383"/>
    <w:rsid w:val="00792548"/>
    <w:rsid w:val="00792583"/>
    <w:rsid w:val="0079261F"/>
    <w:rsid w:val="007927FB"/>
    <w:rsid w:val="007931D0"/>
    <w:rsid w:val="0079324B"/>
    <w:rsid w:val="00793322"/>
    <w:rsid w:val="0079343B"/>
    <w:rsid w:val="007934B1"/>
    <w:rsid w:val="00793564"/>
    <w:rsid w:val="0079358F"/>
    <w:rsid w:val="00793AE3"/>
    <w:rsid w:val="00793E3B"/>
    <w:rsid w:val="00793F1D"/>
    <w:rsid w:val="00793FD7"/>
    <w:rsid w:val="007942E5"/>
    <w:rsid w:val="00794306"/>
    <w:rsid w:val="00794360"/>
    <w:rsid w:val="007945A9"/>
    <w:rsid w:val="00794867"/>
    <w:rsid w:val="007948D1"/>
    <w:rsid w:val="00794922"/>
    <w:rsid w:val="007952A4"/>
    <w:rsid w:val="007955CB"/>
    <w:rsid w:val="007955D4"/>
    <w:rsid w:val="0079565D"/>
    <w:rsid w:val="007957A0"/>
    <w:rsid w:val="00795968"/>
    <w:rsid w:val="00795AD6"/>
    <w:rsid w:val="00795E76"/>
    <w:rsid w:val="00796243"/>
    <w:rsid w:val="007966A9"/>
    <w:rsid w:val="00796917"/>
    <w:rsid w:val="007969FD"/>
    <w:rsid w:val="007970AE"/>
    <w:rsid w:val="00797343"/>
    <w:rsid w:val="00797453"/>
    <w:rsid w:val="007974E4"/>
    <w:rsid w:val="007977BE"/>
    <w:rsid w:val="007978FA"/>
    <w:rsid w:val="00797991"/>
    <w:rsid w:val="00797B7F"/>
    <w:rsid w:val="00797F9F"/>
    <w:rsid w:val="00797FD8"/>
    <w:rsid w:val="007A0105"/>
    <w:rsid w:val="007A01FE"/>
    <w:rsid w:val="007A0315"/>
    <w:rsid w:val="007A04CF"/>
    <w:rsid w:val="007A0B72"/>
    <w:rsid w:val="007A0CB9"/>
    <w:rsid w:val="007A0D3F"/>
    <w:rsid w:val="007A1100"/>
    <w:rsid w:val="007A112E"/>
    <w:rsid w:val="007A123D"/>
    <w:rsid w:val="007A1277"/>
    <w:rsid w:val="007A1348"/>
    <w:rsid w:val="007A135F"/>
    <w:rsid w:val="007A138F"/>
    <w:rsid w:val="007A15F9"/>
    <w:rsid w:val="007A18B5"/>
    <w:rsid w:val="007A1904"/>
    <w:rsid w:val="007A1C02"/>
    <w:rsid w:val="007A1C26"/>
    <w:rsid w:val="007A1D7A"/>
    <w:rsid w:val="007A1E9B"/>
    <w:rsid w:val="007A1ECA"/>
    <w:rsid w:val="007A215E"/>
    <w:rsid w:val="007A22AD"/>
    <w:rsid w:val="007A23F0"/>
    <w:rsid w:val="007A25F7"/>
    <w:rsid w:val="007A2AEB"/>
    <w:rsid w:val="007A2FF8"/>
    <w:rsid w:val="007A3217"/>
    <w:rsid w:val="007A3297"/>
    <w:rsid w:val="007A37D6"/>
    <w:rsid w:val="007A392C"/>
    <w:rsid w:val="007A3BD4"/>
    <w:rsid w:val="007A3FB5"/>
    <w:rsid w:val="007A4012"/>
    <w:rsid w:val="007A4158"/>
    <w:rsid w:val="007A4669"/>
    <w:rsid w:val="007A4775"/>
    <w:rsid w:val="007A4C2F"/>
    <w:rsid w:val="007A4D29"/>
    <w:rsid w:val="007A51A8"/>
    <w:rsid w:val="007A5863"/>
    <w:rsid w:val="007A5B23"/>
    <w:rsid w:val="007A5BB1"/>
    <w:rsid w:val="007A5BF8"/>
    <w:rsid w:val="007A5C7E"/>
    <w:rsid w:val="007A614C"/>
    <w:rsid w:val="007A62AA"/>
    <w:rsid w:val="007A63D5"/>
    <w:rsid w:val="007A65F3"/>
    <w:rsid w:val="007A675E"/>
    <w:rsid w:val="007A69DA"/>
    <w:rsid w:val="007A6E04"/>
    <w:rsid w:val="007A70DA"/>
    <w:rsid w:val="007A714B"/>
    <w:rsid w:val="007A716A"/>
    <w:rsid w:val="007A7365"/>
    <w:rsid w:val="007A7516"/>
    <w:rsid w:val="007A77A2"/>
    <w:rsid w:val="007A7A83"/>
    <w:rsid w:val="007A7C95"/>
    <w:rsid w:val="007A7ED8"/>
    <w:rsid w:val="007A7F99"/>
    <w:rsid w:val="007B00F5"/>
    <w:rsid w:val="007B0180"/>
    <w:rsid w:val="007B0351"/>
    <w:rsid w:val="007B06DC"/>
    <w:rsid w:val="007B082A"/>
    <w:rsid w:val="007B0982"/>
    <w:rsid w:val="007B0D98"/>
    <w:rsid w:val="007B114F"/>
    <w:rsid w:val="007B12B8"/>
    <w:rsid w:val="007B1350"/>
    <w:rsid w:val="007B1596"/>
    <w:rsid w:val="007B15C0"/>
    <w:rsid w:val="007B179F"/>
    <w:rsid w:val="007B194E"/>
    <w:rsid w:val="007B19D9"/>
    <w:rsid w:val="007B1BF7"/>
    <w:rsid w:val="007B203C"/>
    <w:rsid w:val="007B2230"/>
    <w:rsid w:val="007B28A5"/>
    <w:rsid w:val="007B2AE2"/>
    <w:rsid w:val="007B2B86"/>
    <w:rsid w:val="007B2EFD"/>
    <w:rsid w:val="007B33AB"/>
    <w:rsid w:val="007B35C0"/>
    <w:rsid w:val="007B36AE"/>
    <w:rsid w:val="007B3839"/>
    <w:rsid w:val="007B3869"/>
    <w:rsid w:val="007B3948"/>
    <w:rsid w:val="007B3960"/>
    <w:rsid w:val="007B3CE1"/>
    <w:rsid w:val="007B3D0B"/>
    <w:rsid w:val="007B4032"/>
    <w:rsid w:val="007B4136"/>
    <w:rsid w:val="007B43E4"/>
    <w:rsid w:val="007B453E"/>
    <w:rsid w:val="007B473B"/>
    <w:rsid w:val="007B4830"/>
    <w:rsid w:val="007B485E"/>
    <w:rsid w:val="007B487A"/>
    <w:rsid w:val="007B4D00"/>
    <w:rsid w:val="007B4D0A"/>
    <w:rsid w:val="007B4F84"/>
    <w:rsid w:val="007B514C"/>
    <w:rsid w:val="007B5490"/>
    <w:rsid w:val="007B5C44"/>
    <w:rsid w:val="007B5CF2"/>
    <w:rsid w:val="007B5D25"/>
    <w:rsid w:val="007B6094"/>
    <w:rsid w:val="007B60ED"/>
    <w:rsid w:val="007B6347"/>
    <w:rsid w:val="007B6436"/>
    <w:rsid w:val="007B6728"/>
    <w:rsid w:val="007B679A"/>
    <w:rsid w:val="007B6911"/>
    <w:rsid w:val="007B6B57"/>
    <w:rsid w:val="007B6FFE"/>
    <w:rsid w:val="007B7123"/>
    <w:rsid w:val="007B7213"/>
    <w:rsid w:val="007B7270"/>
    <w:rsid w:val="007B7568"/>
    <w:rsid w:val="007B7584"/>
    <w:rsid w:val="007B779D"/>
    <w:rsid w:val="007B7A06"/>
    <w:rsid w:val="007B7F19"/>
    <w:rsid w:val="007B7F94"/>
    <w:rsid w:val="007B7FE2"/>
    <w:rsid w:val="007C010A"/>
    <w:rsid w:val="007C03DB"/>
    <w:rsid w:val="007C0498"/>
    <w:rsid w:val="007C0625"/>
    <w:rsid w:val="007C0870"/>
    <w:rsid w:val="007C0910"/>
    <w:rsid w:val="007C0C65"/>
    <w:rsid w:val="007C0F86"/>
    <w:rsid w:val="007C10EC"/>
    <w:rsid w:val="007C1275"/>
    <w:rsid w:val="007C12C8"/>
    <w:rsid w:val="007C19A3"/>
    <w:rsid w:val="007C1A15"/>
    <w:rsid w:val="007C1D28"/>
    <w:rsid w:val="007C2149"/>
    <w:rsid w:val="007C22F9"/>
    <w:rsid w:val="007C24C3"/>
    <w:rsid w:val="007C24FD"/>
    <w:rsid w:val="007C258F"/>
    <w:rsid w:val="007C29BD"/>
    <w:rsid w:val="007C2F08"/>
    <w:rsid w:val="007C3154"/>
    <w:rsid w:val="007C331D"/>
    <w:rsid w:val="007C33A7"/>
    <w:rsid w:val="007C37DC"/>
    <w:rsid w:val="007C3802"/>
    <w:rsid w:val="007C3A62"/>
    <w:rsid w:val="007C3A72"/>
    <w:rsid w:val="007C3B17"/>
    <w:rsid w:val="007C3EA1"/>
    <w:rsid w:val="007C40E9"/>
    <w:rsid w:val="007C4102"/>
    <w:rsid w:val="007C41D1"/>
    <w:rsid w:val="007C45FB"/>
    <w:rsid w:val="007C46D3"/>
    <w:rsid w:val="007C485C"/>
    <w:rsid w:val="007C4C14"/>
    <w:rsid w:val="007C5019"/>
    <w:rsid w:val="007C5277"/>
    <w:rsid w:val="007C558B"/>
    <w:rsid w:val="007C5EBD"/>
    <w:rsid w:val="007C60F4"/>
    <w:rsid w:val="007C61A0"/>
    <w:rsid w:val="007C61C2"/>
    <w:rsid w:val="007C6342"/>
    <w:rsid w:val="007C6799"/>
    <w:rsid w:val="007C67B7"/>
    <w:rsid w:val="007C68A4"/>
    <w:rsid w:val="007C68A6"/>
    <w:rsid w:val="007C69F5"/>
    <w:rsid w:val="007C6B3A"/>
    <w:rsid w:val="007C6E21"/>
    <w:rsid w:val="007C7154"/>
    <w:rsid w:val="007C723A"/>
    <w:rsid w:val="007C7265"/>
    <w:rsid w:val="007C7ACF"/>
    <w:rsid w:val="007C7AD6"/>
    <w:rsid w:val="007C7B51"/>
    <w:rsid w:val="007C7D22"/>
    <w:rsid w:val="007C7DF7"/>
    <w:rsid w:val="007CF606"/>
    <w:rsid w:val="007D0170"/>
    <w:rsid w:val="007D01AC"/>
    <w:rsid w:val="007D029E"/>
    <w:rsid w:val="007D033D"/>
    <w:rsid w:val="007D0534"/>
    <w:rsid w:val="007D06F6"/>
    <w:rsid w:val="007D089F"/>
    <w:rsid w:val="007D0F91"/>
    <w:rsid w:val="007D1170"/>
    <w:rsid w:val="007D121D"/>
    <w:rsid w:val="007D1277"/>
    <w:rsid w:val="007D12E8"/>
    <w:rsid w:val="007D13B8"/>
    <w:rsid w:val="007D1762"/>
    <w:rsid w:val="007D17AD"/>
    <w:rsid w:val="007D1A3F"/>
    <w:rsid w:val="007D1AB9"/>
    <w:rsid w:val="007D1E61"/>
    <w:rsid w:val="007D1E67"/>
    <w:rsid w:val="007D1F3E"/>
    <w:rsid w:val="007D20EA"/>
    <w:rsid w:val="007D2101"/>
    <w:rsid w:val="007D214F"/>
    <w:rsid w:val="007D218A"/>
    <w:rsid w:val="007D2344"/>
    <w:rsid w:val="007D238C"/>
    <w:rsid w:val="007D2665"/>
    <w:rsid w:val="007D27F4"/>
    <w:rsid w:val="007D292C"/>
    <w:rsid w:val="007D2A43"/>
    <w:rsid w:val="007D2D9A"/>
    <w:rsid w:val="007D2F52"/>
    <w:rsid w:val="007D301C"/>
    <w:rsid w:val="007D32F6"/>
    <w:rsid w:val="007D33D2"/>
    <w:rsid w:val="007D36D7"/>
    <w:rsid w:val="007D3748"/>
    <w:rsid w:val="007D3A24"/>
    <w:rsid w:val="007D3B86"/>
    <w:rsid w:val="007D3C20"/>
    <w:rsid w:val="007D3F58"/>
    <w:rsid w:val="007D400C"/>
    <w:rsid w:val="007D4134"/>
    <w:rsid w:val="007D4252"/>
    <w:rsid w:val="007D43E3"/>
    <w:rsid w:val="007D48EC"/>
    <w:rsid w:val="007D4A2E"/>
    <w:rsid w:val="007D4AEC"/>
    <w:rsid w:val="007D4C5B"/>
    <w:rsid w:val="007D4CBE"/>
    <w:rsid w:val="007D5148"/>
    <w:rsid w:val="007D51B9"/>
    <w:rsid w:val="007D5493"/>
    <w:rsid w:val="007D55E2"/>
    <w:rsid w:val="007D5662"/>
    <w:rsid w:val="007D56C8"/>
    <w:rsid w:val="007D56D8"/>
    <w:rsid w:val="007D592E"/>
    <w:rsid w:val="007D5C60"/>
    <w:rsid w:val="007D5D34"/>
    <w:rsid w:val="007D6357"/>
    <w:rsid w:val="007D64F0"/>
    <w:rsid w:val="007D6638"/>
    <w:rsid w:val="007D667E"/>
    <w:rsid w:val="007D6766"/>
    <w:rsid w:val="007D678B"/>
    <w:rsid w:val="007D68ED"/>
    <w:rsid w:val="007D6A1A"/>
    <w:rsid w:val="007D6B59"/>
    <w:rsid w:val="007D6BA8"/>
    <w:rsid w:val="007D6BBC"/>
    <w:rsid w:val="007D6ECF"/>
    <w:rsid w:val="007D6F1D"/>
    <w:rsid w:val="007D773D"/>
    <w:rsid w:val="007D77BC"/>
    <w:rsid w:val="007D7B07"/>
    <w:rsid w:val="007D7BCB"/>
    <w:rsid w:val="007D7C1B"/>
    <w:rsid w:val="007D7C83"/>
    <w:rsid w:val="007E01C9"/>
    <w:rsid w:val="007E0218"/>
    <w:rsid w:val="007E063B"/>
    <w:rsid w:val="007E0833"/>
    <w:rsid w:val="007E084D"/>
    <w:rsid w:val="007E0BC4"/>
    <w:rsid w:val="007E0D05"/>
    <w:rsid w:val="007E0D88"/>
    <w:rsid w:val="007E0E18"/>
    <w:rsid w:val="007E0FF7"/>
    <w:rsid w:val="007E10A0"/>
    <w:rsid w:val="007E15BC"/>
    <w:rsid w:val="007E16A4"/>
    <w:rsid w:val="007E17B0"/>
    <w:rsid w:val="007E1AF7"/>
    <w:rsid w:val="007E1B54"/>
    <w:rsid w:val="007E1C2F"/>
    <w:rsid w:val="007E2962"/>
    <w:rsid w:val="007E2B3F"/>
    <w:rsid w:val="007E300C"/>
    <w:rsid w:val="007E341F"/>
    <w:rsid w:val="007E3A63"/>
    <w:rsid w:val="007E3AE6"/>
    <w:rsid w:val="007E3B12"/>
    <w:rsid w:val="007E3B7C"/>
    <w:rsid w:val="007E3CB1"/>
    <w:rsid w:val="007E41F3"/>
    <w:rsid w:val="007E4260"/>
    <w:rsid w:val="007E428C"/>
    <w:rsid w:val="007E42A5"/>
    <w:rsid w:val="007E4351"/>
    <w:rsid w:val="007E4489"/>
    <w:rsid w:val="007E44EF"/>
    <w:rsid w:val="007E459B"/>
    <w:rsid w:val="007E479D"/>
    <w:rsid w:val="007E4D49"/>
    <w:rsid w:val="007E4D68"/>
    <w:rsid w:val="007E4D86"/>
    <w:rsid w:val="007E4E18"/>
    <w:rsid w:val="007E527F"/>
    <w:rsid w:val="007E531A"/>
    <w:rsid w:val="007E537D"/>
    <w:rsid w:val="007E5509"/>
    <w:rsid w:val="007E551D"/>
    <w:rsid w:val="007E56C6"/>
    <w:rsid w:val="007E580D"/>
    <w:rsid w:val="007E5C04"/>
    <w:rsid w:val="007E5C4C"/>
    <w:rsid w:val="007E5DBF"/>
    <w:rsid w:val="007E5F6C"/>
    <w:rsid w:val="007E613B"/>
    <w:rsid w:val="007E62FA"/>
    <w:rsid w:val="007E632F"/>
    <w:rsid w:val="007E6694"/>
    <w:rsid w:val="007E6944"/>
    <w:rsid w:val="007E6A85"/>
    <w:rsid w:val="007E6E59"/>
    <w:rsid w:val="007E6E98"/>
    <w:rsid w:val="007E6F51"/>
    <w:rsid w:val="007E6F60"/>
    <w:rsid w:val="007E7099"/>
    <w:rsid w:val="007E72B8"/>
    <w:rsid w:val="007E7326"/>
    <w:rsid w:val="007E7357"/>
    <w:rsid w:val="007E73C0"/>
    <w:rsid w:val="007E7438"/>
    <w:rsid w:val="007E744A"/>
    <w:rsid w:val="007E76F7"/>
    <w:rsid w:val="007E7D69"/>
    <w:rsid w:val="007E7D86"/>
    <w:rsid w:val="007E7DA2"/>
    <w:rsid w:val="007E7DDB"/>
    <w:rsid w:val="007E7F12"/>
    <w:rsid w:val="007F02F3"/>
    <w:rsid w:val="007F039A"/>
    <w:rsid w:val="007F0893"/>
    <w:rsid w:val="007F0DD2"/>
    <w:rsid w:val="007F0F93"/>
    <w:rsid w:val="007F103B"/>
    <w:rsid w:val="007F1128"/>
    <w:rsid w:val="007F11A9"/>
    <w:rsid w:val="007F13A0"/>
    <w:rsid w:val="007F145F"/>
    <w:rsid w:val="007F1669"/>
    <w:rsid w:val="007F1CF8"/>
    <w:rsid w:val="007F1D52"/>
    <w:rsid w:val="007F235B"/>
    <w:rsid w:val="007F2902"/>
    <w:rsid w:val="007F2AFC"/>
    <w:rsid w:val="007F2E84"/>
    <w:rsid w:val="007F2E99"/>
    <w:rsid w:val="007F2EED"/>
    <w:rsid w:val="007F2FC4"/>
    <w:rsid w:val="007F3010"/>
    <w:rsid w:val="007F3066"/>
    <w:rsid w:val="007F31A4"/>
    <w:rsid w:val="007F32C6"/>
    <w:rsid w:val="007F3305"/>
    <w:rsid w:val="007F3419"/>
    <w:rsid w:val="007F3505"/>
    <w:rsid w:val="007F3703"/>
    <w:rsid w:val="007F370C"/>
    <w:rsid w:val="007F3864"/>
    <w:rsid w:val="007F3B89"/>
    <w:rsid w:val="007F3BED"/>
    <w:rsid w:val="007F3C38"/>
    <w:rsid w:val="007F3C3C"/>
    <w:rsid w:val="007F444A"/>
    <w:rsid w:val="007F4608"/>
    <w:rsid w:val="007F4721"/>
    <w:rsid w:val="007F4788"/>
    <w:rsid w:val="007F48E0"/>
    <w:rsid w:val="007F4BF5"/>
    <w:rsid w:val="007F4C12"/>
    <w:rsid w:val="007F4E28"/>
    <w:rsid w:val="007F4F1D"/>
    <w:rsid w:val="007F5222"/>
    <w:rsid w:val="007F536E"/>
    <w:rsid w:val="007F546E"/>
    <w:rsid w:val="007F5702"/>
    <w:rsid w:val="007F5841"/>
    <w:rsid w:val="007F593E"/>
    <w:rsid w:val="007F598E"/>
    <w:rsid w:val="007F5D28"/>
    <w:rsid w:val="007F5DCD"/>
    <w:rsid w:val="007F5FF7"/>
    <w:rsid w:val="007F6083"/>
    <w:rsid w:val="007F62F9"/>
    <w:rsid w:val="007F6496"/>
    <w:rsid w:val="007F6561"/>
    <w:rsid w:val="007F6771"/>
    <w:rsid w:val="007F6B3E"/>
    <w:rsid w:val="007F6BB6"/>
    <w:rsid w:val="007F6E3C"/>
    <w:rsid w:val="007F6EF8"/>
    <w:rsid w:val="007F7082"/>
    <w:rsid w:val="007F719B"/>
    <w:rsid w:val="007F71D0"/>
    <w:rsid w:val="007F7385"/>
    <w:rsid w:val="007F7391"/>
    <w:rsid w:val="007F76C0"/>
    <w:rsid w:val="007F7987"/>
    <w:rsid w:val="007F7B5B"/>
    <w:rsid w:val="007F7E65"/>
    <w:rsid w:val="00800026"/>
    <w:rsid w:val="008003AE"/>
    <w:rsid w:val="00800A6C"/>
    <w:rsid w:val="008012A9"/>
    <w:rsid w:val="00801683"/>
    <w:rsid w:val="008018FC"/>
    <w:rsid w:val="00801B62"/>
    <w:rsid w:val="00801D84"/>
    <w:rsid w:val="00801EEA"/>
    <w:rsid w:val="00801F3C"/>
    <w:rsid w:val="00801FE8"/>
    <w:rsid w:val="00802132"/>
    <w:rsid w:val="00802134"/>
    <w:rsid w:val="008022DB"/>
    <w:rsid w:val="0080235C"/>
    <w:rsid w:val="00802594"/>
    <w:rsid w:val="008025A4"/>
    <w:rsid w:val="00802631"/>
    <w:rsid w:val="00802EF6"/>
    <w:rsid w:val="00802F22"/>
    <w:rsid w:val="00803098"/>
    <w:rsid w:val="00803114"/>
    <w:rsid w:val="008032DF"/>
    <w:rsid w:val="0080332B"/>
    <w:rsid w:val="008033B9"/>
    <w:rsid w:val="0080359A"/>
    <w:rsid w:val="008036B1"/>
    <w:rsid w:val="008037E8"/>
    <w:rsid w:val="008039B1"/>
    <w:rsid w:val="00803A8F"/>
    <w:rsid w:val="00803B1E"/>
    <w:rsid w:val="00803C37"/>
    <w:rsid w:val="00803F3B"/>
    <w:rsid w:val="00804602"/>
    <w:rsid w:val="008046E7"/>
    <w:rsid w:val="00804A6D"/>
    <w:rsid w:val="0080502A"/>
    <w:rsid w:val="00805488"/>
    <w:rsid w:val="00805ED4"/>
    <w:rsid w:val="00805F59"/>
    <w:rsid w:val="008060CA"/>
    <w:rsid w:val="008061B5"/>
    <w:rsid w:val="0080634D"/>
    <w:rsid w:val="008063EA"/>
    <w:rsid w:val="0080665E"/>
    <w:rsid w:val="008066E9"/>
    <w:rsid w:val="0080693F"/>
    <w:rsid w:val="00806AF6"/>
    <w:rsid w:val="00806EF2"/>
    <w:rsid w:val="00807022"/>
    <w:rsid w:val="008072B6"/>
    <w:rsid w:val="008072D5"/>
    <w:rsid w:val="008074A2"/>
    <w:rsid w:val="008076D1"/>
    <w:rsid w:val="0080794E"/>
    <w:rsid w:val="00807A66"/>
    <w:rsid w:val="00807C10"/>
    <w:rsid w:val="00807FA1"/>
    <w:rsid w:val="008100B9"/>
    <w:rsid w:val="00810377"/>
    <w:rsid w:val="00810382"/>
    <w:rsid w:val="008107C6"/>
    <w:rsid w:val="008108AD"/>
    <w:rsid w:val="008109D3"/>
    <w:rsid w:val="00810BDF"/>
    <w:rsid w:val="0081108F"/>
    <w:rsid w:val="008114BA"/>
    <w:rsid w:val="0081155D"/>
    <w:rsid w:val="00811AD4"/>
    <w:rsid w:val="00811D4D"/>
    <w:rsid w:val="00812139"/>
    <w:rsid w:val="008122FD"/>
    <w:rsid w:val="00812368"/>
    <w:rsid w:val="0081260E"/>
    <w:rsid w:val="0081262C"/>
    <w:rsid w:val="008126F1"/>
    <w:rsid w:val="008127DB"/>
    <w:rsid w:val="0081280B"/>
    <w:rsid w:val="0081283B"/>
    <w:rsid w:val="00812977"/>
    <w:rsid w:val="00812B5A"/>
    <w:rsid w:val="00812CC9"/>
    <w:rsid w:val="00812E58"/>
    <w:rsid w:val="00813186"/>
    <w:rsid w:val="00813254"/>
    <w:rsid w:val="008138B2"/>
    <w:rsid w:val="008139C1"/>
    <w:rsid w:val="00813AAB"/>
    <w:rsid w:val="00813F32"/>
    <w:rsid w:val="00813FCC"/>
    <w:rsid w:val="00814036"/>
    <w:rsid w:val="0081408A"/>
    <w:rsid w:val="00814128"/>
    <w:rsid w:val="00814274"/>
    <w:rsid w:val="0081444B"/>
    <w:rsid w:val="00814535"/>
    <w:rsid w:val="00814731"/>
    <w:rsid w:val="00814867"/>
    <w:rsid w:val="00814995"/>
    <w:rsid w:val="008149D5"/>
    <w:rsid w:val="00814AB4"/>
    <w:rsid w:val="00814FBA"/>
    <w:rsid w:val="00814FE8"/>
    <w:rsid w:val="008150B9"/>
    <w:rsid w:val="008150D6"/>
    <w:rsid w:val="00815295"/>
    <w:rsid w:val="0081534D"/>
    <w:rsid w:val="008154CB"/>
    <w:rsid w:val="008157AA"/>
    <w:rsid w:val="00815AA7"/>
    <w:rsid w:val="00816373"/>
    <w:rsid w:val="008163D2"/>
    <w:rsid w:val="0081657A"/>
    <w:rsid w:val="008165BD"/>
    <w:rsid w:val="008168C3"/>
    <w:rsid w:val="00816B5D"/>
    <w:rsid w:val="00816C50"/>
    <w:rsid w:val="00816D32"/>
    <w:rsid w:val="00816D4D"/>
    <w:rsid w:val="00816DC7"/>
    <w:rsid w:val="0081713B"/>
    <w:rsid w:val="008171FE"/>
    <w:rsid w:val="008172A2"/>
    <w:rsid w:val="008172DE"/>
    <w:rsid w:val="00817310"/>
    <w:rsid w:val="00817354"/>
    <w:rsid w:val="00817761"/>
    <w:rsid w:val="008178BA"/>
    <w:rsid w:val="00817D91"/>
    <w:rsid w:val="00817DB2"/>
    <w:rsid w:val="00817FCD"/>
    <w:rsid w:val="008201A1"/>
    <w:rsid w:val="0082032C"/>
    <w:rsid w:val="00820767"/>
    <w:rsid w:val="008207CE"/>
    <w:rsid w:val="0082096F"/>
    <w:rsid w:val="00820D68"/>
    <w:rsid w:val="00821032"/>
    <w:rsid w:val="0082112B"/>
    <w:rsid w:val="008211E9"/>
    <w:rsid w:val="00821202"/>
    <w:rsid w:val="00821808"/>
    <w:rsid w:val="008218FC"/>
    <w:rsid w:val="00821B5F"/>
    <w:rsid w:val="00821D68"/>
    <w:rsid w:val="00822210"/>
    <w:rsid w:val="00822624"/>
    <w:rsid w:val="00822676"/>
    <w:rsid w:val="00822B45"/>
    <w:rsid w:val="00822BE0"/>
    <w:rsid w:val="00822C19"/>
    <w:rsid w:val="00822E17"/>
    <w:rsid w:val="0082306F"/>
    <w:rsid w:val="0082313F"/>
    <w:rsid w:val="0082321B"/>
    <w:rsid w:val="008232C3"/>
    <w:rsid w:val="008234BD"/>
    <w:rsid w:val="00823927"/>
    <w:rsid w:val="008239C8"/>
    <w:rsid w:val="00823DA1"/>
    <w:rsid w:val="00823DF5"/>
    <w:rsid w:val="00823E95"/>
    <w:rsid w:val="00824064"/>
    <w:rsid w:val="0082430F"/>
    <w:rsid w:val="008245BF"/>
    <w:rsid w:val="0082466D"/>
    <w:rsid w:val="008246C5"/>
    <w:rsid w:val="00824A8B"/>
    <w:rsid w:val="00824BFE"/>
    <w:rsid w:val="00824D84"/>
    <w:rsid w:val="00824E57"/>
    <w:rsid w:val="00824F73"/>
    <w:rsid w:val="00825D9C"/>
    <w:rsid w:val="00825F04"/>
    <w:rsid w:val="0082635D"/>
    <w:rsid w:val="008265CD"/>
    <w:rsid w:val="008265E9"/>
    <w:rsid w:val="00826763"/>
    <w:rsid w:val="008268DA"/>
    <w:rsid w:val="00826A64"/>
    <w:rsid w:val="00826B21"/>
    <w:rsid w:val="00826F1D"/>
    <w:rsid w:val="00826F7D"/>
    <w:rsid w:val="008270FB"/>
    <w:rsid w:val="00827293"/>
    <w:rsid w:val="008272C8"/>
    <w:rsid w:val="00827430"/>
    <w:rsid w:val="008274A3"/>
    <w:rsid w:val="0082790F"/>
    <w:rsid w:val="00827FC3"/>
    <w:rsid w:val="00830233"/>
    <w:rsid w:val="0083059E"/>
    <w:rsid w:val="00830632"/>
    <w:rsid w:val="008306C4"/>
    <w:rsid w:val="0083074F"/>
    <w:rsid w:val="008307DF"/>
    <w:rsid w:val="008311F5"/>
    <w:rsid w:val="00831219"/>
    <w:rsid w:val="0083124B"/>
    <w:rsid w:val="00831814"/>
    <w:rsid w:val="008318CC"/>
    <w:rsid w:val="0083198F"/>
    <w:rsid w:val="00831B47"/>
    <w:rsid w:val="00831C34"/>
    <w:rsid w:val="00831F6E"/>
    <w:rsid w:val="008323F1"/>
    <w:rsid w:val="0083285E"/>
    <w:rsid w:val="00832988"/>
    <w:rsid w:val="00832A8C"/>
    <w:rsid w:val="00832AE6"/>
    <w:rsid w:val="00832B8C"/>
    <w:rsid w:val="00832BA9"/>
    <w:rsid w:val="00832DDA"/>
    <w:rsid w:val="00832E27"/>
    <w:rsid w:val="00832F55"/>
    <w:rsid w:val="0083306C"/>
    <w:rsid w:val="0083333C"/>
    <w:rsid w:val="00833961"/>
    <w:rsid w:val="00833AB0"/>
    <w:rsid w:val="00833B16"/>
    <w:rsid w:val="00833B30"/>
    <w:rsid w:val="00833BCF"/>
    <w:rsid w:val="00833BD0"/>
    <w:rsid w:val="00833E95"/>
    <w:rsid w:val="00833F8D"/>
    <w:rsid w:val="008340B3"/>
    <w:rsid w:val="008343E9"/>
    <w:rsid w:val="008345AE"/>
    <w:rsid w:val="00834615"/>
    <w:rsid w:val="00834620"/>
    <w:rsid w:val="00834782"/>
    <w:rsid w:val="008349B7"/>
    <w:rsid w:val="00834BFD"/>
    <w:rsid w:val="00835018"/>
    <w:rsid w:val="008353BB"/>
    <w:rsid w:val="0083561B"/>
    <w:rsid w:val="00835708"/>
    <w:rsid w:val="0083582A"/>
    <w:rsid w:val="00835A76"/>
    <w:rsid w:val="00835B54"/>
    <w:rsid w:val="00835C9F"/>
    <w:rsid w:val="00835CCB"/>
    <w:rsid w:val="00835E25"/>
    <w:rsid w:val="00836153"/>
    <w:rsid w:val="00836699"/>
    <w:rsid w:val="00836C3C"/>
    <w:rsid w:val="00836E21"/>
    <w:rsid w:val="00836F14"/>
    <w:rsid w:val="0083706B"/>
    <w:rsid w:val="00837091"/>
    <w:rsid w:val="00837458"/>
    <w:rsid w:val="0083747C"/>
    <w:rsid w:val="008377B2"/>
    <w:rsid w:val="008378A7"/>
    <w:rsid w:val="00837906"/>
    <w:rsid w:val="00837EB4"/>
    <w:rsid w:val="008402CE"/>
    <w:rsid w:val="00840B14"/>
    <w:rsid w:val="00840E75"/>
    <w:rsid w:val="00840F12"/>
    <w:rsid w:val="00841111"/>
    <w:rsid w:val="0084142F"/>
    <w:rsid w:val="00841799"/>
    <w:rsid w:val="008418C1"/>
    <w:rsid w:val="0084193C"/>
    <w:rsid w:val="00841ABB"/>
    <w:rsid w:val="00841D3E"/>
    <w:rsid w:val="0084212F"/>
    <w:rsid w:val="008422EE"/>
    <w:rsid w:val="00842393"/>
    <w:rsid w:val="0084262B"/>
    <w:rsid w:val="00842637"/>
    <w:rsid w:val="0084270B"/>
    <w:rsid w:val="00842790"/>
    <w:rsid w:val="00842AB6"/>
    <w:rsid w:val="00842BB9"/>
    <w:rsid w:val="00842BD5"/>
    <w:rsid w:val="00842DAB"/>
    <w:rsid w:val="00842E8B"/>
    <w:rsid w:val="00842F0B"/>
    <w:rsid w:val="008430F1"/>
    <w:rsid w:val="008436FD"/>
    <w:rsid w:val="00843A37"/>
    <w:rsid w:val="00843AB4"/>
    <w:rsid w:val="00843DEB"/>
    <w:rsid w:val="00843E0E"/>
    <w:rsid w:val="00843EB1"/>
    <w:rsid w:val="008441E5"/>
    <w:rsid w:val="008441FF"/>
    <w:rsid w:val="00844200"/>
    <w:rsid w:val="008445A6"/>
    <w:rsid w:val="00844743"/>
    <w:rsid w:val="00844785"/>
    <w:rsid w:val="00844850"/>
    <w:rsid w:val="00844A6C"/>
    <w:rsid w:val="00844D03"/>
    <w:rsid w:val="00844DBE"/>
    <w:rsid w:val="00844F31"/>
    <w:rsid w:val="00844F4A"/>
    <w:rsid w:val="00845105"/>
    <w:rsid w:val="008454F5"/>
    <w:rsid w:val="00845532"/>
    <w:rsid w:val="00845799"/>
    <w:rsid w:val="00845820"/>
    <w:rsid w:val="008458F2"/>
    <w:rsid w:val="00845AAC"/>
    <w:rsid w:val="00845C89"/>
    <w:rsid w:val="00845FED"/>
    <w:rsid w:val="00846111"/>
    <w:rsid w:val="008468DC"/>
    <w:rsid w:val="00846D37"/>
    <w:rsid w:val="00847052"/>
    <w:rsid w:val="0084706C"/>
    <w:rsid w:val="0084737B"/>
    <w:rsid w:val="008474B6"/>
    <w:rsid w:val="008474EB"/>
    <w:rsid w:val="0084788E"/>
    <w:rsid w:val="008478D4"/>
    <w:rsid w:val="00847B37"/>
    <w:rsid w:val="00847CC4"/>
    <w:rsid w:val="00847D61"/>
    <w:rsid w:val="00847EDF"/>
    <w:rsid w:val="00847F93"/>
    <w:rsid w:val="00847F9E"/>
    <w:rsid w:val="0085020B"/>
    <w:rsid w:val="008502B1"/>
    <w:rsid w:val="0085033E"/>
    <w:rsid w:val="00850443"/>
    <w:rsid w:val="008504E9"/>
    <w:rsid w:val="00850528"/>
    <w:rsid w:val="0085063B"/>
    <w:rsid w:val="008507CC"/>
    <w:rsid w:val="00850B12"/>
    <w:rsid w:val="00850BDC"/>
    <w:rsid w:val="0085106D"/>
    <w:rsid w:val="00851122"/>
    <w:rsid w:val="008514C8"/>
    <w:rsid w:val="00851574"/>
    <w:rsid w:val="008517DC"/>
    <w:rsid w:val="00851924"/>
    <w:rsid w:val="0085198D"/>
    <w:rsid w:val="008519CB"/>
    <w:rsid w:val="00851E81"/>
    <w:rsid w:val="00851FAD"/>
    <w:rsid w:val="0085206B"/>
    <w:rsid w:val="00852147"/>
    <w:rsid w:val="00852220"/>
    <w:rsid w:val="008524A8"/>
    <w:rsid w:val="00852536"/>
    <w:rsid w:val="00852562"/>
    <w:rsid w:val="008525ED"/>
    <w:rsid w:val="00852B40"/>
    <w:rsid w:val="00852BCE"/>
    <w:rsid w:val="00852C60"/>
    <w:rsid w:val="00852DBF"/>
    <w:rsid w:val="00853385"/>
    <w:rsid w:val="008533DA"/>
    <w:rsid w:val="008535DF"/>
    <w:rsid w:val="008536A0"/>
    <w:rsid w:val="0085377D"/>
    <w:rsid w:val="00853895"/>
    <w:rsid w:val="00853BF0"/>
    <w:rsid w:val="00853DBF"/>
    <w:rsid w:val="00853E74"/>
    <w:rsid w:val="00853F2F"/>
    <w:rsid w:val="00854081"/>
    <w:rsid w:val="008544EA"/>
    <w:rsid w:val="008545A3"/>
    <w:rsid w:val="00854A89"/>
    <w:rsid w:val="00854B2A"/>
    <w:rsid w:val="00854C6F"/>
    <w:rsid w:val="0085508F"/>
    <w:rsid w:val="008551B4"/>
    <w:rsid w:val="0085521A"/>
    <w:rsid w:val="008553E5"/>
    <w:rsid w:val="0085580B"/>
    <w:rsid w:val="00855882"/>
    <w:rsid w:val="00855A58"/>
    <w:rsid w:val="00855B52"/>
    <w:rsid w:val="00855B76"/>
    <w:rsid w:val="00855EE6"/>
    <w:rsid w:val="008561F4"/>
    <w:rsid w:val="008567EC"/>
    <w:rsid w:val="0085696B"/>
    <w:rsid w:val="00856B32"/>
    <w:rsid w:val="00856DF3"/>
    <w:rsid w:val="00856FE9"/>
    <w:rsid w:val="00857265"/>
    <w:rsid w:val="008572BD"/>
    <w:rsid w:val="0085792E"/>
    <w:rsid w:val="00857E35"/>
    <w:rsid w:val="00860414"/>
    <w:rsid w:val="008605CA"/>
    <w:rsid w:val="00860BB2"/>
    <w:rsid w:val="00860F2C"/>
    <w:rsid w:val="00861851"/>
    <w:rsid w:val="008618F1"/>
    <w:rsid w:val="00861A0B"/>
    <w:rsid w:val="00861E24"/>
    <w:rsid w:val="00861EEF"/>
    <w:rsid w:val="00861FAB"/>
    <w:rsid w:val="00862AFB"/>
    <w:rsid w:val="00862BD9"/>
    <w:rsid w:val="00862C55"/>
    <w:rsid w:val="00862C5C"/>
    <w:rsid w:val="00862D22"/>
    <w:rsid w:val="00862D80"/>
    <w:rsid w:val="00862E44"/>
    <w:rsid w:val="00863255"/>
    <w:rsid w:val="00863368"/>
    <w:rsid w:val="008634AD"/>
    <w:rsid w:val="00863533"/>
    <w:rsid w:val="008636D3"/>
    <w:rsid w:val="00863937"/>
    <w:rsid w:val="0086394B"/>
    <w:rsid w:val="00863CD4"/>
    <w:rsid w:val="00863D5D"/>
    <w:rsid w:val="008642A0"/>
    <w:rsid w:val="0086447D"/>
    <w:rsid w:val="00864A3B"/>
    <w:rsid w:val="008652E2"/>
    <w:rsid w:val="00865352"/>
    <w:rsid w:val="0086558C"/>
    <w:rsid w:val="00865A68"/>
    <w:rsid w:val="00865BA1"/>
    <w:rsid w:val="00866016"/>
    <w:rsid w:val="00866514"/>
    <w:rsid w:val="0086656C"/>
    <w:rsid w:val="00867016"/>
    <w:rsid w:val="00867211"/>
    <w:rsid w:val="008676A4"/>
    <w:rsid w:val="008676B4"/>
    <w:rsid w:val="00867715"/>
    <w:rsid w:val="00867973"/>
    <w:rsid w:val="00867D04"/>
    <w:rsid w:val="00867F3E"/>
    <w:rsid w:val="0087001D"/>
    <w:rsid w:val="0087022F"/>
    <w:rsid w:val="0087032D"/>
    <w:rsid w:val="00870589"/>
    <w:rsid w:val="0087096D"/>
    <w:rsid w:val="00870C07"/>
    <w:rsid w:val="00870E85"/>
    <w:rsid w:val="00870FF1"/>
    <w:rsid w:val="00870FF9"/>
    <w:rsid w:val="00871B5D"/>
    <w:rsid w:val="00871FC1"/>
    <w:rsid w:val="008724EF"/>
    <w:rsid w:val="0087269E"/>
    <w:rsid w:val="008728F0"/>
    <w:rsid w:val="0087297F"/>
    <w:rsid w:val="008729B4"/>
    <w:rsid w:val="00872A87"/>
    <w:rsid w:val="00872C48"/>
    <w:rsid w:val="00872D9E"/>
    <w:rsid w:val="00872EEA"/>
    <w:rsid w:val="00873010"/>
    <w:rsid w:val="00873053"/>
    <w:rsid w:val="008730CC"/>
    <w:rsid w:val="00873126"/>
    <w:rsid w:val="008732D1"/>
    <w:rsid w:val="00873960"/>
    <w:rsid w:val="008739A6"/>
    <w:rsid w:val="00873A4C"/>
    <w:rsid w:val="00873B0B"/>
    <w:rsid w:val="00873B45"/>
    <w:rsid w:val="00873FF7"/>
    <w:rsid w:val="008742AB"/>
    <w:rsid w:val="0087434B"/>
    <w:rsid w:val="0087455A"/>
    <w:rsid w:val="00874873"/>
    <w:rsid w:val="00874882"/>
    <w:rsid w:val="008748F0"/>
    <w:rsid w:val="008749B2"/>
    <w:rsid w:val="008749B5"/>
    <w:rsid w:val="00874B5C"/>
    <w:rsid w:val="00874C87"/>
    <w:rsid w:val="00874E0C"/>
    <w:rsid w:val="00875227"/>
    <w:rsid w:val="008752D5"/>
    <w:rsid w:val="00875439"/>
    <w:rsid w:val="00875549"/>
    <w:rsid w:val="008756CB"/>
    <w:rsid w:val="0087572C"/>
    <w:rsid w:val="00875898"/>
    <w:rsid w:val="008758B7"/>
    <w:rsid w:val="008758C2"/>
    <w:rsid w:val="008758C4"/>
    <w:rsid w:val="00875A57"/>
    <w:rsid w:val="00875C73"/>
    <w:rsid w:val="00875DDF"/>
    <w:rsid w:val="00876141"/>
    <w:rsid w:val="00876459"/>
    <w:rsid w:val="00876515"/>
    <w:rsid w:val="0087696B"/>
    <w:rsid w:val="00876BDC"/>
    <w:rsid w:val="00876C14"/>
    <w:rsid w:val="00876DD5"/>
    <w:rsid w:val="008771C3"/>
    <w:rsid w:val="008771DC"/>
    <w:rsid w:val="0087741F"/>
    <w:rsid w:val="0087758F"/>
    <w:rsid w:val="00877722"/>
    <w:rsid w:val="00877C2F"/>
    <w:rsid w:val="00880016"/>
    <w:rsid w:val="0088015A"/>
    <w:rsid w:val="00880433"/>
    <w:rsid w:val="00880565"/>
    <w:rsid w:val="00880632"/>
    <w:rsid w:val="00880842"/>
    <w:rsid w:val="00880B71"/>
    <w:rsid w:val="00880BFD"/>
    <w:rsid w:val="00880ECA"/>
    <w:rsid w:val="00881100"/>
    <w:rsid w:val="00881375"/>
    <w:rsid w:val="00881463"/>
    <w:rsid w:val="008818B6"/>
    <w:rsid w:val="008818F7"/>
    <w:rsid w:val="00881B4B"/>
    <w:rsid w:val="00881C1B"/>
    <w:rsid w:val="00881D22"/>
    <w:rsid w:val="00881D60"/>
    <w:rsid w:val="00881EE0"/>
    <w:rsid w:val="0088211A"/>
    <w:rsid w:val="00882231"/>
    <w:rsid w:val="00882287"/>
    <w:rsid w:val="00882778"/>
    <w:rsid w:val="00882829"/>
    <w:rsid w:val="00882847"/>
    <w:rsid w:val="00882857"/>
    <w:rsid w:val="0088294E"/>
    <w:rsid w:val="00882A84"/>
    <w:rsid w:val="00882A96"/>
    <w:rsid w:val="00882B34"/>
    <w:rsid w:val="00882CBE"/>
    <w:rsid w:val="00882D81"/>
    <w:rsid w:val="00882EBA"/>
    <w:rsid w:val="00882FC0"/>
    <w:rsid w:val="00883009"/>
    <w:rsid w:val="008830EB"/>
    <w:rsid w:val="00883B5D"/>
    <w:rsid w:val="00883CB3"/>
    <w:rsid w:val="00883F7F"/>
    <w:rsid w:val="00883FE2"/>
    <w:rsid w:val="00884134"/>
    <w:rsid w:val="00884971"/>
    <w:rsid w:val="00884A7D"/>
    <w:rsid w:val="00884AEE"/>
    <w:rsid w:val="00884E0C"/>
    <w:rsid w:val="00884FEA"/>
    <w:rsid w:val="00885459"/>
    <w:rsid w:val="008855D4"/>
    <w:rsid w:val="008858E5"/>
    <w:rsid w:val="00885F89"/>
    <w:rsid w:val="0088634E"/>
    <w:rsid w:val="008863B4"/>
    <w:rsid w:val="008863F4"/>
    <w:rsid w:val="008865B6"/>
    <w:rsid w:val="00886699"/>
    <w:rsid w:val="00886A57"/>
    <w:rsid w:val="00886ACA"/>
    <w:rsid w:val="00886AE3"/>
    <w:rsid w:val="00886F83"/>
    <w:rsid w:val="00886F8C"/>
    <w:rsid w:val="00887110"/>
    <w:rsid w:val="00887301"/>
    <w:rsid w:val="008873D4"/>
    <w:rsid w:val="008875E1"/>
    <w:rsid w:val="00887A1F"/>
    <w:rsid w:val="00887CD0"/>
    <w:rsid w:val="00887CE7"/>
    <w:rsid w:val="00887F32"/>
    <w:rsid w:val="008901D1"/>
    <w:rsid w:val="00890397"/>
    <w:rsid w:val="008903CC"/>
    <w:rsid w:val="008904DF"/>
    <w:rsid w:val="00890698"/>
    <w:rsid w:val="00890857"/>
    <w:rsid w:val="00890989"/>
    <w:rsid w:val="00890A86"/>
    <w:rsid w:val="00890D69"/>
    <w:rsid w:val="0089103D"/>
    <w:rsid w:val="008910B5"/>
    <w:rsid w:val="00891576"/>
    <w:rsid w:val="0089183C"/>
    <w:rsid w:val="00891949"/>
    <w:rsid w:val="00891B0C"/>
    <w:rsid w:val="00892216"/>
    <w:rsid w:val="0089247E"/>
    <w:rsid w:val="008925CF"/>
    <w:rsid w:val="0089265A"/>
    <w:rsid w:val="008926C1"/>
    <w:rsid w:val="008926E0"/>
    <w:rsid w:val="00892940"/>
    <w:rsid w:val="00892C87"/>
    <w:rsid w:val="00892D4F"/>
    <w:rsid w:val="00892DD0"/>
    <w:rsid w:val="00892F9A"/>
    <w:rsid w:val="0089342A"/>
    <w:rsid w:val="0089378A"/>
    <w:rsid w:val="00893A80"/>
    <w:rsid w:val="00893B00"/>
    <w:rsid w:val="00893CE6"/>
    <w:rsid w:val="00893D8A"/>
    <w:rsid w:val="00893DC9"/>
    <w:rsid w:val="008944E2"/>
    <w:rsid w:val="00894547"/>
    <w:rsid w:val="008945C9"/>
    <w:rsid w:val="00894770"/>
    <w:rsid w:val="00894821"/>
    <w:rsid w:val="00894832"/>
    <w:rsid w:val="00894865"/>
    <w:rsid w:val="00894C18"/>
    <w:rsid w:val="00894CE0"/>
    <w:rsid w:val="00894D44"/>
    <w:rsid w:val="00894F21"/>
    <w:rsid w:val="008950B9"/>
    <w:rsid w:val="0089533A"/>
    <w:rsid w:val="0089536D"/>
    <w:rsid w:val="0089538F"/>
    <w:rsid w:val="0089579D"/>
    <w:rsid w:val="00895A18"/>
    <w:rsid w:val="00895D7A"/>
    <w:rsid w:val="00895EC7"/>
    <w:rsid w:val="008961A3"/>
    <w:rsid w:val="008961E3"/>
    <w:rsid w:val="00896499"/>
    <w:rsid w:val="0089675B"/>
    <w:rsid w:val="008968E9"/>
    <w:rsid w:val="0089699D"/>
    <w:rsid w:val="00896E2D"/>
    <w:rsid w:val="00897031"/>
    <w:rsid w:val="00897224"/>
    <w:rsid w:val="008974BA"/>
    <w:rsid w:val="008974F2"/>
    <w:rsid w:val="00897567"/>
    <w:rsid w:val="008A0249"/>
    <w:rsid w:val="008A02D4"/>
    <w:rsid w:val="008A06F7"/>
    <w:rsid w:val="008A0937"/>
    <w:rsid w:val="008A0C99"/>
    <w:rsid w:val="008A0D65"/>
    <w:rsid w:val="008A0F6E"/>
    <w:rsid w:val="008A1623"/>
    <w:rsid w:val="008A1B40"/>
    <w:rsid w:val="008A1C32"/>
    <w:rsid w:val="008A1D8D"/>
    <w:rsid w:val="008A221B"/>
    <w:rsid w:val="008A22F5"/>
    <w:rsid w:val="008A234A"/>
    <w:rsid w:val="008A2511"/>
    <w:rsid w:val="008A2B25"/>
    <w:rsid w:val="008A2B54"/>
    <w:rsid w:val="008A2CD7"/>
    <w:rsid w:val="008A2CDF"/>
    <w:rsid w:val="008A2EE9"/>
    <w:rsid w:val="008A3267"/>
    <w:rsid w:val="008A33EB"/>
    <w:rsid w:val="008A34A4"/>
    <w:rsid w:val="008A35B2"/>
    <w:rsid w:val="008A3627"/>
    <w:rsid w:val="008A3900"/>
    <w:rsid w:val="008A396B"/>
    <w:rsid w:val="008A3E52"/>
    <w:rsid w:val="008A403C"/>
    <w:rsid w:val="008A40F9"/>
    <w:rsid w:val="008A42DB"/>
    <w:rsid w:val="008A4774"/>
    <w:rsid w:val="008A4A71"/>
    <w:rsid w:val="008A4D2A"/>
    <w:rsid w:val="008A4E3C"/>
    <w:rsid w:val="008A4FE2"/>
    <w:rsid w:val="008A5435"/>
    <w:rsid w:val="008A55C5"/>
    <w:rsid w:val="008A56B3"/>
    <w:rsid w:val="008A5B0F"/>
    <w:rsid w:val="008A5C31"/>
    <w:rsid w:val="008A5C8C"/>
    <w:rsid w:val="008A60DE"/>
    <w:rsid w:val="008A61BC"/>
    <w:rsid w:val="008A622D"/>
    <w:rsid w:val="008A6378"/>
    <w:rsid w:val="008A649E"/>
    <w:rsid w:val="008A6501"/>
    <w:rsid w:val="008A65A0"/>
    <w:rsid w:val="008A6691"/>
    <w:rsid w:val="008A6776"/>
    <w:rsid w:val="008A6A11"/>
    <w:rsid w:val="008A6D75"/>
    <w:rsid w:val="008A6F77"/>
    <w:rsid w:val="008A733E"/>
    <w:rsid w:val="008A7773"/>
    <w:rsid w:val="008A77FF"/>
    <w:rsid w:val="008A7896"/>
    <w:rsid w:val="008A7B76"/>
    <w:rsid w:val="008A7DFE"/>
    <w:rsid w:val="008A7E1C"/>
    <w:rsid w:val="008B03F0"/>
    <w:rsid w:val="008B0478"/>
    <w:rsid w:val="008B0566"/>
    <w:rsid w:val="008B065C"/>
    <w:rsid w:val="008B067E"/>
    <w:rsid w:val="008B0B77"/>
    <w:rsid w:val="008B11D2"/>
    <w:rsid w:val="008B1368"/>
    <w:rsid w:val="008B16CC"/>
    <w:rsid w:val="008B1985"/>
    <w:rsid w:val="008B1C99"/>
    <w:rsid w:val="008B1E12"/>
    <w:rsid w:val="008B1EDB"/>
    <w:rsid w:val="008B2747"/>
    <w:rsid w:val="008B29C5"/>
    <w:rsid w:val="008B2AA6"/>
    <w:rsid w:val="008B2AB4"/>
    <w:rsid w:val="008B2D01"/>
    <w:rsid w:val="008B2DBF"/>
    <w:rsid w:val="008B2F81"/>
    <w:rsid w:val="008B33CA"/>
    <w:rsid w:val="008B3492"/>
    <w:rsid w:val="008B3527"/>
    <w:rsid w:val="008B3641"/>
    <w:rsid w:val="008B37E9"/>
    <w:rsid w:val="008B37F2"/>
    <w:rsid w:val="008B3E1A"/>
    <w:rsid w:val="008B4473"/>
    <w:rsid w:val="008B4475"/>
    <w:rsid w:val="008B44D5"/>
    <w:rsid w:val="008B4531"/>
    <w:rsid w:val="008B4A0C"/>
    <w:rsid w:val="008B4B45"/>
    <w:rsid w:val="008B4C20"/>
    <w:rsid w:val="008B4D85"/>
    <w:rsid w:val="008B4E48"/>
    <w:rsid w:val="008B4EEB"/>
    <w:rsid w:val="008B4F1A"/>
    <w:rsid w:val="008B4F5B"/>
    <w:rsid w:val="008B5271"/>
    <w:rsid w:val="008B52CB"/>
    <w:rsid w:val="008B53CB"/>
    <w:rsid w:val="008B54BF"/>
    <w:rsid w:val="008B54DC"/>
    <w:rsid w:val="008B5B09"/>
    <w:rsid w:val="008B5B10"/>
    <w:rsid w:val="008B5BC3"/>
    <w:rsid w:val="008B5F8B"/>
    <w:rsid w:val="008B634B"/>
    <w:rsid w:val="008B6400"/>
    <w:rsid w:val="008B64D6"/>
    <w:rsid w:val="008B6708"/>
    <w:rsid w:val="008B67FC"/>
    <w:rsid w:val="008B681C"/>
    <w:rsid w:val="008B6879"/>
    <w:rsid w:val="008B6A17"/>
    <w:rsid w:val="008B6B0A"/>
    <w:rsid w:val="008B6C15"/>
    <w:rsid w:val="008B6F98"/>
    <w:rsid w:val="008B7110"/>
    <w:rsid w:val="008B7641"/>
    <w:rsid w:val="008B797C"/>
    <w:rsid w:val="008B797E"/>
    <w:rsid w:val="008B7A7F"/>
    <w:rsid w:val="008B7E84"/>
    <w:rsid w:val="008C047F"/>
    <w:rsid w:val="008C0846"/>
    <w:rsid w:val="008C08EC"/>
    <w:rsid w:val="008C0BE2"/>
    <w:rsid w:val="008C0D0C"/>
    <w:rsid w:val="008C0F6B"/>
    <w:rsid w:val="008C1032"/>
    <w:rsid w:val="008C1220"/>
    <w:rsid w:val="008C12F9"/>
    <w:rsid w:val="008C1354"/>
    <w:rsid w:val="008C142E"/>
    <w:rsid w:val="008C16F9"/>
    <w:rsid w:val="008C18C1"/>
    <w:rsid w:val="008C1C00"/>
    <w:rsid w:val="008C1EB7"/>
    <w:rsid w:val="008C1F30"/>
    <w:rsid w:val="008C2207"/>
    <w:rsid w:val="008C22D0"/>
    <w:rsid w:val="008C22FF"/>
    <w:rsid w:val="008C275B"/>
    <w:rsid w:val="008C2FC2"/>
    <w:rsid w:val="008C2FE1"/>
    <w:rsid w:val="008C30DF"/>
    <w:rsid w:val="008C3226"/>
    <w:rsid w:val="008C3291"/>
    <w:rsid w:val="008C341F"/>
    <w:rsid w:val="008C3591"/>
    <w:rsid w:val="008C3EA4"/>
    <w:rsid w:val="008C426F"/>
    <w:rsid w:val="008C4872"/>
    <w:rsid w:val="008C4E1E"/>
    <w:rsid w:val="008C4F56"/>
    <w:rsid w:val="008C4F76"/>
    <w:rsid w:val="008C505F"/>
    <w:rsid w:val="008C50F7"/>
    <w:rsid w:val="008C52A3"/>
    <w:rsid w:val="008C5373"/>
    <w:rsid w:val="008C56B9"/>
    <w:rsid w:val="008C5811"/>
    <w:rsid w:val="008C58A8"/>
    <w:rsid w:val="008C58D8"/>
    <w:rsid w:val="008C5D09"/>
    <w:rsid w:val="008C5FF4"/>
    <w:rsid w:val="008C60B3"/>
    <w:rsid w:val="008C60F5"/>
    <w:rsid w:val="008C6111"/>
    <w:rsid w:val="008C63A1"/>
    <w:rsid w:val="008C6590"/>
    <w:rsid w:val="008C66B6"/>
    <w:rsid w:val="008C69F2"/>
    <w:rsid w:val="008C6F42"/>
    <w:rsid w:val="008C7179"/>
    <w:rsid w:val="008C767B"/>
    <w:rsid w:val="008C7854"/>
    <w:rsid w:val="008C7959"/>
    <w:rsid w:val="008C7B97"/>
    <w:rsid w:val="008C7D60"/>
    <w:rsid w:val="008C7F83"/>
    <w:rsid w:val="008D01D5"/>
    <w:rsid w:val="008D0241"/>
    <w:rsid w:val="008D02A2"/>
    <w:rsid w:val="008D0391"/>
    <w:rsid w:val="008D087F"/>
    <w:rsid w:val="008D089A"/>
    <w:rsid w:val="008D0A74"/>
    <w:rsid w:val="008D0AA7"/>
    <w:rsid w:val="008D0BFA"/>
    <w:rsid w:val="008D0C22"/>
    <w:rsid w:val="008D0FD2"/>
    <w:rsid w:val="008D15EE"/>
    <w:rsid w:val="008D16D2"/>
    <w:rsid w:val="008D16D6"/>
    <w:rsid w:val="008D189D"/>
    <w:rsid w:val="008D1ADA"/>
    <w:rsid w:val="008D1CFF"/>
    <w:rsid w:val="008D1DDD"/>
    <w:rsid w:val="008D1DEA"/>
    <w:rsid w:val="008D248B"/>
    <w:rsid w:val="008D2580"/>
    <w:rsid w:val="008D26E3"/>
    <w:rsid w:val="008D2C41"/>
    <w:rsid w:val="008D3397"/>
    <w:rsid w:val="008D33C4"/>
    <w:rsid w:val="008D3504"/>
    <w:rsid w:val="008D3517"/>
    <w:rsid w:val="008D353E"/>
    <w:rsid w:val="008D3712"/>
    <w:rsid w:val="008D389F"/>
    <w:rsid w:val="008D3973"/>
    <w:rsid w:val="008D3ADE"/>
    <w:rsid w:val="008D454B"/>
    <w:rsid w:val="008D4714"/>
    <w:rsid w:val="008D4AD3"/>
    <w:rsid w:val="008D4B93"/>
    <w:rsid w:val="008D4C2E"/>
    <w:rsid w:val="008D526A"/>
    <w:rsid w:val="008D5331"/>
    <w:rsid w:val="008D55CE"/>
    <w:rsid w:val="008D565F"/>
    <w:rsid w:val="008D57D6"/>
    <w:rsid w:val="008D5970"/>
    <w:rsid w:val="008D59BB"/>
    <w:rsid w:val="008D5B53"/>
    <w:rsid w:val="008D5C13"/>
    <w:rsid w:val="008D5D93"/>
    <w:rsid w:val="008D60E2"/>
    <w:rsid w:val="008D6198"/>
    <w:rsid w:val="008D62AF"/>
    <w:rsid w:val="008D636F"/>
    <w:rsid w:val="008D63A1"/>
    <w:rsid w:val="008D6765"/>
    <w:rsid w:val="008D68A4"/>
    <w:rsid w:val="008D68E5"/>
    <w:rsid w:val="008D69EA"/>
    <w:rsid w:val="008D6AAB"/>
    <w:rsid w:val="008D6D41"/>
    <w:rsid w:val="008D6E4D"/>
    <w:rsid w:val="008D6E8A"/>
    <w:rsid w:val="008D6F2D"/>
    <w:rsid w:val="008D70AE"/>
    <w:rsid w:val="008D7139"/>
    <w:rsid w:val="008D7270"/>
    <w:rsid w:val="008D72C1"/>
    <w:rsid w:val="008D773C"/>
    <w:rsid w:val="008D7749"/>
    <w:rsid w:val="008D778F"/>
    <w:rsid w:val="008D7877"/>
    <w:rsid w:val="008D7A6A"/>
    <w:rsid w:val="008D7EF7"/>
    <w:rsid w:val="008D7FC8"/>
    <w:rsid w:val="008E0093"/>
    <w:rsid w:val="008E045A"/>
    <w:rsid w:val="008E06D6"/>
    <w:rsid w:val="008E076A"/>
    <w:rsid w:val="008E0B42"/>
    <w:rsid w:val="008E0C4E"/>
    <w:rsid w:val="008E0F1E"/>
    <w:rsid w:val="008E0FAC"/>
    <w:rsid w:val="008E1196"/>
    <w:rsid w:val="008E1721"/>
    <w:rsid w:val="008E1746"/>
    <w:rsid w:val="008E1880"/>
    <w:rsid w:val="008E1B3D"/>
    <w:rsid w:val="008E1F4E"/>
    <w:rsid w:val="008E20DC"/>
    <w:rsid w:val="008E223C"/>
    <w:rsid w:val="008E268F"/>
    <w:rsid w:val="008E27EF"/>
    <w:rsid w:val="008E2B25"/>
    <w:rsid w:val="008E32C6"/>
    <w:rsid w:val="008E3445"/>
    <w:rsid w:val="008E36AD"/>
    <w:rsid w:val="008E390D"/>
    <w:rsid w:val="008E3C68"/>
    <w:rsid w:val="008E44F0"/>
    <w:rsid w:val="008E473A"/>
    <w:rsid w:val="008E49C5"/>
    <w:rsid w:val="008E4C6A"/>
    <w:rsid w:val="008E4EE8"/>
    <w:rsid w:val="008E4FE3"/>
    <w:rsid w:val="008E52A7"/>
    <w:rsid w:val="008E532F"/>
    <w:rsid w:val="008E5640"/>
    <w:rsid w:val="008E58E0"/>
    <w:rsid w:val="008E5960"/>
    <w:rsid w:val="008E5AEB"/>
    <w:rsid w:val="008E5F4A"/>
    <w:rsid w:val="008E5F80"/>
    <w:rsid w:val="008E64EB"/>
    <w:rsid w:val="008E6713"/>
    <w:rsid w:val="008E683C"/>
    <w:rsid w:val="008E68B5"/>
    <w:rsid w:val="008E68E6"/>
    <w:rsid w:val="008E709B"/>
    <w:rsid w:val="008E72A9"/>
    <w:rsid w:val="008E7359"/>
    <w:rsid w:val="008E73A0"/>
    <w:rsid w:val="008E74EA"/>
    <w:rsid w:val="008E76C4"/>
    <w:rsid w:val="008E7855"/>
    <w:rsid w:val="008E7A39"/>
    <w:rsid w:val="008E7AF7"/>
    <w:rsid w:val="008E7DB7"/>
    <w:rsid w:val="008E7F63"/>
    <w:rsid w:val="008F0153"/>
    <w:rsid w:val="008F047C"/>
    <w:rsid w:val="008F04E8"/>
    <w:rsid w:val="008F06A1"/>
    <w:rsid w:val="008F07EA"/>
    <w:rsid w:val="008F10DD"/>
    <w:rsid w:val="008F1260"/>
    <w:rsid w:val="008F167F"/>
    <w:rsid w:val="008F17B0"/>
    <w:rsid w:val="008F17B3"/>
    <w:rsid w:val="008F193A"/>
    <w:rsid w:val="008F20DB"/>
    <w:rsid w:val="008F213D"/>
    <w:rsid w:val="008F2344"/>
    <w:rsid w:val="008F29C6"/>
    <w:rsid w:val="008F2A99"/>
    <w:rsid w:val="008F2D11"/>
    <w:rsid w:val="008F2D79"/>
    <w:rsid w:val="008F2E19"/>
    <w:rsid w:val="008F2E22"/>
    <w:rsid w:val="008F3079"/>
    <w:rsid w:val="008F30DC"/>
    <w:rsid w:val="008F32BC"/>
    <w:rsid w:val="008F3343"/>
    <w:rsid w:val="008F34F3"/>
    <w:rsid w:val="008F358F"/>
    <w:rsid w:val="008F3F2C"/>
    <w:rsid w:val="008F3FCF"/>
    <w:rsid w:val="008F407B"/>
    <w:rsid w:val="008F43C0"/>
    <w:rsid w:val="008F45B8"/>
    <w:rsid w:val="008F46A7"/>
    <w:rsid w:val="008F4A3F"/>
    <w:rsid w:val="008F4F8D"/>
    <w:rsid w:val="008F5507"/>
    <w:rsid w:val="008F55FC"/>
    <w:rsid w:val="008F5B07"/>
    <w:rsid w:val="008F5CF0"/>
    <w:rsid w:val="008F5DF7"/>
    <w:rsid w:val="008F5E0D"/>
    <w:rsid w:val="008F5ED6"/>
    <w:rsid w:val="008F66A5"/>
    <w:rsid w:val="008F677E"/>
    <w:rsid w:val="008F69A8"/>
    <w:rsid w:val="008F6F0E"/>
    <w:rsid w:val="008F6F5D"/>
    <w:rsid w:val="008F72EB"/>
    <w:rsid w:val="008F7347"/>
    <w:rsid w:val="008F748D"/>
    <w:rsid w:val="008F761F"/>
    <w:rsid w:val="008F76B4"/>
    <w:rsid w:val="008F77A1"/>
    <w:rsid w:val="008F7C90"/>
    <w:rsid w:val="008F7CAD"/>
    <w:rsid w:val="009002B2"/>
    <w:rsid w:val="009003DD"/>
    <w:rsid w:val="00900479"/>
    <w:rsid w:val="009007F7"/>
    <w:rsid w:val="0090087A"/>
    <w:rsid w:val="009009E2"/>
    <w:rsid w:val="009009EA"/>
    <w:rsid w:val="00900B85"/>
    <w:rsid w:val="00900D2C"/>
    <w:rsid w:val="00900E7E"/>
    <w:rsid w:val="00900F9E"/>
    <w:rsid w:val="00901183"/>
    <w:rsid w:val="009011C4"/>
    <w:rsid w:val="00901228"/>
    <w:rsid w:val="009015B2"/>
    <w:rsid w:val="00901654"/>
    <w:rsid w:val="0090175E"/>
    <w:rsid w:val="00901822"/>
    <w:rsid w:val="0090192C"/>
    <w:rsid w:val="00901B34"/>
    <w:rsid w:val="00901C4C"/>
    <w:rsid w:val="00901D39"/>
    <w:rsid w:val="00902018"/>
    <w:rsid w:val="009022A1"/>
    <w:rsid w:val="009023AC"/>
    <w:rsid w:val="009023C8"/>
    <w:rsid w:val="009023D4"/>
    <w:rsid w:val="0090250F"/>
    <w:rsid w:val="00902524"/>
    <w:rsid w:val="009027C8"/>
    <w:rsid w:val="00902A07"/>
    <w:rsid w:val="00903507"/>
    <w:rsid w:val="0090355E"/>
    <w:rsid w:val="0090366A"/>
    <w:rsid w:val="009036CF"/>
    <w:rsid w:val="00903761"/>
    <w:rsid w:val="009038C9"/>
    <w:rsid w:val="00903A62"/>
    <w:rsid w:val="00903B92"/>
    <w:rsid w:val="009040A8"/>
    <w:rsid w:val="0090414C"/>
    <w:rsid w:val="00904259"/>
    <w:rsid w:val="00904271"/>
    <w:rsid w:val="009042AC"/>
    <w:rsid w:val="009042F3"/>
    <w:rsid w:val="00904382"/>
    <w:rsid w:val="0090463F"/>
    <w:rsid w:val="00904719"/>
    <w:rsid w:val="009047AF"/>
    <w:rsid w:val="009047FD"/>
    <w:rsid w:val="009048AD"/>
    <w:rsid w:val="009049E5"/>
    <w:rsid w:val="00904AD0"/>
    <w:rsid w:val="00904B0E"/>
    <w:rsid w:val="00904CFF"/>
    <w:rsid w:val="00904F4F"/>
    <w:rsid w:val="00905278"/>
    <w:rsid w:val="00905492"/>
    <w:rsid w:val="009055DD"/>
    <w:rsid w:val="00905C44"/>
    <w:rsid w:val="00905DB4"/>
    <w:rsid w:val="00906266"/>
    <w:rsid w:val="00906376"/>
    <w:rsid w:val="009063A3"/>
    <w:rsid w:val="009063AA"/>
    <w:rsid w:val="0090678C"/>
    <w:rsid w:val="00906D2F"/>
    <w:rsid w:val="00906D40"/>
    <w:rsid w:val="00906F30"/>
    <w:rsid w:val="00907043"/>
    <w:rsid w:val="0090720D"/>
    <w:rsid w:val="00907273"/>
    <w:rsid w:val="009072C3"/>
    <w:rsid w:val="009075F3"/>
    <w:rsid w:val="00907895"/>
    <w:rsid w:val="00907919"/>
    <w:rsid w:val="009079A6"/>
    <w:rsid w:val="00907F10"/>
    <w:rsid w:val="00907F9D"/>
    <w:rsid w:val="009100F8"/>
    <w:rsid w:val="009102F5"/>
    <w:rsid w:val="009104F0"/>
    <w:rsid w:val="009105D4"/>
    <w:rsid w:val="009105D8"/>
    <w:rsid w:val="00910731"/>
    <w:rsid w:val="0091089C"/>
    <w:rsid w:val="0091094F"/>
    <w:rsid w:val="00910A41"/>
    <w:rsid w:val="00910BE0"/>
    <w:rsid w:val="009112AF"/>
    <w:rsid w:val="009112B4"/>
    <w:rsid w:val="00911302"/>
    <w:rsid w:val="0091132A"/>
    <w:rsid w:val="009115BD"/>
    <w:rsid w:val="009118A8"/>
    <w:rsid w:val="0091190B"/>
    <w:rsid w:val="00911AB3"/>
    <w:rsid w:val="00911B1D"/>
    <w:rsid w:val="00911BA2"/>
    <w:rsid w:val="00911D8A"/>
    <w:rsid w:val="00911DF6"/>
    <w:rsid w:val="0091255F"/>
    <w:rsid w:val="00912A35"/>
    <w:rsid w:val="00912A45"/>
    <w:rsid w:val="00912B7D"/>
    <w:rsid w:val="00913057"/>
    <w:rsid w:val="00913372"/>
    <w:rsid w:val="0091370B"/>
    <w:rsid w:val="0091378F"/>
    <w:rsid w:val="00913819"/>
    <w:rsid w:val="00913965"/>
    <w:rsid w:val="00913B57"/>
    <w:rsid w:val="00913C22"/>
    <w:rsid w:val="00913D1F"/>
    <w:rsid w:val="00913DC0"/>
    <w:rsid w:val="00913EA1"/>
    <w:rsid w:val="00914466"/>
    <w:rsid w:val="0091446B"/>
    <w:rsid w:val="009145B8"/>
    <w:rsid w:val="009146A5"/>
    <w:rsid w:val="009146DF"/>
    <w:rsid w:val="00914C18"/>
    <w:rsid w:val="00915629"/>
    <w:rsid w:val="00915650"/>
    <w:rsid w:val="00915779"/>
    <w:rsid w:val="0091587B"/>
    <w:rsid w:val="00915BBC"/>
    <w:rsid w:val="00915BE2"/>
    <w:rsid w:val="00915C86"/>
    <w:rsid w:val="0091606D"/>
    <w:rsid w:val="009160DC"/>
    <w:rsid w:val="00916176"/>
    <w:rsid w:val="0091623D"/>
    <w:rsid w:val="00916307"/>
    <w:rsid w:val="00916570"/>
    <w:rsid w:val="0091665B"/>
    <w:rsid w:val="00916879"/>
    <w:rsid w:val="009169D8"/>
    <w:rsid w:val="00916B77"/>
    <w:rsid w:val="00916BDB"/>
    <w:rsid w:val="00916DB8"/>
    <w:rsid w:val="00917448"/>
    <w:rsid w:val="009176B1"/>
    <w:rsid w:val="00917C5D"/>
    <w:rsid w:val="00917D95"/>
    <w:rsid w:val="00917EF4"/>
    <w:rsid w:val="009200D9"/>
    <w:rsid w:val="0092011A"/>
    <w:rsid w:val="00920389"/>
    <w:rsid w:val="0092042D"/>
    <w:rsid w:val="0092047C"/>
    <w:rsid w:val="00920813"/>
    <w:rsid w:val="00920885"/>
    <w:rsid w:val="009208BB"/>
    <w:rsid w:val="00920AD4"/>
    <w:rsid w:val="00920DBE"/>
    <w:rsid w:val="009211AC"/>
    <w:rsid w:val="009213D4"/>
    <w:rsid w:val="0092150F"/>
    <w:rsid w:val="00921840"/>
    <w:rsid w:val="00921920"/>
    <w:rsid w:val="00921B26"/>
    <w:rsid w:val="00921D07"/>
    <w:rsid w:val="00921E32"/>
    <w:rsid w:val="00921F5C"/>
    <w:rsid w:val="00921FE5"/>
    <w:rsid w:val="009222A8"/>
    <w:rsid w:val="0092234E"/>
    <w:rsid w:val="009224B4"/>
    <w:rsid w:val="009229B4"/>
    <w:rsid w:val="009229BA"/>
    <w:rsid w:val="00922AF1"/>
    <w:rsid w:val="00922C9E"/>
    <w:rsid w:val="00922CE8"/>
    <w:rsid w:val="00922F0A"/>
    <w:rsid w:val="009230EB"/>
    <w:rsid w:val="00923238"/>
    <w:rsid w:val="0092328D"/>
    <w:rsid w:val="00923372"/>
    <w:rsid w:val="009234E2"/>
    <w:rsid w:val="009237A1"/>
    <w:rsid w:val="00923AD4"/>
    <w:rsid w:val="00923B7A"/>
    <w:rsid w:val="00923DD2"/>
    <w:rsid w:val="0092430C"/>
    <w:rsid w:val="0092431B"/>
    <w:rsid w:val="00924B4C"/>
    <w:rsid w:val="00924B59"/>
    <w:rsid w:val="00924C4C"/>
    <w:rsid w:val="0092502C"/>
    <w:rsid w:val="00925160"/>
    <w:rsid w:val="00925181"/>
    <w:rsid w:val="00925316"/>
    <w:rsid w:val="00925424"/>
    <w:rsid w:val="0092587A"/>
    <w:rsid w:val="00925B56"/>
    <w:rsid w:val="00925DBA"/>
    <w:rsid w:val="0092614E"/>
    <w:rsid w:val="00926481"/>
    <w:rsid w:val="009268B9"/>
    <w:rsid w:val="00926975"/>
    <w:rsid w:val="00926BB7"/>
    <w:rsid w:val="00926CA3"/>
    <w:rsid w:val="00926CB2"/>
    <w:rsid w:val="00926CCE"/>
    <w:rsid w:val="00927075"/>
    <w:rsid w:val="009271A5"/>
    <w:rsid w:val="00927437"/>
    <w:rsid w:val="00927561"/>
    <w:rsid w:val="009276C5"/>
    <w:rsid w:val="009276F7"/>
    <w:rsid w:val="009278B0"/>
    <w:rsid w:val="00927C61"/>
    <w:rsid w:val="0093029E"/>
    <w:rsid w:val="00930409"/>
    <w:rsid w:val="009304A5"/>
    <w:rsid w:val="009306D5"/>
    <w:rsid w:val="0093077D"/>
    <w:rsid w:val="009309BF"/>
    <w:rsid w:val="00930A48"/>
    <w:rsid w:val="00930B7D"/>
    <w:rsid w:val="00930D03"/>
    <w:rsid w:val="00931259"/>
    <w:rsid w:val="009312AF"/>
    <w:rsid w:val="0093141B"/>
    <w:rsid w:val="00931670"/>
    <w:rsid w:val="00931818"/>
    <w:rsid w:val="009318C8"/>
    <w:rsid w:val="009318D5"/>
    <w:rsid w:val="00931959"/>
    <w:rsid w:val="00931A46"/>
    <w:rsid w:val="00931BEF"/>
    <w:rsid w:val="00931C71"/>
    <w:rsid w:val="00931F83"/>
    <w:rsid w:val="00932186"/>
    <w:rsid w:val="00932493"/>
    <w:rsid w:val="00932695"/>
    <w:rsid w:val="009327C7"/>
    <w:rsid w:val="00932D24"/>
    <w:rsid w:val="0093301D"/>
    <w:rsid w:val="009330CB"/>
    <w:rsid w:val="0093331C"/>
    <w:rsid w:val="0093359A"/>
    <w:rsid w:val="00933911"/>
    <w:rsid w:val="00933EA5"/>
    <w:rsid w:val="00933EA8"/>
    <w:rsid w:val="009342B0"/>
    <w:rsid w:val="009344D0"/>
    <w:rsid w:val="00934725"/>
    <w:rsid w:val="00934921"/>
    <w:rsid w:val="00934992"/>
    <w:rsid w:val="00934D72"/>
    <w:rsid w:val="00934F1E"/>
    <w:rsid w:val="009352AF"/>
    <w:rsid w:val="00935362"/>
    <w:rsid w:val="009354B0"/>
    <w:rsid w:val="00935956"/>
    <w:rsid w:val="009359A3"/>
    <w:rsid w:val="009359BE"/>
    <w:rsid w:val="00935FC1"/>
    <w:rsid w:val="009364A6"/>
    <w:rsid w:val="00936A1D"/>
    <w:rsid w:val="00936C94"/>
    <w:rsid w:val="00936EAC"/>
    <w:rsid w:val="00936FDC"/>
    <w:rsid w:val="00937645"/>
    <w:rsid w:val="0093777B"/>
    <w:rsid w:val="009377B0"/>
    <w:rsid w:val="0093783B"/>
    <w:rsid w:val="009378F1"/>
    <w:rsid w:val="00937904"/>
    <w:rsid w:val="00937A40"/>
    <w:rsid w:val="00937CB9"/>
    <w:rsid w:val="00937D9A"/>
    <w:rsid w:val="00937E17"/>
    <w:rsid w:val="00937E51"/>
    <w:rsid w:val="00937E7D"/>
    <w:rsid w:val="00937ECD"/>
    <w:rsid w:val="00937FB6"/>
    <w:rsid w:val="00940392"/>
    <w:rsid w:val="00940781"/>
    <w:rsid w:val="0094084B"/>
    <w:rsid w:val="00940A50"/>
    <w:rsid w:val="00940BF6"/>
    <w:rsid w:val="00940C35"/>
    <w:rsid w:val="00940DE9"/>
    <w:rsid w:val="00940E11"/>
    <w:rsid w:val="00940E50"/>
    <w:rsid w:val="00940EB1"/>
    <w:rsid w:val="00941007"/>
    <w:rsid w:val="00941179"/>
    <w:rsid w:val="00941250"/>
    <w:rsid w:val="00941292"/>
    <w:rsid w:val="00941296"/>
    <w:rsid w:val="009414AC"/>
    <w:rsid w:val="00941A81"/>
    <w:rsid w:val="00941AA3"/>
    <w:rsid w:val="00941C2F"/>
    <w:rsid w:val="00941D30"/>
    <w:rsid w:val="0094218E"/>
    <w:rsid w:val="0094298D"/>
    <w:rsid w:val="00942AC2"/>
    <w:rsid w:val="00942C31"/>
    <w:rsid w:val="00942C50"/>
    <w:rsid w:val="00942CBD"/>
    <w:rsid w:val="00942DB2"/>
    <w:rsid w:val="00942DC4"/>
    <w:rsid w:val="00942E2E"/>
    <w:rsid w:val="009430F6"/>
    <w:rsid w:val="00943153"/>
    <w:rsid w:val="0094331C"/>
    <w:rsid w:val="009434F1"/>
    <w:rsid w:val="009435A1"/>
    <w:rsid w:val="009437A3"/>
    <w:rsid w:val="00943A6A"/>
    <w:rsid w:val="00943ABF"/>
    <w:rsid w:val="00943E48"/>
    <w:rsid w:val="00944101"/>
    <w:rsid w:val="009445E0"/>
    <w:rsid w:val="00944650"/>
    <w:rsid w:val="00944DBC"/>
    <w:rsid w:val="00944F25"/>
    <w:rsid w:val="00944F83"/>
    <w:rsid w:val="00945019"/>
    <w:rsid w:val="009454D8"/>
    <w:rsid w:val="0094557C"/>
    <w:rsid w:val="009457F8"/>
    <w:rsid w:val="00945867"/>
    <w:rsid w:val="00945DF1"/>
    <w:rsid w:val="00945EDB"/>
    <w:rsid w:val="009460A1"/>
    <w:rsid w:val="00946202"/>
    <w:rsid w:val="0094644C"/>
    <w:rsid w:val="0094649D"/>
    <w:rsid w:val="009466B2"/>
    <w:rsid w:val="00946B22"/>
    <w:rsid w:val="0094744F"/>
    <w:rsid w:val="009474A5"/>
    <w:rsid w:val="009476E1"/>
    <w:rsid w:val="00947812"/>
    <w:rsid w:val="00947986"/>
    <w:rsid w:val="00947BF0"/>
    <w:rsid w:val="00947C03"/>
    <w:rsid w:val="00947C4E"/>
    <w:rsid w:val="00947DA5"/>
    <w:rsid w:val="00950071"/>
    <w:rsid w:val="009501BF"/>
    <w:rsid w:val="009502C3"/>
    <w:rsid w:val="00950440"/>
    <w:rsid w:val="0095063D"/>
    <w:rsid w:val="0095067B"/>
    <w:rsid w:val="009509F6"/>
    <w:rsid w:val="00950BAA"/>
    <w:rsid w:val="00950E28"/>
    <w:rsid w:val="00950E34"/>
    <w:rsid w:val="0095108C"/>
    <w:rsid w:val="00951583"/>
    <w:rsid w:val="0095177A"/>
    <w:rsid w:val="009517F3"/>
    <w:rsid w:val="0095199B"/>
    <w:rsid w:val="009519CB"/>
    <w:rsid w:val="00951A84"/>
    <w:rsid w:val="00951A93"/>
    <w:rsid w:val="00951B64"/>
    <w:rsid w:val="00951D4A"/>
    <w:rsid w:val="00951DB1"/>
    <w:rsid w:val="00951E0D"/>
    <w:rsid w:val="00951E50"/>
    <w:rsid w:val="0095210C"/>
    <w:rsid w:val="009521AB"/>
    <w:rsid w:val="00952395"/>
    <w:rsid w:val="009523BE"/>
    <w:rsid w:val="0095261C"/>
    <w:rsid w:val="009526A7"/>
    <w:rsid w:val="00952856"/>
    <w:rsid w:val="00952971"/>
    <w:rsid w:val="009529C8"/>
    <w:rsid w:val="009529D7"/>
    <w:rsid w:val="00952ACE"/>
    <w:rsid w:val="00952BB4"/>
    <w:rsid w:val="00952BF9"/>
    <w:rsid w:val="00952F03"/>
    <w:rsid w:val="00953194"/>
    <w:rsid w:val="009534F8"/>
    <w:rsid w:val="00953CD5"/>
    <w:rsid w:val="00953DA1"/>
    <w:rsid w:val="009540D8"/>
    <w:rsid w:val="00954447"/>
    <w:rsid w:val="00954560"/>
    <w:rsid w:val="00954994"/>
    <w:rsid w:val="00954BEC"/>
    <w:rsid w:val="00954C2C"/>
    <w:rsid w:val="00954E7A"/>
    <w:rsid w:val="00954EA6"/>
    <w:rsid w:val="00954EFA"/>
    <w:rsid w:val="00955030"/>
    <w:rsid w:val="009550AE"/>
    <w:rsid w:val="009550CA"/>
    <w:rsid w:val="009552C9"/>
    <w:rsid w:val="00955489"/>
    <w:rsid w:val="0095561E"/>
    <w:rsid w:val="0095565A"/>
    <w:rsid w:val="009557A4"/>
    <w:rsid w:val="009558A8"/>
    <w:rsid w:val="00955953"/>
    <w:rsid w:val="009559DD"/>
    <w:rsid w:val="00955AA5"/>
    <w:rsid w:val="00955C84"/>
    <w:rsid w:val="00955DC1"/>
    <w:rsid w:val="00955F85"/>
    <w:rsid w:val="0095605D"/>
    <w:rsid w:val="0095606D"/>
    <w:rsid w:val="0095650B"/>
    <w:rsid w:val="00956530"/>
    <w:rsid w:val="0095701A"/>
    <w:rsid w:val="00957040"/>
    <w:rsid w:val="0095713D"/>
    <w:rsid w:val="009572D3"/>
    <w:rsid w:val="00957330"/>
    <w:rsid w:val="00957343"/>
    <w:rsid w:val="0095739F"/>
    <w:rsid w:val="00957576"/>
    <w:rsid w:val="009576DE"/>
    <w:rsid w:val="009578B0"/>
    <w:rsid w:val="00957DA7"/>
    <w:rsid w:val="00960041"/>
    <w:rsid w:val="0096021D"/>
    <w:rsid w:val="00960244"/>
    <w:rsid w:val="009603B6"/>
    <w:rsid w:val="00960549"/>
    <w:rsid w:val="00960CF6"/>
    <w:rsid w:val="00960D14"/>
    <w:rsid w:val="00960D98"/>
    <w:rsid w:val="00960E78"/>
    <w:rsid w:val="00960ED6"/>
    <w:rsid w:val="0096117F"/>
    <w:rsid w:val="0096129E"/>
    <w:rsid w:val="00961323"/>
    <w:rsid w:val="0096137C"/>
    <w:rsid w:val="00961467"/>
    <w:rsid w:val="009614B3"/>
    <w:rsid w:val="009616F3"/>
    <w:rsid w:val="009617CB"/>
    <w:rsid w:val="0096183C"/>
    <w:rsid w:val="00961949"/>
    <w:rsid w:val="00961AD6"/>
    <w:rsid w:val="00961E57"/>
    <w:rsid w:val="00961F8C"/>
    <w:rsid w:val="009622AD"/>
    <w:rsid w:val="00962813"/>
    <w:rsid w:val="00962827"/>
    <w:rsid w:val="0096289F"/>
    <w:rsid w:val="00962FEB"/>
    <w:rsid w:val="00963121"/>
    <w:rsid w:val="00963152"/>
    <w:rsid w:val="009632AD"/>
    <w:rsid w:val="009633C7"/>
    <w:rsid w:val="00963400"/>
    <w:rsid w:val="00963428"/>
    <w:rsid w:val="00963E7B"/>
    <w:rsid w:val="00963F2A"/>
    <w:rsid w:val="00964313"/>
    <w:rsid w:val="00964504"/>
    <w:rsid w:val="00964916"/>
    <w:rsid w:val="00964BA8"/>
    <w:rsid w:val="00964C2C"/>
    <w:rsid w:val="00964E89"/>
    <w:rsid w:val="00964FC3"/>
    <w:rsid w:val="009650CA"/>
    <w:rsid w:val="00965229"/>
    <w:rsid w:val="00965249"/>
    <w:rsid w:val="0096527E"/>
    <w:rsid w:val="0096529A"/>
    <w:rsid w:val="00965355"/>
    <w:rsid w:val="009654F9"/>
    <w:rsid w:val="009658DA"/>
    <w:rsid w:val="00965C06"/>
    <w:rsid w:val="00965C1B"/>
    <w:rsid w:val="00965D0F"/>
    <w:rsid w:val="00965D2A"/>
    <w:rsid w:val="00965D63"/>
    <w:rsid w:val="00965E13"/>
    <w:rsid w:val="00965E67"/>
    <w:rsid w:val="00965F2C"/>
    <w:rsid w:val="009660D9"/>
    <w:rsid w:val="009660DF"/>
    <w:rsid w:val="00966303"/>
    <w:rsid w:val="009663D5"/>
    <w:rsid w:val="009668F9"/>
    <w:rsid w:val="00966A39"/>
    <w:rsid w:val="00966CEB"/>
    <w:rsid w:val="00966D0A"/>
    <w:rsid w:val="00966D86"/>
    <w:rsid w:val="00966FBE"/>
    <w:rsid w:val="0096712A"/>
    <w:rsid w:val="009672CD"/>
    <w:rsid w:val="00967392"/>
    <w:rsid w:val="009674BD"/>
    <w:rsid w:val="00967875"/>
    <w:rsid w:val="0096787A"/>
    <w:rsid w:val="00967B71"/>
    <w:rsid w:val="00967BB4"/>
    <w:rsid w:val="00967C46"/>
    <w:rsid w:val="00967DD4"/>
    <w:rsid w:val="00967E37"/>
    <w:rsid w:val="00967EDE"/>
    <w:rsid w:val="00967F90"/>
    <w:rsid w:val="00967FA4"/>
    <w:rsid w:val="00967FD4"/>
    <w:rsid w:val="00970034"/>
    <w:rsid w:val="00970065"/>
    <w:rsid w:val="009700D3"/>
    <w:rsid w:val="009704A2"/>
    <w:rsid w:val="009706A7"/>
    <w:rsid w:val="009706B1"/>
    <w:rsid w:val="00970BC7"/>
    <w:rsid w:val="00971048"/>
    <w:rsid w:val="009711E6"/>
    <w:rsid w:val="0097146F"/>
    <w:rsid w:val="0097194F"/>
    <w:rsid w:val="00971A2C"/>
    <w:rsid w:val="00971BF0"/>
    <w:rsid w:val="00971E13"/>
    <w:rsid w:val="00972475"/>
    <w:rsid w:val="009725BE"/>
    <w:rsid w:val="00972844"/>
    <w:rsid w:val="009729C1"/>
    <w:rsid w:val="00972AFC"/>
    <w:rsid w:val="00972B09"/>
    <w:rsid w:val="00972B0D"/>
    <w:rsid w:val="00972E2F"/>
    <w:rsid w:val="009731D6"/>
    <w:rsid w:val="009733AE"/>
    <w:rsid w:val="00973439"/>
    <w:rsid w:val="009738CA"/>
    <w:rsid w:val="00973962"/>
    <w:rsid w:val="00973D7F"/>
    <w:rsid w:val="00973EF7"/>
    <w:rsid w:val="0097404B"/>
    <w:rsid w:val="00974353"/>
    <w:rsid w:val="009743B8"/>
    <w:rsid w:val="0097466D"/>
    <w:rsid w:val="009746AE"/>
    <w:rsid w:val="00974908"/>
    <w:rsid w:val="0097490A"/>
    <w:rsid w:val="009749DD"/>
    <w:rsid w:val="00974B04"/>
    <w:rsid w:val="00974B06"/>
    <w:rsid w:val="00974F3D"/>
    <w:rsid w:val="00974F91"/>
    <w:rsid w:val="00975338"/>
    <w:rsid w:val="0097544C"/>
    <w:rsid w:val="0097550D"/>
    <w:rsid w:val="00975A3E"/>
    <w:rsid w:val="00975A54"/>
    <w:rsid w:val="00975AB8"/>
    <w:rsid w:val="00975D94"/>
    <w:rsid w:val="00975E45"/>
    <w:rsid w:val="009760FD"/>
    <w:rsid w:val="009764CC"/>
    <w:rsid w:val="00976552"/>
    <w:rsid w:val="00976923"/>
    <w:rsid w:val="00976A6E"/>
    <w:rsid w:val="00976CB6"/>
    <w:rsid w:val="00976EEF"/>
    <w:rsid w:val="0097702B"/>
    <w:rsid w:val="00977099"/>
    <w:rsid w:val="009771F3"/>
    <w:rsid w:val="009775F2"/>
    <w:rsid w:val="009777E8"/>
    <w:rsid w:val="00977938"/>
    <w:rsid w:val="009779AE"/>
    <w:rsid w:val="009779CA"/>
    <w:rsid w:val="00977C1C"/>
    <w:rsid w:val="00977FF1"/>
    <w:rsid w:val="00980023"/>
    <w:rsid w:val="00980269"/>
    <w:rsid w:val="009804BD"/>
    <w:rsid w:val="009809CE"/>
    <w:rsid w:val="00980AF2"/>
    <w:rsid w:val="00980D56"/>
    <w:rsid w:val="00980DE0"/>
    <w:rsid w:val="00980F51"/>
    <w:rsid w:val="009813EC"/>
    <w:rsid w:val="009816FF"/>
    <w:rsid w:val="00981726"/>
    <w:rsid w:val="009818CB"/>
    <w:rsid w:val="009818D6"/>
    <w:rsid w:val="009819C5"/>
    <w:rsid w:val="009819E4"/>
    <w:rsid w:val="00981BEB"/>
    <w:rsid w:val="00981F3A"/>
    <w:rsid w:val="00981F65"/>
    <w:rsid w:val="0098201F"/>
    <w:rsid w:val="00982048"/>
    <w:rsid w:val="0098229E"/>
    <w:rsid w:val="00982435"/>
    <w:rsid w:val="00982677"/>
    <w:rsid w:val="00982783"/>
    <w:rsid w:val="00982857"/>
    <w:rsid w:val="0098293C"/>
    <w:rsid w:val="00982ABF"/>
    <w:rsid w:val="00982B56"/>
    <w:rsid w:val="00982C21"/>
    <w:rsid w:val="00982EBE"/>
    <w:rsid w:val="00982F1F"/>
    <w:rsid w:val="0098327C"/>
    <w:rsid w:val="00983387"/>
    <w:rsid w:val="0098356D"/>
    <w:rsid w:val="009836CA"/>
    <w:rsid w:val="00983882"/>
    <w:rsid w:val="00983AFA"/>
    <w:rsid w:val="00983D84"/>
    <w:rsid w:val="009841B3"/>
    <w:rsid w:val="00984265"/>
    <w:rsid w:val="0098442A"/>
    <w:rsid w:val="00984459"/>
    <w:rsid w:val="009845D0"/>
    <w:rsid w:val="009849EC"/>
    <w:rsid w:val="00984AC8"/>
    <w:rsid w:val="00984CCF"/>
    <w:rsid w:val="00984D5F"/>
    <w:rsid w:val="00984EEB"/>
    <w:rsid w:val="00985047"/>
    <w:rsid w:val="00985457"/>
    <w:rsid w:val="00985526"/>
    <w:rsid w:val="009856B8"/>
    <w:rsid w:val="00985A31"/>
    <w:rsid w:val="00985C9A"/>
    <w:rsid w:val="00985D5C"/>
    <w:rsid w:val="00985D5D"/>
    <w:rsid w:val="00985E51"/>
    <w:rsid w:val="00985F6F"/>
    <w:rsid w:val="00986104"/>
    <w:rsid w:val="00986650"/>
    <w:rsid w:val="0098687E"/>
    <w:rsid w:val="00986A1B"/>
    <w:rsid w:val="00986A5F"/>
    <w:rsid w:val="00986A91"/>
    <w:rsid w:val="00986C67"/>
    <w:rsid w:val="00986DE7"/>
    <w:rsid w:val="00986F5F"/>
    <w:rsid w:val="00986F9E"/>
    <w:rsid w:val="00987025"/>
    <w:rsid w:val="009871AA"/>
    <w:rsid w:val="009871DB"/>
    <w:rsid w:val="0098729D"/>
    <w:rsid w:val="00987819"/>
    <w:rsid w:val="0098790D"/>
    <w:rsid w:val="00987995"/>
    <w:rsid w:val="009879BD"/>
    <w:rsid w:val="00987C8A"/>
    <w:rsid w:val="00987DD1"/>
    <w:rsid w:val="0099001D"/>
    <w:rsid w:val="00990129"/>
    <w:rsid w:val="0099014F"/>
    <w:rsid w:val="0099022E"/>
    <w:rsid w:val="00990258"/>
    <w:rsid w:val="00990581"/>
    <w:rsid w:val="00990780"/>
    <w:rsid w:val="009907F8"/>
    <w:rsid w:val="0099087D"/>
    <w:rsid w:val="00990B92"/>
    <w:rsid w:val="00990C22"/>
    <w:rsid w:val="00990FD5"/>
    <w:rsid w:val="0099125D"/>
    <w:rsid w:val="00991659"/>
    <w:rsid w:val="009916D9"/>
    <w:rsid w:val="009917D5"/>
    <w:rsid w:val="00991836"/>
    <w:rsid w:val="0099187F"/>
    <w:rsid w:val="009918B8"/>
    <w:rsid w:val="00991CBB"/>
    <w:rsid w:val="00991F87"/>
    <w:rsid w:val="00992190"/>
    <w:rsid w:val="00992432"/>
    <w:rsid w:val="0099249F"/>
    <w:rsid w:val="009925EF"/>
    <w:rsid w:val="00992CA4"/>
    <w:rsid w:val="00992E9E"/>
    <w:rsid w:val="00993127"/>
    <w:rsid w:val="00993534"/>
    <w:rsid w:val="00993698"/>
    <w:rsid w:val="009936A0"/>
    <w:rsid w:val="009936DE"/>
    <w:rsid w:val="00993794"/>
    <w:rsid w:val="00993878"/>
    <w:rsid w:val="00993926"/>
    <w:rsid w:val="00993E83"/>
    <w:rsid w:val="00994025"/>
    <w:rsid w:val="009940FE"/>
    <w:rsid w:val="00994233"/>
    <w:rsid w:val="009945E1"/>
    <w:rsid w:val="0099469A"/>
    <w:rsid w:val="00994770"/>
    <w:rsid w:val="0099484E"/>
    <w:rsid w:val="00994A52"/>
    <w:rsid w:val="00994BD9"/>
    <w:rsid w:val="00994C46"/>
    <w:rsid w:val="009950BD"/>
    <w:rsid w:val="00995210"/>
    <w:rsid w:val="00995999"/>
    <w:rsid w:val="00995AF2"/>
    <w:rsid w:val="00995CBE"/>
    <w:rsid w:val="00995D7C"/>
    <w:rsid w:val="00995D86"/>
    <w:rsid w:val="00995DB0"/>
    <w:rsid w:val="00996225"/>
    <w:rsid w:val="0099630E"/>
    <w:rsid w:val="0099671E"/>
    <w:rsid w:val="00996EB2"/>
    <w:rsid w:val="00996F58"/>
    <w:rsid w:val="00996F5F"/>
    <w:rsid w:val="009971F0"/>
    <w:rsid w:val="009972A3"/>
    <w:rsid w:val="00997519"/>
    <w:rsid w:val="00997539"/>
    <w:rsid w:val="009978D1"/>
    <w:rsid w:val="00997972"/>
    <w:rsid w:val="00997C12"/>
    <w:rsid w:val="00997C5C"/>
    <w:rsid w:val="00997D6F"/>
    <w:rsid w:val="009A000F"/>
    <w:rsid w:val="009A0095"/>
    <w:rsid w:val="009A0108"/>
    <w:rsid w:val="009A012F"/>
    <w:rsid w:val="009A01C8"/>
    <w:rsid w:val="009A01FE"/>
    <w:rsid w:val="009A0268"/>
    <w:rsid w:val="009A02D2"/>
    <w:rsid w:val="009A0419"/>
    <w:rsid w:val="009A0438"/>
    <w:rsid w:val="009A08E9"/>
    <w:rsid w:val="009A094C"/>
    <w:rsid w:val="009A0E7A"/>
    <w:rsid w:val="009A1249"/>
    <w:rsid w:val="009A15E4"/>
    <w:rsid w:val="009A18CC"/>
    <w:rsid w:val="009A19D5"/>
    <w:rsid w:val="009A1D22"/>
    <w:rsid w:val="009A2128"/>
    <w:rsid w:val="009A23AA"/>
    <w:rsid w:val="009A23F0"/>
    <w:rsid w:val="009A2750"/>
    <w:rsid w:val="009A292A"/>
    <w:rsid w:val="009A2BEE"/>
    <w:rsid w:val="009A2C61"/>
    <w:rsid w:val="009A2CB3"/>
    <w:rsid w:val="009A2F96"/>
    <w:rsid w:val="009A307C"/>
    <w:rsid w:val="009A320F"/>
    <w:rsid w:val="009A3405"/>
    <w:rsid w:val="009A35C7"/>
    <w:rsid w:val="009A3699"/>
    <w:rsid w:val="009A395D"/>
    <w:rsid w:val="009A3AAF"/>
    <w:rsid w:val="009A404B"/>
    <w:rsid w:val="009A408B"/>
    <w:rsid w:val="009A420B"/>
    <w:rsid w:val="009A436C"/>
    <w:rsid w:val="009A4660"/>
    <w:rsid w:val="009A46A7"/>
    <w:rsid w:val="009A4934"/>
    <w:rsid w:val="009A4A04"/>
    <w:rsid w:val="009A4AC2"/>
    <w:rsid w:val="009A4B20"/>
    <w:rsid w:val="009A4D72"/>
    <w:rsid w:val="009A4DAB"/>
    <w:rsid w:val="009A519F"/>
    <w:rsid w:val="009A53A5"/>
    <w:rsid w:val="009A53A7"/>
    <w:rsid w:val="009A55DD"/>
    <w:rsid w:val="009A5660"/>
    <w:rsid w:val="009A5B39"/>
    <w:rsid w:val="009A629C"/>
    <w:rsid w:val="009A64C5"/>
    <w:rsid w:val="009A6542"/>
    <w:rsid w:val="009A663C"/>
    <w:rsid w:val="009A6727"/>
    <w:rsid w:val="009A6A6E"/>
    <w:rsid w:val="009A717C"/>
    <w:rsid w:val="009A7285"/>
    <w:rsid w:val="009A73A9"/>
    <w:rsid w:val="009A77C9"/>
    <w:rsid w:val="009A790B"/>
    <w:rsid w:val="009A7A17"/>
    <w:rsid w:val="009A7AE7"/>
    <w:rsid w:val="009A7CBF"/>
    <w:rsid w:val="009A7DD6"/>
    <w:rsid w:val="009A7E47"/>
    <w:rsid w:val="009A7F4C"/>
    <w:rsid w:val="009A7F78"/>
    <w:rsid w:val="009A7F7A"/>
    <w:rsid w:val="009B0026"/>
    <w:rsid w:val="009B02E8"/>
    <w:rsid w:val="009B05A2"/>
    <w:rsid w:val="009B087C"/>
    <w:rsid w:val="009B0A89"/>
    <w:rsid w:val="009B0C1E"/>
    <w:rsid w:val="009B0C52"/>
    <w:rsid w:val="009B0EF9"/>
    <w:rsid w:val="009B0F42"/>
    <w:rsid w:val="009B1087"/>
    <w:rsid w:val="009B147B"/>
    <w:rsid w:val="009B16AC"/>
    <w:rsid w:val="009B1D54"/>
    <w:rsid w:val="009B1E0A"/>
    <w:rsid w:val="009B2AD3"/>
    <w:rsid w:val="009B2E12"/>
    <w:rsid w:val="009B3184"/>
    <w:rsid w:val="009B325A"/>
    <w:rsid w:val="009B325B"/>
    <w:rsid w:val="009B3286"/>
    <w:rsid w:val="009B34C1"/>
    <w:rsid w:val="009B367C"/>
    <w:rsid w:val="009B3C0C"/>
    <w:rsid w:val="009B3EC4"/>
    <w:rsid w:val="009B3FAC"/>
    <w:rsid w:val="009B3FDE"/>
    <w:rsid w:val="009B4059"/>
    <w:rsid w:val="009B4398"/>
    <w:rsid w:val="009B4516"/>
    <w:rsid w:val="009B4619"/>
    <w:rsid w:val="009B462A"/>
    <w:rsid w:val="009B476A"/>
    <w:rsid w:val="009B4A22"/>
    <w:rsid w:val="009B4ABA"/>
    <w:rsid w:val="009B52A9"/>
    <w:rsid w:val="009B53E1"/>
    <w:rsid w:val="009B54E4"/>
    <w:rsid w:val="009B5729"/>
    <w:rsid w:val="009B5769"/>
    <w:rsid w:val="009B590F"/>
    <w:rsid w:val="009B5E83"/>
    <w:rsid w:val="009B5F66"/>
    <w:rsid w:val="009B66D5"/>
    <w:rsid w:val="009B67CA"/>
    <w:rsid w:val="009B68F0"/>
    <w:rsid w:val="009B6B96"/>
    <w:rsid w:val="009B6C19"/>
    <w:rsid w:val="009B6C66"/>
    <w:rsid w:val="009B6DC2"/>
    <w:rsid w:val="009B70C5"/>
    <w:rsid w:val="009B7309"/>
    <w:rsid w:val="009B733C"/>
    <w:rsid w:val="009B749D"/>
    <w:rsid w:val="009B74CB"/>
    <w:rsid w:val="009B79A6"/>
    <w:rsid w:val="009B7DDB"/>
    <w:rsid w:val="009B7E77"/>
    <w:rsid w:val="009C0093"/>
    <w:rsid w:val="009C00DC"/>
    <w:rsid w:val="009C011C"/>
    <w:rsid w:val="009C01EE"/>
    <w:rsid w:val="009C04FD"/>
    <w:rsid w:val="009C0863"/>
    <w:rsid w:val="009C0CC0"/>
    <w:rsid w:val="009C0E18"/>
    <w:rsid w:val="009C0EC9"/>
    <w:rsid w:val="009C1625"/>
    <w:rsid w:val="009C1651"/>
    <w:rsid w:val="009C16CD"/>
    <w:rsid w:val="009C1F0A"/>
    <w:rsid w:val="009C20A5"/>
    <w:rsid w:val="009C2593"/>
    <w:rsid w:val="009C29A8"/>
    <w:rsid w:val="009C2B56"/>
    <w:rsid w:val="009C3012"/>
    <w:rsid w:val="009C30C7"/>
    <w:rsid w:val="009C3197"/>
    <w:rsid w:val="009C360D"/>
    <w:rsid w:val="009C38EA"/>
    <w:rsid w:val="009C398D"/>
    <w:rsid w:val="009C3B1B"/>
    <w:rsid w:val="009C3C7C"/>
    <w:rsid w:val="009C3C86"/>
    <w:rsid w:val="009C3E60"/>
    <w:rsid w:val="009C42E1"/>
    <w:rsid w:val="009C46D0"/>
    <w:rsid w:val="009C47F2"/>
    <w:rsid w:val="009C4DAE"/>
    <w:rsid w:val="009C4E13"/>
    <w:rsid w:val="009C517A"/>
    <w:rsid w:val="009C5199"/>
    <w:rsid w:val="009C559A"/>
    <w:rsid w:val="009C5629"/>
    <w:rsid w:val="009C5866"/>
    <w:rsid w:val="009C5A14"/>
    <w:rsid w:val="009C5AE9"/>
    <w:rsid w:val="009C5CA1"/>
    <w:rsid w:val="009C62ED"/>
    <w:rsid w:val="009C669C"/>
    <w:rsid w:val="009C6879"/>
    <w:rsid w:val="009C68E9"/>
    <w:rsid w:val="009C6A08"/>
    <w:rsid w:val="009C6A3D"/>
    <w:rsid w:val="009C6DC1"/>
    <w:rsid w:val="009C6EB6"/>
    <w:rsid w:val="009C6F1C"/>
    <w:rsid w:val="009C750E"/>
    <w:rsid w:val="009C76A2"/>
    <w:rsid w:val="009C76BA"/>
    <w:rsid w:val="009C7895"/>
    <w:rsid w:val="009C7AF9"/>
    <w:rsid w:val="009C7B3B"/>
    <w:rsid w:val="009C7B7C"/>
    <w:rsid w:val="009C7C91"/>
    <w:rsid w:val="009C7EF8"/>
    <w:rsid w:val="009C7F14"/>
    <w:rsid w:val="009C7F7D"/>
    <w:rsid w:val="009D01CE"/>
    <w:rsid w:val="009D01EE"/>
    <w:rsid w:val="009D0373"/>
    <w:rsid w:val="009D03A4"/>
    <w:rsid w:val="009D0432"/>
    <w:rsid w:val="009D049D"/>
    <w:rsid w:val="009D04B3"/>
    <w:rsid w:val="009D052E"/>
    <w:rsid w:val="009D079D"/>
    <w:rsid w:val="009D0862"/>
    <w:rsid w:val="009D0915"/>
    <w:rsid w:val="009D0F24"/>
    <w:rsid w:val="009D10D9"/>
    <w:rsid w:val="009D14DB"/>
    <w:rsid w:val="009D17B3"/>
    <w:rsid w:val="009D1B25"/>
    <w:rsid w:val="009D1B5D"/>
    <w:rsid w:val="009D1F06"/>
    <w:rsid w:val="009D1F75"/>
    <w:rsid w:val="009D234E"/>
    <w:rsid w:val="009D236F"/>
    <w:rsid w:val="009D2417"/>
    <w:rsid w:val="009D244C"/>
    <w:rsid w:val="009D2461"/>
    <w:rsid w:val="009D25D1"/>
    <w:rsid w:val="009D264F"/>
    <w:rsid w:val="009D27E8"/>
    <w:rsid w:val="009D2821"/>
    <w:rsid w:val="009D291F"/>
    <w:rsid w:val="009D29CC"/>
    <w:rsid w:val="009D2A22"/>
    <w:rsid w:val="009D2B18"/>
    <w:rsid w:val="009D2D5A"/>
    <w:rsid w:val="009D2D65"/>
    <w:rsid w:val="009D2E69"/>
    <w:rsid w:val="009D302F"/>
    <w:rsid w:val="009D3082"/>
    <w:rsid w:val="009D32C1"/>
    <w:rsid w:val="009D35E3"/>
    <w:rsid w:val="009D3A65"/>
    <w:rsid w:val="009D3A9D"/>
    <w:rsid w:val="009D3EB4"/>
    <w:rsid w:val="009D3ECE"/>
    <w:rsid w:val="009D40C9"/>
    <w:rsid w:val="009D43D6"/>
    <w:rsid w:val="009D44DD"/>
    <w:rsid w:val="009D469C"/>
    <w:rsid w:val="009D4760"/>
    <w:rsid w:val="009D480D"/>
    <w:rsid w:val="009D4848"/>
    <w:rsid w:val="009D4895"/>
    <w:rsid w:val="009D48FB"/>
    <w:rsid w:val="009D4EF5"/>
    <w:rsid w:val="009D4F26"/>
    <w:rsid w:val="009D4F91"/>
    <w:rsid w:val="009D5416"/>
    <w:rsid w:val="009D54EC"/>
    <w:rsid w:val="009D54EF"/>
    <w:rsid w:val="009D56BF"/>
    <w:rsid w:val="009D5844"/>
    <w:rsid w:val="009D5A41"/>
    <w:rsid w:val="009D5D8F"/>
    <w:rsid w:val="009D5DFA"/>
    <w:rsid w:val="009D5E35"/>
    <w:rsid w:val="009D5F31"/>
    <w:rsid w:val="009D61F0"/>
    <w:rsid w:val="009D647C"/>
    <w:rsid w:val="009D67DF"/>
    <w:rsid w:val="009D6CD3"/>
    <w:rsid w:val="009D6D09"/>
    <w:rsid w:val="009D6F3D"/>
    <w:rsid w:val="009D70BD"/>
    <w:rsid w:val="009D7875"/>
    <w:rsid w:val="009D78C0"/>
    <w:rsid w:val="009D7908"/>
    <w:rsid w:val="009D7984"/>
    <w:rsid w:val="009D7A80"/>
    <w:rsid w:val="009D7BCB"/>
    <w:rsid w:val="009D7C77"/>
    <w:rsid w:val="009D7DB5"/>
    <w:rsid w:val="009D7EF0"/>
    <w:rsid w:val="009E00AC"/>
    <w:rsid w:val="009E00E3"/>
    <w:rsid w:val="009E011B"/>
    <w:rsid w:val="009E0519"/>
    <w:rsid w:val="009E0907"/>
    <w:rsid w:val="009E092A"/>
    <w:rsid w:val="009E09DD"/>
    <w:rsid w:val="009E0A96"/>
    <w:rsid w:val="009E0C3C"/>
    <w:rsid w:val="009E0DBA"/>
    <w:rsid w:val="009E11DF"/>
    <w:rsid w:val="009E1207"/>
    <w:rsid w:val="009E12BB"/>
    <w:rsid w:val="009E1339"/>
    <w:rsid w:val="009E13E1"/>
    <w:rsid w:val="009E148A"/>
    <w:rsid w:val="009E18AB"/>
    <w:rsid w:val="009E1E85"/>
    <w:rsid w:val="009E1F3F"/>
    <w:rsid w:val="009E1FE6"/>
    <w:rsid w:val="009E22E2"/>
    <w:rsid w:val="009E2344"/>
    <w:rsid w:val="009E235C"/>
    <w:rsid w:val="009E26EE"/>
    <w:rsid w:val="009E27B2"/>
    <w:rsid w:val="009E2967"/>
    <w:rsid w:val="009E2A11"/>
    <w:rsid w:val="009E2FA3"/>
    <w:rsid w:val="009E31FF"/>
    <w:rsid w:val="009E364F"/>
    <w:rsid w:val="009E3755"/>
    <w:rsid w:val="009E3A88"/>
    <w:rsid w:val="009E3CD2"/>
    <w:rsid w:val="009E3E12"/>
    <w:rsid w:val="009E3E7D"/>
    <w:rsid w:val="009E3FA3"/>
    <w:rsid w:val="009E40E6"/>
    <w:rsid w:val="009E40EB"/>
    <w:rsid w:val="009E4172"/>
    <w:rsid w:val="009E41EF"/>
    <w:rsid w:val="009E475B"/>
    <w:rsid w:val="009E47BA"/>
    <w:rsid w:val="009E4B98"/>
    <w:rsid w:val="009E50BF"/>
    <w:rsid w:val="009E5402"/>
    <w:rsid w:val="009E548A"/>
    <w:rsid w:val="009E55BB"/>
    <w:rsid w:val="009E570E"/>
    <w:rsid w:val="009E5729"/>
    <w:rsid w:val="009E5945"/>
    <w:rsid w:val="009E59C3"/>
    <w:rsid w:val="009E59FC"/>
    <w:rsid w:val="009E64A3"/>
    <w:rsid w:val="009E64B4"/>
    <w:rsid w:val="009E6629"/>
    <w:rsid w:val="009E696F"/>
    <w:rsid w:val="009E6AA7"/>
    <w:rsid w:val="009E6B3D"/>
    <w:rsid w:val="009E6F00"/>
    <w:rsid w:val="009E717B"/>
    <w:rsid w:val="009E7260"/>
    <w:rsid w:val="009E748A"/>
    <w:rsid w:val="009E7732"/>
    <w:rsid w:val="009E7782"/>
    <w:rsid w:val="009E79DC"/>
    <w:rsid w:val="009E7A59"/>
    <w:rsid w:val="009E7D40"/>
    <w:rsid w:val="009E7DFD"/>
    <w:rsid w:val="009F00BB"/>
    <w:rsid w:val="009F08A5"/>
    <w:rsid w:val="009F0AA6"/>
    <w:rsid w:val="009F0F5A"/>
    <w:rsid w:val="009F0FB1"/>
    <w:rsid w:val="009F1105"/>
    <w:rsid w:val="009F13AB"/>
    <w:rsid w:val="009F1657"/>
    <w:rsid w:val="009F18A2"/>
    <w:rsid w:val="009F18EE"/>
    <w:rsid w:val="009F1D26"/>
    <w:rsid w:val="009F1D74"/>
    <w:rsid w:val="009F1FE9"/>
    <w:rsid w:val="009F22C0"/>
    <w:rsid w:val="009F259B"/>
    <w:rsid w:val="009F25B6"/>
    <w:rsid w:val="009F25D6"/>
    <w:rsid w:val="009F26C9"/>
    <w:rsid w:val="009F2805"/>
    <w:rsid w:val="009F2897"/>
    <w:rsid w:val="009F2BFF"/>
    <w:rsid w:val="009F2C53"/>
    <w:rsid w:val="009F2D06"/>
    <w:rsid w:val="009F2E10"/>
    <w:rsid w:val="009F2ED4"/>
    <w:rsid w:val="009F326D"/>
    <w:rsid w:val="009F36DE"/>
    <w:rsid w:val="009F36E1"/>
    <w:rsid w:val="009F3DD1"/>
    <w:rsid w:val="009F3EC4"/>
    <w:rsid w:val="009F3F01"/>
    <w:rsid w:val="009F41F1"/>
    <w:rsid w:val="009F45F0"/>
    <w:rsid w:val="009F48F8"/>
    <w:rsid w:val="009F49A8"/>
    <w:rsid w:val="009F4CA8"/>
    <w:rsid w:val="009F5386"/>
    <w:rsid w:val="009F5763"/>
    <w:rsid w:val="009F58BD"/>
    <w:rsid w:val="009F5AA7"/>
    <w:rsid w:val="009F5AE6"/>
    <w:rsid w:val="009F5B43"/>
    <w:rsid w:val="009F5CB1"/>
    <w:rsid w:val="009F5E84"/>
    <w:rsid w:val="009F65C4"/>
    <w:rsid w:val="009F65FD"/>
    <w:rsid w:val="009F673C"/>
    <w:rsid w:val="009F69F2"/>
    <w:rsid w:val="009F6B5A"/>
    <w:rsid w:val="009F6BA5"/>
    <w:rsid w:val="009F6BE9"/>
    <w:rsid w:val="009F6F17"/>
    <w:rsid w:val="009F6FB9"/>
    <w:rsid w:val="009F712B"/>
    <w:rsid w:val="009F720B"/>
    <w:rsid w:val="009F7283"/>
    <w:rsid w:val="009F76B3"/>
    <w:rsid w:val="009F795B"/>
    <w:rsid w:val="009F7AA2"/>
    <w:rsid w:val="009F7C39"/>
    <w:rsid w:val="009F7C40"/>
    <w:rsid w:val="009F7CB6"/>
    <w:rsid w:val="009F7D4D"/>
    <w:rsid w:val="009F7DA7"/>
    <w:rsid w:val="009F7DB0"/>
    <w:rsid w:val="009F7DD1"/>
    <w:rsid w:val="009F7FB4"/>
    <w:rsid w:val="00A001CD"/>
    <w:rsid w:val="00A00285"/>
    <w:rsid w:val="00A002E4"/>
    <w:rsid w:val="00A003CC"/>
    <w:rsid w:val="00A00A6E"/>
    <w:rsid w:val="00A00ABA"/>
    <w:rsid w:val="00A00B67"/>
    <w:rsid w:val="00A00CEC"/>
    <w:rsid w:val="00A00F3C"/>
    <w:rsid w:val="00A01364"/>
    <w:rsid w:val="00A0150B"/>
    <w:rsid w:val="00A01831"/>
    <w:rsid w:val="00A01982"/>
    <w:rsid w:val="00A019F3"/>
    <w:rsid w:val="00A01A8F"/>
    <w:rsid w:val="00A01BEB"/>
    <w:rsid w:val="00A01F74"/>
    <w:rsid w:val="00A023EF"/>
    <w:rsid w:val="00A02465"/>
    <w:rsid w:val="00A024E6"/>
    <w:rsid w:val="00A02500"/>
    <w:rsid w:val="00A02568"/>
    <w:rsid w:val="00A0261B"/>
    <w:rsid w:val="00A02A42"/>
    <w:rsid w:val="00A02A43"/>
    <w:rsid w:val="00A02B64"/>
    <w:rsid w:val="00A02BA0"/>
    <w:rsid w:val="00A02DA8"/>
    <w:rsid w:val="00A02E97"/>
    <w:rsid w:val="00A0330A"/>
    <w:rsid w:val="00A0357E"/>
    <w:rsid w:val="00A037F3"/>
    <w:rsid w:val="00A038A8"/>
    <w:rsid w:val="00A0390F"/>
    <w:rsid w:val="00A03DA2"/>
    <w:rsid w:val="00A03EC6"/>
    <w:rsid w:val="00A03F19"/>
    <w:rsid w:val="00A03F8A"/>
    <w:rsid w:val="00A03FAC"/>
    <w:rsid w:val="00A0403D"/>
    <w:rsid w:val="00A04461"/>
    <w:rsid w:val="00A0446D"/>
    <w:rsid w:val="00A044FD"/>
    <w:rsid w:val="00A045BA"/>
    <w:rsid w:val="00A04C01"/>
    <w:rsid w:val="00A04C79"/>
    <w:rsid w:val="00A04D25"/>
    <w:rsid w:val="00A04D39"/>
    <w:rsid w:val="00A04EF3"/>
    <w:rsid w:val="00A05066"/>
    <w:rsid w:val="00A0509C"/>
    <w:rsid w:val="00A050C1"/>
    <w:rsid w:val="00A050EF"/>
    <w:rsid w:val="00A0519E"/>
    <w:rsid w:val="00A0530D"/>
    <w:rsid w:val="00A0554C"/>
    <w:rsid w:val="00A055FB"/>
    <w:rsid w:val="00A0596B"/>
    <w:rsid w:val="00A05C67"/>
    <w:rsid w:val="00A05ECC"/>
    <w:rsid w:val="00A05EDB"/>
    <w:rsid w:val="00A06219"/>
    <w:rsid w:val="00A0624C"/>
    <w:rsid w:val="00A068DD"/>
    <w:rsid w:val="00A06BCE"/>
    <w:rsid w:val="00A06E94"/>
    <w:rsid w:val="00A07023"/>
    <w:rsid w:val="00A0724F"/>
    <w:rsid w:val="00A075BD"/>
    <w:rsid w:val="00A0779B"/>
    <w:rsid w:val="00A0792F"/>
    <w:rsid w:val="00A07B3E"/>
    <w:rsid w:val="00A07BCF"/>
    <w:rsid w:val="00A10171"/>
    <w:rsid w:val="00A10423"/>
    <w:rsid w:val="00A10450"/>
    <w:rsid w:val="00A104ED"/>
    <w:rsid w:val="00A1074F"/>
    <w:rsid w:val="00A10819"/>
    <w:rsid w:val="00A1088E"/>
    <w:rsid w:val="00A108FA"/>
    <w:rsid w:val="00A10965"/>
    <w:rsid w:val="00A10C16"/>
    <w:rsid w:val="00A10C72"/>
    <w:rsid w:val="00A10ED8"/>
    <w:rsid w:val="00A10F60"/>
    <w:rsid w:val="00A10FC2"/>
    <w:rsid w:val="00A11156"/>
    <w:rsid w:val="00A1119B"/>
    <w:rsid w:val="00A1157E"/>
    <w:rsid w:val="00A11634"/>
    <w:rsid w:val="00A11C1E"/>
    <w:rsid w:val="00A11C68"/>
    <w:rsid w:val="00A11D5C"/>
    <w:rsid w:val="00A11D8D"/>
    <w:rsid w:val="00A120AE"/>
    <w:rsid w:val="00A1247B"/>
    <w:rsid w:val="00A127B8"/>
    <w:rsid w:val="00A12865"/>
    <w:rsid w:val="00A12BDD"/>
    <w:rsid w:val="00A12D4E"/>
    <w:rsid w:val="00A12FB2"/>
    <w:rsid w:val="00A13361"/>
    <w:rsid w:val="00A1347E"/>
    <w:rsid w:val="00A13684"/>
    <w:rsid w:val="00A1392C"/>
    <w:rsid w:val="00A13AD4"/>
    <w:rsid w:val="00A13B2F"/>
    <w:rsid w:val="00A13B9C"/>
    <w:rsid w:val="00A13C49"/>
    <w:rsid w:val="00A13E20"/>
    <w:rsid w:val="00A1405C"/>
    <w:rsid w:val="00A14B8A"/>
    <w:rsid w:val="00A14CB9"/>
    <w:rsid w:val="00A14CE2"/>
    <w:rsid w:val="00A14D02"/>
    <w:rsid w:val="00A14E28"/>
    <w:rsid w:val="00A15061"/>
    <w:rsid w:val="00A151C5"/>
    <w:rsid w:val="00A1520B"/>
    <w:rsid w:val="00A152DB"/>
    <w:rsid w:val="00A15670"/>
    <w:rsid w:val="00A15673"/>
    <w:rsid w:val="00A157F2"/>
    <w:rsid w:val="00A15B23"/>
    <w:rsid w:val="00A160C9"/>
    <w:rsid w:val="00A1617D"/>
    <w:rsid w:val="00A161A3"/>
    <w:rsid w:val="00A162D4"/>
    <w:rsid w:val="00A163D8"/>
    <w:rsid w:val="00A16505"/>
    <w:rsid w:val="00A1670D"/>
    <w:rsid w:val="00A1689C"/>
    <w:rsid w:val="00A168BD"/>
    <w:rsid w:val="00A16BEB"/>
    <w:rsid w:val="00A16C36"/>
    <w:rsid w:val="00A16CFF"/>
    <w:rsid w:val="00A16EC4"/>
    <w:rsid w:val="00A17309"/>
    <w:rsid w:val="00A17349"/>
    <w:rsid w:val="00A1737C"/>
    <w:rsid w:val="00A1774B"/>
    <w:rsid w:val="00A17B1E"/>
    <w:rsid w:val="00A2018F"/>
    <w:rsid w:val="00A20335"/>
    <w:rsid w:val="00A2062E"/>
    <w:rsid w:val="00A2065D"/>
    <w:rsid w:val="00A206B5"/>
    <w:rsid w:val="00A20C10"/>
    <w:rsid w:val="00A20E92"/>
    <w:rsid w:val="00A20F26"/>
    <w:rsid w:val="00A20F27"/>
    <w:rsid w:val="00A213FA"/>
    <w:rsid w:val="00A21EC4"/>
    <w:rsid w:val="00A21EE4"/>
    <w:rsid w:val="00A21F8C"/>
    <w:rsid w:val="00A21FC1"/>
    <w:rsid w:val="00A222FE"/>
    <w:rsid w:val="00A22474"/>
    <w:rsid w:val="00A22575"/>
    <w:rsid w:val="00A22659"/>
    <w:rsid w:val="00A22865"/>
    <w:rsid w:val="00A228E8"/>
    <w:rsid w:val="00A22DB6"/>
    <w:rsid w:val="00A22E54"/>
    <w:rsid w:val="00A22FFC"/>
    <w:rsid w:val="00A231CE"/>
    <w:rsid w:val="00A236B2"/>
    <w:rsid w:val="00A237BD"/>
    <w:rsid w:val="00A23855"/>
    <w:rsid w:val="00A239A7"/>
    <w:rsid w:val="00A23DE0"/>
    <w:rsid w:val="00A240DA"/>
    <w:rsid w:val="00A24453"/>
    <w:rsid w:val="00A24521"/>
    <w:rsid w:val="00A2470C"/>
    <w:rsid w:val="00A24BD7"/>
    <w:rsid w:val="00A24C39"/>
    <w:rsid w:val="00A24F3F"/>
    <w:rsid w:val="00A250B6"/>
    <w:rsid w:val="00A25167"/>
    <w:rsid w:val="00A25371"/>
    <w:rsid w:val="00A2590A"/>
    <w:rsid w:val="00A25924"/>
    <w:rsid w:val="00A25937"/>
    <w:rsid w:val="00A2597D"/>
    <w:rsid w:val="00A25C1E"/>
    <w:rsid w:val="00A25E6E"/>
    <w:rsid w:val="00A26026"/>
    <w:rsid w:val="00A2611E"/>
    <w:rsid w:val="00A2614C"/>
    <w:rsid w:val="00A262FD"/>
    <w:rsid w:val="00A26871"/>
    <w:rsid w:val="00A268E5"/>
    <w:rsid w:val="00A269C9"/>
    <w:rsid w:val="00A26C31"/>
    <w:rsid w:val="00A26C43"/>
    <w:rsid w:val="00A26DFF"/>
    <w:rsid w:val="00A26EF4"/>
    <w:rsid w:val="00A26F06"/>
    <w:rsid w:val="00A27089"/>
    <w:rsid w:val="00A2721D"/>
    <w:rsid w:val="00A27354"/>
    <w:rsid w:val="00A273B1"/>
    <w:rsid w:val="00A27436"/>
    <w:rsid w:val="00A2751D"/>
    <w:rsid w:val="00A276DE"/>
    <w:rsid w:val="00A277CC"/>
    <w:rsid w:val="00A27862"/>
    <w:rsid w:val="00A2789C"/>
    <w:rsid w:val="00A27A63"/>
    <w:rsid w:val="00A27D32"/>
    <w:rsid w:val="00A27E36"/>
    <w:rsid w:val="00A27F18"/>
    <w:rsid w:val="00A301E2"/>
    <w:rsid w:val="00A30243"/>
    <w:rsid w:val="00A3038B"/>
    <w:rsid w:val="00A304CC"/>
    <w:rsid w:val="00A30529"/>
    <w:rsid w:val="00A30600"/>
    <w:rsid w:val="00A308A5"/>
    <w:rsid w:val="00A3137B"/>
    <w:rsid w:val="00A3154E"/>
    <w:rsid w:val="00A317AB"/>
    <w:rsid w:val="00A31A79"/>
    <w:rsid w:val="00A31A9D"/>
    <w:rsid w:val="00A3211F"/>
    <w:rsid w:val="00A32138"/>
    <w:rsid w:val="00A321CC"/>
    <w:rsid w:val="00A325B8"/>
    <w:rsid w:val="00A33061"/>
    <w:rsid w:val="00A330BB"/>
    <w:rsid w:val="00A33147"/>
    <w:rsid w:val="00A335E7"/>
    <w:rsid w:val="00A3399F"/>
    <w:rsid w:val="00A33C55"/>
    <w:rsid w:val="00A33D96"/>
    <w:rsid w:val="00A3411D"/>
    <w:rsid w:val="00A342A3"/>
    <w:rsid w:val="00A34507"/>
    <w:rsid w:val="00A3472F"/>
    <w:rsid w:val="00A34740"/>
    <w:rsid w:val="00A3476E"/>
    <w:rsid w:val="00A347BE"/>
    <w:rsid w:val="00A3489E"/>
    <w:rsid w:val="00A34B6D"/>
    <w:rsid w:val="00A34D41"/>
    <w:rsid w:val="00A34E3B"/>
    <w:rsid w:val="00A35167"/>
    <w:rsid w:val="00A357AE"/>
    <w:rsid w:val="00A35BE6"/>
    <w:rsid w:val="00A35CDA"/>
    <w:rsid w:val="00A35E21"/>
    <w:rsid w:val="00A36421"/>
    <w:rsid w:val="00A36685"/>
    <w:rsid w:val="00A3671C"/>
    <w:rsid w:val="00A36C52"/>
    <w:rsid w:val="00A36CF1"/>
    <w:rsid w:val="00A37556"/>
    <w:rsid w:val="00A3760C"/>
    <w:rsid w:val="00A377E7"/>
    <w:rsid w:val="00A378D0"/>
    <w:rsid w:val="00A37A4F"/>
    <w:rsid w:val="00A37B25"/>
    <w:rsid w:val="00A37CD5"/>
    <w:rsid w:val="00A37EAC"/>
    <w:rsid w:val="00A37FB2"/>
    <w:rsid w:val="00A405A0"/>
    <w:rsid w:val="00A406E7"/>
    <w:rsid w:val="00A4088B"/>
    <w:rsid w:val="00A40D90"/>
    <w:rsid w:val="00A40E79"/>
    <w:rsid w:val="00A4109E"/>
    <w:rsid w:val="00A41281"/>
    <w:rsid w:val="00A41331"/>
    <w:rsid w:val="00A414B0"/>
    <w:rsid w:val="00A4150D"/>
    <w:rsid w:val="00A4183C"/>
    <w:rsid w:val="00A41AD1"/>
    <w:rsid w:val="00A41AEE"/>
    <w:rsid w:val="00A41D4F"/>
    <w:rsid w:val="00A41EB0"/>
    <w:rsid w:val="00A42024"/>
    <w:rsid w:val="00A4208D"/>
    <w:rsid w:val="00A42127"/>
    <w:rsid w:val="00A421A3"/>
    <w:rsid w:val="00A422C2"/>
    <w:rsid w:val="00A42354"/>
    <w:rsid w:val="00A4245F"/>
    <w:rsid w:val="00A424C3"/>
    <w:rsid w:val="00A424E7"/>
    <w:rsid w:val="00A4252D"/>
    <w:rsid w:val="00A42E96"/>
    <w:rsid w:val="00A433FE"/>
    <w:rsid w:val="00A43407"/>
    <w:rsid w:val="00A43879"/>
    <w:rsid w:val="00A43918"/>
    <w:rsid w:val="00A43D5D"/>
    <w:rsid w:val="00A440DD"/>
    <w:rsid w:val="00A4420C"/>
    <w:rsid w:val="00A443AE"/>
    <w:rsid w:val="00A44681"/>
    <w:rsid w:val="00A447FC"/>
    <w:rsid w:val="00A448EC"/>
    <w:rsid w:val="00A44CE9"/>
    <w:rsid w:val="00A44F17"/>
    <w:rsid w:val="00A451C0"/>
    <w:rsid w:val="00A4529D"/>
    <w:rsid w:val="00A452B8"/>
    <w:rsid w:val="00A452C6"/>
    <w:rsid w:val="00A455C3"/>
    <w:rsid w:val="00A45A8B"/>
    <w:rsid w:val="00A45C1D"/>
    <w:rsid w:val="00A4604E"/>
    <w:rsid w:val="00A46065"/>
    <w:rsid w:val="00A4616C"/>
    <w:rsid w:val="00A46A33"/>
    <w:rsid w:val="00A46D0A"/>
    <w:rsid w:val="00A46DAC"/>
    <w:rsid w:val="00A46E48"/>
    <w:rsid w:val="00A470D9"/>
    <w:rsid w:val="00A473D7"/>
    <w:rsid w:val="00A4761A"/>
    <w:rsid w:val="00A47942"/>
    <w:rsid w:val="00A47C5D"/>
    <w:rsid w:val="00A47D54"/>
    <w:rsid w:val="00A47DB4"/>
    <w:rsid w:val="00A47EE5"/>
    <w:rsid w:val="00A5010A"/>
    <w:rsid w:val="00A5041C"/>
    <w:rsid w:val="00A506B1"/>
    <w:rsid w:val="00A507F6"/>
    <w:rsid w:val="00A509A8"/>
    <w:rsid w:val="00A50C3A"/>
    <w:rsid w:val="00A50C61"/>
    <w:rsid w:val="00A51012"/>
    <w:rsid w:val="00A5115D"/>
    <w:rsid w:val="00A511C0"/>
    <w:rsid w:val="00A511F6"/>
    <w:rsid w:val="00A5121A"/>
    <w:rsid w:val="00A512CB"/>
    <w:rsid w:val="00A51402"/>
    <w:rsid w:val="00A5146C"/>
    <w:rsid w:val="00A51522"/>
    <w:rsid w:val="00A51578"/>
    <w:rsid w:val="00A516F1"/>
    <w:rsid w:val="00A518B7"/>
    <w:rsid w:val="00A5199E"/>
    <w:rsid w:val="00A51C1A"/>
    <w:rsid w:val="00A51C9A"/>
    <w:rsid w:val="00A52375"/>
    <w:rsid w:val="00A523AC"/>
    <w:rsid w:val="00A523B4"/>
    <w:rsid w:val="00A5258E"/>
    <w:rsid w:val="00A52599"/>
    <w:rsid w:val="00A52622"/>
    <w:rsid w:val="00A52B8C"/>
    <w:rsid w:val="00A52C48"/>
    <w:rsid w:val="00A52CA8"/>
    <w:rsid w:val="00A52E02"/>
    <w:rsid w:val="00A5300A"/>
    <w:rsid w:val="00A5311B"/>
    <w:rsid w:val="00A535DB"/>
    <w:rsid w:val="00A53B3D"/>
    <w:rsid w:val="00A53C3B"/>
    <w:rsid w:val="00A53DB5"/>
    <w:rsid w:val="00A53DD0"/>
    <w:rsid w:val="00A53F04"/>
    <w:rsid w:val="00A544CE"/>
    <w:rsid w:val="00A544D5"/>
    <w:rsid w:val="00A55187"/>
    <w:rsid w:val="00A555C9"/>
    <w:rsid w:val="00A555F2"/>
    <w:rsid w:val="00A5578A"/>
    <w:rsid w:val="00A55844"/>
    <w:rsid w:val="00A5598E"/>
    <w:rsid w:val="00A559CE"/>
    <w:rsid w:val="00A55ACC"/>
    <w:rsid w:val="00A55B28"/>
    <w:rsid w:val="00A55C8A"/>
    <w:rsid w:val="00A55F3C"/>
    <w:rsid w:val="00A5605F"/>
    <w:rsid w:val="00A56190"/>
    <w:rsid w:val="00A56520"/>
    <w:rsid w:val="00A565D5"/>
    <w:rsid w:val="00A566DC"/>
    <w:rsid w:val="00A566DE"/>
    <w:rsid w:val="00A5692A"/>
    <w:rsid w:val="00A56A1B"/>
    <w:rsid w:val="00A56BD1"/>
    <w:rsid w:val="00A56DFC"/>
    <w:rsid w:val="00A5700F"/>
    <w:rsid w:val="00A5711F"/>
    <w:rsid w:val="00A578C7"/>
    <w:rsid w:val="00A578F5"/>
    <w:rsid w:val="00A57A07"/>
    <w:rsid w:val="00A57D74"/>
    <w:rsid w:val="00A60078"/>
    <w:rsid w:val="00A60ADD"/>
    <w:rsid w:val="00A60C27"/>
    <w:rsid w:val="00A60C8A"/>
    <w:rsid w:val="00A60E2E"/>
    <w:rsid w:val="00A60E4F"/>
    <w:rsid w:val="00A61087"/>
    <w:rsid w:val="00A61918"/>
    <w:rsid w:val="00A61972"/>
    <w:rsid w:val="00A619BA"/>
    <w:rsid w:val="00A619C8"/>
    <w:rsid w:val="00A61CBA"/>
    <w:rsid w:val="00A61D09"/>
    <w:rsid w:val="00A61EC9"/>
    <w:rsid w:val="00A62161"/>
    <w:rsid w:val="00A62326"/>
    <w:rsid w:val="00A62437"/>
    <w:rsid w:val="00A63065"/>
    <w:rsid w:val="00A63156"/>
    <w:rsid w:val="00A63939"/>
    <w:rsid w:val="00A639F2"/>
    <w:rsid w:val="00A63A14"/>
    <w:rsid w:val="00A63D07"/>
    <w:rsid w:val="00A64241"/>
    <w:rsid w:val="00A6469D"/>
    <w:rsid w:val="00A64845"/>
    <w:rsid w:val="00A64A73"/>
    <w:rsid w:val="00A64E9B"/>
    <w:rsid w:val="00A64F35"/>
    <w:rsid w:val="00A65179"/>
    <w:rsid w:val="00A6520F"/>
    <w:rsid w:val="00A652B9"/>
    <w:rsid w:val="00A6530A"/>
    <w:rsid w:val="00A65399"/>
    <w:rsid w:val="00A65423"/>
    <w:rsid w:val="00A65442"/>
    <w:rsid w:val="00A65614"/>
    <w:rsid w:val="00A6574F"/>
    <w:rsid w:val="00A65A92"/>
    <w:rsid w:val="00A65C0E"/>
    <w:rsid w:val="00A65C2C"/>
    <w:rsid w:val="00A65C35"/>
    <w:rsid w:val="00A65D78"/>
    <w:rsid w:val="00A65EE9"/>
    <w:rsid w:val="00A65FA0"/>
    <w:rsid w:val="00A65FD9"/>
    <w:rsid w:val="00A667B1"/>
    <w:rsid w:val="00A66860"/>
    <w:rsid w:val="00A668B9"/>
    <w:rsid w:val="00A66B2A"/>
    <w:rsid w:val="00A66D37"/>
    <w:rsid w:val="00A66F41"/>
    <w:rsid w:val="00A66FD0"/>
    <w:rsid w:val="00A670B6"/>
    <w:rsid w:val="00A67251"/>
    <w:rsid w:val="00A67308"/>
    <w:rsid w:val="00A67690"/>
    <w:rsid w:val="00A6792E"/>
    <w:rsid w:val="00A67ABD"/>
    <w:rsid w:val="00A67AC6"/>
    <w:rsid w:val="00A67B57"/>
    <w:rsid w:val="00A67E00"/>
    <w:rsid w:val="00A67E59"/>
    <w:rsid w:val="00A7014E"/>
    <w:rsid w:val="00A70526"/>
    <w:rsid w:val="00A7056A"/>
    <w:rsid w:val="00A7060B"/>
    <w:rsid w:val="00A706EA"/>
    <w:rsid w:val="00A708D0"/>
    <w:rsid w:val="00A70D66"/>
    <w:rsid w:val="00A70DF7"/>
    <w:rsid w:val="00A70FDB"/>
    <w:rsid w:val="00A7113F"/>
    <w:rsid w:val="00A71288"/>
    <w:rsid w:val="00A7145F"/>
    <w:rsid w:val="00A714E3"/>
    <w:rsid w:val="00A718F9"/>
    <w:rsid w:val="00A71A86"/>
    <w:rsid w:val="00A71B1F"/>
    <w:rsid w:val="00A71C03"/>
    <w:rsid w:val="00A71EC3"/>
    <w:rsid w:val="00A7236C"/>
    <w:rsid w:val="00A724F3"/>
    <w:rsid w:val="00A726C3"/>
    <w:rsid w:val="00A72902"/>
    <w:rsid w:val="00A730BB"/>
    <w:rsid w:val="00A73227"/>
    <w:rsid w:val="00A7333D"/>
    <w:rsid w:val="00A7350E"/>
    <w:rsid w:val="00A737C3"/>
    <w:rsid w:val="00A73AE9"/>
    <w:rsid w:val="00A73B82"/>
    <w:rsid w:val="00A73ECE"/>
    <w:rsid w:val="00A73F2A"/>
    <w:rsid w:val="00A7440A"/>
    <w:rsid w:val="00A7476B"/>
    <w:rsid w:val="00A748D7"/>
    <w:rsid w:val="00A74904"/>
    <w:rsid w:val="00A74941"/>
    <w:rsid w:val="00A74E88"/>
    <w:rsid w:val="00A7532D"/>
    <w:rsid w:val="00A75374"/>
    <w:rsid w:val="00A754E9"/>
    <w:rsid w:val="00A7553E"/>
    <w:rsid w:val="00A7555E"/>
    <w:rsid w:val="00A755E4"/>
    <w:rsid w:val="00A75DAB"/>
    <w:rsid w:val="00A76064"/>
    <w:rsid w:val="00A769EF"/>
    <w:rsid w:val="00A76B5A"/>
    <w:rsid w:val="00A76C64"/>
    <w:rsid w:val="00A76F62"/>
    <w:rsid w:val="00A76F89"/>
    <w:rsid w:val="00A76F93"/>
    <w:rsid w:val="00A779F6"/>
    <w:rsid w:val="00A77B37"/>
    <w:rsid w:val="00A77B64"/>
    <w:rsid w:val="00A77B74"/>
    <w:rsid w:val="00A77CA8"/>
    <w:rsid w:val="00A77CFD"/>
    <w:rsid w:val="00A77DBA"/>
    <w:rsid w:val="00A800F9"/>
    <w:rsid w:val="00A80204"/>
    <w:rsid w:val="00A8030E"/>
    <w:rsid w:val="00A80402"/>
    <w:rsid w:val="00A80518"/>
    <w:rsid w:val="00A80BEB"/>
    <w:rsid w:val="00A80E99"/>
    <w:rsid w:val="00A80FF7"/>
    <w:rsid w:val="00A810FE"/>
    <w:rsid w:val="00A813DA"/>
    <w:rsid w:val="00A81442"/>
    <w:rsid w:val="00A81495"/>
    <w:rsid w:val="00A81910"/>
    <w:rsid w:val="00A81A6C"/>
    <w:rsid w:val="00A81C2E"/>
    <w:rsid w:val="00A81D86"/>
    <w:rsid w:val="00A81D8D"/>
    <w:rsid w:val="00A81E5C"/>
    <w:rsid w:val="00A81E8D"/>
    <w:rsid w:val="00A8253C"/>
    <w:rsid w:val="00A82675"/>
    <w:rsid w:val="00A82890"/>
    <w:rsid w:val="00A82AC8"/>
    <w:rsid w:val="00A82DE9"/>
    <w:rsid w:val="00A82EDB"/>
    <w:rsid w:val="00A82F32"/>
    <w:rsid w:val="00A82F8C"/>
    <w:rsid w:val="00A830A7"/>
    <w:rsid w:val="00A835CD"/>
    <w:rsid w:val="00A83697"/>
    <w:rsid w:val="00A836B9"/>
    <w:rsid w:val="00A83710"/>
    <w:rsid w:val="00A83873"/>
    <w:rsid w:val="00A8393D"/>
    <w:rsid w:val="00A83A74"/>
    <w:rsid w:val="00A84178"/>
    <w:rsid w:val="00A843E8"/>
    <w:rsid w:val="00A84AFA"/>
    <w:rsid w:val="00A84B3E"/>
    <w:rsid w:val="00A84C26"/>
    <w:rsid w:val="00A84CD7"/>
    <w:rsid w:val="00A84F09"/>
    <w:rsid w:val="00A84F5F"/>
    <w:rsid w:val="00A8532F"/>
    <w:rsid w:val="00A855B8"/>
    <w:rsid w:val="00A85991"/>
    <w:rsid w:val="00A85C3B"/>
    <w:rsid w:val="00A85C68"/>
    <w:rsid w:val="00A85D15"/>
    <w:rsid w:val="00A85E31"/>
    <w:rsid w:val="00A85E58"/>
    <w:rsid w:val="00A8609A"/>
    <w:rsid w:val="00A86236"/>
    <w:rsid w:val="00A865A9"/>
    <w:rsid w:val="00A865CA"/>
    <w:rsid w:val="00A865E5"/>
    <w:rsid w:val="00A86654"/>
    <w:rsid w:val="00A867C3"/>
    <w:rsid w:val="00A867F4"/>
    <w:rsid w:val="00A86AC3"/>
    <w:rsid w:val="00A86E2F"/>
    <w:rsid w:val="00A86F4B"/>
    <w:rsid w:val="00A8713B"/>
    <w:rsid w:val="00A87304"/>
    <w:rsid w:val="00A87653"/>
    <w:rsid w:val="00A876C2"/>
    <w:rsid w:val="00A876C3"/>
    <w:rsid w:val="00A877E6"/>
    <w:rsid w:val="00A879B9"/>
    <w:rsid w:val="00A902CD"/>
    <w:rsid w:val="00A902DF"/>
    <w:rsid w:val="00A90404"/>
    <w:rsid w:val="00A90492"/>
    <w:rsid w:val="00A90661"/>
    <w:rsid w:val="00A9091D"/>
    <w:rsid w:val="00A909EC"/>
    <w:rsid w:val="00A90C67"/>
    <w:rsid w:val="00A90CE9"/>
    <w:rsid w:val="00A90D3E"/>
    <w:rsid w:val="00A90EE5"/>
    <w:rsid w:val="00A910BF"/>
    <w:rsid w:val="00A9136E"/>
    <w:rsid w:val="00A91425"/>
    <w:rsid w:val="00A9148A"/>
    <w:rsid w:val="00A915C3"/>
    <w:rsid w:val="00A916B1"/>
    <w:rsid w:val="00A91820"/>
    <w:rsid w:val="00A919E1"/>
    <w:rsid w:val="00A91A27"/>
    <w:rsid w:val="00A91EEE"/>
    <w:rsid w:val="00A921D2"/>
    <w:rsid w:val="00A92361"/>
    <w:rsid w:val="00A92428"/>
    <w:rsid w:val="00A9243F"/>
    <w:rsid w:val="00A9246E"/>
    <w:rsid w:val="00A92A02"/>
    <w:rsid w:val="00A92A4D"/>
    <w:rsid w:val="00A92B9D"/>
    <w:rsid w:val="00A92CF2"/>
    <w:rsid w:val="00A92FFE"/>
    <w:rsid w:val="00A9313A"/>
    <w:rsid w:val="00A93575"/>
    <w:rsid w:val="00A935EF"/>
    <w:rsid w:val="00A93845"/>
    <w:rsid w:val="00A93A40"/>
    <w:rsid w:val="00A93BBC"/>
    <w:rsid w:val="00A93CE4"/>
    <w:rsid w:val="00A93ED7"/>
    <w:rsid w:val="00A93FAB"/>
    <w:rsid w:val="00A94860"/>
    <w:rsid w:val="00A948EC"/>
    <w:rsid w:val="00A948FC"/>
    <w:rsid w:val="00A949FE"/>
    <w:rsid w:val="00A94B11"/>
    <w:rsid w:val="00A951D9"/>
    <w:rsid w:val="00A95849"/>
    <w:rsid w:val="00A9595A"/>
    <w:rsid w:val="00A95BA0"/>
    <w:rsid w:val="00A95D0D"/>
    <w:rsid w:val="00A95D30"/>
    <w:rsid w:val="00A95ED7"/>
    <w:rsid w:val="00A9615F"/>
    <w:rsid w:val="00A96358"/>
    <w:rsid w:val="00A96703"/>
    <w:rsid w:val="00A9674B"/>
    <w:rsid w:val="00A96ADA"/>
    <w:rsid w:val="00A96B43"/>
    <w:rsid w:val="00A96EF0"/>
    <w:rsid w:val="00A971E4"/>
    <w:rsid w:val="00A97254"/>
    <w:rsid w:val="00A973F5"/>
    <w:rsid w:val="00A97400"/>
    <w:rsid w:val="00A97613"/>
    <w:rsid w:val="00A97C34"/>
    <w:rsid w:val="00A97C8F"/>
    <w:rsid w:val="00A97D08"/>
    <w:rsid w:val="00A97E7B"/>
    <w:rsid w:val="00AA00F9"/>
    <w:rsid w:val="00AA0108"/>
    <w:rsid w:val="00AA043E"/>
    <w:rsid w:val="00AA0738"/>
    <w:rsid w:val="00AA0FCF"/>
    <w:rsid w:val="00AA1213"/>
    <w:rsid w:val="00AA12BD"/>
    <w:rsid w:val="00AA1527"/>
    <w:rsid w:val="00AA160D"/>
    <w:rsid w:val="00AA1758"/>
    <w:rsid w:val="00AA187A"/>
    <w:rsid w:val="00AA18AE"/>
    <w:rsid w:val="00AA1BED"/>
    <w:rsid w:val="00AA1C12"/>
    <w:rsid w:val="00AA1C18"/>
    <w:rsid w:val="00AA1C2E"/>
    <w:rsid w:val="00AA21EB"/>
    <w:rsid w:val="00AA23A3"/>
    <w:rsid w:val="00AA23AD"/>
    <w:rsid w:val="00AA27ED"/>
    <w:rsid w:val="00AA2D5C"/>
    <w:rsid w:val="00AA2E9A"/>
    <w:rsid w:val="00AA2F1B"/>
    <w:rsid w:val="00AA307E"/>
    <w:rsid w:val="00AA31BE"/>
    <w:rsid w:val="00AA33B0"/>
    <w:rsid w:val="00AA33FE"/>
    <w:rsid w:val="00AA361F"/>
    <w:rsid w:val="00AA3665"/>
    <w:rsid w:val="00AA389E"/>
    <w:rsid w:val="00AA393F"/>
    <w:rsid w:val="00AA3A4F"/>
    <w:rsid w:val="00AA3B41"/>
    <w:rsid w:val="00AA3BDC"/>
    <w:rsid w:val="00AA3C83"/>
    <w:rsid w:val="00AA3CAF"/>
    <w:rsid w:val="00AA3F12"/>
    <w:rsid w:val="00AA3FCB"/>
    <w:rsid w:val="00AA3FDF"/>
    <w:rsid w:val="00AA41A1"/>
    <w:rsid w:val="00AA41C5"/>
    <w:rsid w:val="00AA43E6"/>
    <w:rsid w:val="00AA4982"/>
    <w:rsid w:val="00AA4A9B"/>
    <w:rsid w:val="00AA4B59"/>
    <w:rsid w:val="00AA4BE2"/>
    <w:rsid w:val="00AA4DB4"/>
    <w:rsid w:val="00AA4F12"/>
    <w:rsid w:val="00AA5872"/>
    <w:rsid w:val="00AA58EC"/>
    <w:rsid w:val="00AA5A33"/>
    <w:rsid w:val="00AA5A8C"/>
    <w:rsid w:val="00AA5AB7"/>
    <w:rsid w:val="00AA5CAC"/>
    <w:rsid w:val="00AA5D66"/>
    <w:rsid w:val="00AA5DB9"/>
    <w:rsid w:val="00AA5EC0"/>
    <w:rsid w:val="00AA5EE6"/>
    <w:rsid w:val="00AA60B6"/>
    <w:rsid w:val="00AA61F9"/>
    <w:rsid w:val="00AA635C"/>
    <w:rsid w:val="00AA640E"/>
    <w:rsid w:val="00AA6815"/>
    <w:rsid w:val="00AA6DC6"/>
    <w:rsid w:val="00AA6E02"/>
    <w:rsid w:val="00AA6EC7"/>
    <w:rsid w:val="00AA6FC6"/>
    <w:rsid w:val="00AA712E"/>
    <w:rsid w:val="00AA7423"/>
    <w:rsid w:val="00AA770A"/>
    <w:rsid w:val="00AA77E3"/>
    <w:rsid w:val="00AA7A6E"/>
    <w:rsid w:val="00AA7D86"/>
    <w:rsid w:val="00AA7F88"/>
    <w:rsid w:val="00AB0103"/>
    <w:rsid w:val="00AB012E"/>
    <w:rsid w:val="00AB0179"/>
    <w:rsid w:val="00AB0215"/>
    <w:rsid w:val="00AB036C"/>
    <w:rsid w:val="00AB0434"/>
    <w:rsid w:val="00AB0581"/>
    <w:rsid w:val="00AB05D4"/>
    <w:rsid w:val="00AB07DA"/>
    <w:rsid w:val="00AB0C03"/>
    <w:rsid w:val="00AB1036"/>
    <w:rsid w:val="00AB1107"/>
    <w:rsid w:val="00AB1165"/>
    <w:rsid w:val="00AB1189"/>
    <w:rsid w:val="00AB11E7"/>
    <w:rsid w:val="00AB12BC"/>
    <w:rsid w:val="00AB14AB"/>
    <w:rsid w:val="00AB187D"/>
    <w:rsid w:val="00AB19FE"/>
    <w:rsid w:val="00AB1A2D"/>
    <w:rsid w:val="00AB1C0E"/>
    <w:rsid w:val="00AB2068"/>
    <w:rsid w:val="00AB20F0"/>
    <w:rsid w:val="00AB27CF"/>
    <w:rsid w:val="00AB297D"/>
    <w:rsid w:val="00AB2A54"/>
    <w:rsid w:val="00AB2CDE"/>
    <w:rsid w:val="00AB2E4C"/>
    <w:rsid w:val="00AB3019"/>
    <w:rsid w:val="00AB3149"/>
    <w:rsid w:val="00AB3168"/>
    <w:rsid w:val="00AB3218"/>
    <w:rsid w:val="00AB3247"/>
    <w:rsid w:val="00AB351F"/>
    <w:rsid w:val="00AB353F"/>
    <w:rsid w:val="00AB3588"/>
    <w:rsid w:val="00AB3640"/>
    <w:rsid w:val="00AB369D"/>
    <w:rsid w:val="00AB37D3"/>
    <w:rsid w:val="00AB380E"/>
    <w:rsid w:val="00AB398D"/>
    <w:rsid w:val="00AB3999"/>
    <w:rsid w:val="00AB3AC1"/>
    <w:rsid w:val="00AB3B28"/>
    <w:rsid w:val="00AB3B41"/>
    <w:rsid w:val="00AB3CFE"/>
    <w:rsid w:val="00AB3D8E"/>
    <w:rsid w:val="00AB3FA2"/>
    <w:rsid w:val="00AB3FD1"/>
    <w:rsid w:val="00AB4098"/>
    <w:rsid w:val="00AB40B7"/>
    <w:rsid w:val="00AB42D2"/>
    <w:rsid w:val="00AB444F"/>
    <w:rsid w:val="00AB451E"/>
    <w:rsid w:val="00AB484C"/>
    <w:rsid w:val="00AB51FD"/>
    <w:rsid w:val="00AB5239"/>
    <w:rsid w:val="00AB53A5"/>
    <w:rsid w:val="00AB547D"/>
    <w:rsid w:val="00AB551D"/>
    <w:rsid w:val="00AB5759"/>
    <w:rsid w:val="00AB5957"/>
    <w:rsid w:val="00AB59FE"/>
    <w:rsid w:val="00AB5BED"/>
    <w:rsid w:val="00AB5CA4"/>
    <w:rsid w:val="00AB5D63"/>
    <w:rsid w:val="00AB62AB"/>
    <w:rsid w:val="00AB650B"/>
    <w:rsid w:val="00AB657E"/>
    <w:rsid w:val="00AB6A9D"/>
    <w:rsid w:val="00AB6B66"/>
    <w:rsid w:val="00AB6D48"/>
    <w:rsid w:val="00AB6E6D"/>
    <w:rsid w:val="00AB7342"/>
    <w:rsid w:val="00AB7A08"/>
    <w:rsid w:val="00AB7DFA"/>
    <w:rsid w:val="00AB7F05"/>
    <w:rsid w:val="00AC0006"/>
    <w:rsid w:val="00AC0EA6"/>
    <w:rsid w:val="00AC0F2E"/>
    <w:rsid w:val="00AC1245"/>
    <w:rsid w:val="00AC124D"/>
    <w:rsid w:val="00AC1474"/>
    <w:rsid w:val="00AC16E9"/>
    <w:rsid w:val="00AC1DAE"/>
    <w:rsid w:val="00AC1E7F"/>
    <w:rsid w:val="00AC204D"/>
    <w:rsid w:val="00AC208A"/>
    <w:rsid w:val="00AC2127"/>
    <w:rsid w:val="00AC22A6"/>
    <w:rsid w:val="00AC2372"/>
    <w:rsid w:val="00AC2485"/>
    <w:rsid w:val="00AC270D"/>
    <w:rsid w:val="00AC280F"/>
    <w:rsid w:val="00AC290A"/>
    <w:rsid w:val="00AC2956"/>
    <w:rsid w:val="00AC2BC5"/>
    <w:rsid w:val="00AC2BC8"/>
    <w:rsid w:val="00AC2D6D"/>
    <w:rsid w:val="00AC33FC"/>
    <w:rsid w:val="00AC3414"/>
    <w:rsid w:val="00AC3567"/>
    <w:rsid w:val="00AC35B4"/>
    <w:rsid w:val="00AC375F"/>
    <w:rsid w:val="00AC3A15"/>
    <w:rsid w:val="00AC3AB5"/>
    <w:rsid w:val="00AC3EBF"/>
    <w:rsid w:val="00AC4012"/>
    <w:rsid w:val="00AC40D4"/>
    <w:rsid w:val="00AC4157"/>
    <w:rsid w:val="00AC4384"/>
    <w:rsid w:val="00AC44A5"/>
    <w:rsid w:val="00AC44D4"/>
    <w:rsid w:val="00AC46C5"/>
    <w:rsid w:val="00AC4865"/>
    <w:rsid w:val="00AC487A"/>
    <w:rsid w:val="00AC492D"/>
    <w:rsid w:val="00AC4D04"/>
    <w:rsid w:val="00AC4EC3"/>
    <w:rsid w:val="00AC5035"/>
    <w:rsid w:val="00AC54AB"/>
    <w:rsid w:val="00AC5555"/>
    <w:rsid w:val="00AC5556"/>
    <w:rsid w:val="00AC5755"/>
    <w:rsid w:val="00AC5DB4"/>
    <w:rsid w:val="00AC6179"/>
    <w:rsid w:val="00AC6208"/>
    <w:rsid w:val="00AC67FA"/>
    <w:rsid w:val="00AC68FB"/>
    <w:rsid w:val="00AC6D62"/>
    <w:rsid w:val="00AC6E21"/>
    <w:rsid w:val="00AC6E6C"/>
    <w:rsid w:val="00AC6FE7"/>
    <w:rsid w:val="00AC701E"/>
    <w:rsid w:val="00AC735D"/>
    <w:rsid w:val="00AC741A"/>
    <w:rsid w:val="00AC75E1"/>
    <w:rsid w:val="00AC7657"/>
    <w:rsid w:val="00AC79C0"/>
    <w:rsid w:val="00AC7B1A"/>
    <w:rsid w:val="00AC7B48"/>
    <w:rsid w:val="00AC7EC5"/>
    <w:rsid w:val="00AD0035"/>
    <w:rsid w:val="00AD01F7"/>
    <w:rsid w:val="00AD02EC"/>
    <w:rsid w:val="00AD0480"/>
    <w:rsid w:val="00AD082F"/>
    <w:rsid w:val="00AD0986"/>
    <w:rsid w:val="00AD0CB0"/>
    <w:rsid w:val="00AD0F4F"/>
    <w:rsid w:val="00AD118B"/>
    <w:rsid w:val="00AD11B3"/>
    <w:rsid w:val="00AD168D"/>
    <w:rsid w:val="00AD1A30"/>
    <w:rsid w:val="00AD1AB1"/>
    <w:rsid w:val="00AD1EB1"/>
    <w:rsid w:val="00AD2082"/>
    <w:rsid w:val="00AD2409"/>
    <w:rsid w:val="00AD254C"/>
    <w:rsid w:val="00AD271F"/>
    <w:rsid w:val="00AD28EF"/>
    <w:rsid w:val="00AD2BEE"/>
    <w:rsid w:val="00AD2D6F"/>
    <w:rsid w:val="00AD2FDB"/>
    <w:rsid w:val="00AD3483"/>
    <w:rsid w:val="00AD36F9"/>
    <w:rsid w:val="00AD394F"/>
    <w:rsid w:val="00AD3AA3"/>
    <w:rsid w:val="00AD3B66"/>
    <w:rsid w:val="00AD3BCD"/>
    <w:rsid w:val="00AD3E41"/>
    <w:rsid w:val="00AD3F5D"/>
    <w:rsid w:val="00AD49DE"/>
    <w:rsid w:val="00AD4BC4"/>
    <w:rsid w:val="00AD4E16"/>
    <w:rsid w:val="00AD528D"/>
    <w:rsid w:val="00AD53BD"/>
    <w:rsid w:val="00AD5411"/>
    <w:rsid w:val="00AD56C2"/>
    <w:rsid w:val="00AD6101"/>
    <w:rsid w:val="00AD647B"/>
    <w:rsid w:val="00AD64C4"/>
    <w:rsid w:val="00AD6612"/>
    <w:rsid w:val="00AD67CC"/>
    <w:rsid w:val="00AD6806"/>
    <w:rsid w:val="00AD6976"/>
    <w:rsid w:val="00AD6C7E"/>
    <w:rsid w:val="00AD6CF7"/>
    <w:rsid w:val="00AD6E32"/>
    <w:rsid w:val="00AD6E6D"/>
    <w:rsid w:val="00AD7211"/>
    <w:rsid w:val="00AD7239"/>
    <w:rsid w:val="00AD7515"/>
    <w:rsid w:val="00AD7731"/>
    <w:rsid w:val="00AD7903"/>
    <w:rsid w:val="00AE037B"/>
    <w:rsid w:val="00AE0ADA"/>
    <w:rsid w:val="00AE0C9D"/>
    <w:rsid w:val="00AE0CA0"/>
    <w:rsid w:val="00AE1264"/>
    <w:rsid w:val="00AE1328"/>
    <w:rsid w:val="00AE13AE"/>
    <w:rsid w:val="00AE14B9"/>
    <w:rsid w:val="00AE14E1"/>
    <w:rsid w:val="00AE1620"/>
    <w:rsid w:val="00AE1CF5"/>
    <w:rsid w:val="00AE1E0E"/>
    <w:rsid w:val="00AE1FC5"/>
    <w:rsid w:val="00AE21A6"/>
    <w:rsid w:val="00AE2476"/>
    <w:rsid w:val="00AE2C28"/>
    <w:rsid w:val="00AE2CB3"/>
    <w:rsid w:val="00AE2E25"/>
    <w:rsid w:val="00AE2E91"/>
    <w:rsid w:val="00AE2F70"/>
    <w:rsid w:val="00AE312B"/>
    <w:rsid w:val="00AE34F7"/>
    <w:rsid w:val="00AE37D4"/>
    <w:rsid w:val="00AE3E2C"/>
    <w:rsid w:val="00AE408B"/>
    <w:rsid w:val="00AE40EB"/>
    <w:rsid w:val="00AE469B"/>
    <w:rsid w:val="00AE4A7C"/>
    <w:rsid w:val="00AE4CDD"/>
    <w:rsid w:val="00AE4CF4"/>
    <w:rsid w:val="00AE4EE1"/>
    <w:rsid w:val="00AE4F8D"/>
    <w:rsid w:val="00AE513A"/>
    <w:rsid w:val="00AE516E"/>
    <w:rsid w:val="00AE5175"/>
    <w:rsid w:val="00AE535D"/>
    <w:rsid w:val="00AE542B"/>
    <w:rsid w:val="00AE56C4"/>
    <w:rsid w:val="00AE59E3"/>
    <w:rsid w:val="00AE5C18"/>
    <w:rsid w:val="00AE609F"/>
    <w:rsid w:val="00AE6391"/>
    <w:rsid w:val="00AE672F"/>
    <w:rsid w:val="00AE676C"/>
    <w:rsid w:val="00AE6D96"/>
    <w:rsid w:val="00AE7080"/>
    <w:rsid w:val="00AE7131"/>
    <w:rsid w:val="00AE73B2"/>
    <w:rsid w:val="00AE7643"/>
    <w:rsid w:val="00AE7655"/>
    <w:rsid w:val="00AE78C2"/>
    <w:rsid w:val="00AE79BD"/>
    <w:rsid w:val="00AE7AC9"/>
    <w:rsid w:val="00AE7E26"/>
    <w:rsid w:val="00AE7ECE"/>
    <w:rsid w:val="00AF0287"/>
    <w:rsid w:val="00AF0338"/>
    <w:rsid w:val="00AF034B"/>
    <w:rsid w:val="00AF040D"/>
    <w:rsid w:val="00AF06F7"/>
    <w:rsid w:val="00AF079F"/>
    <w:rsid w:val="00AF07FF"/>
    <w:rsid w:val="00AF080C"/>
    <w:rsid w:val="00AF13FE"/>
    <w:rsid w:val="00AF1835"/>
    <w:rsid w:val="00AF1913"/>
    <w:rsid w:val="00AF1A42"/>
    <w:rsid w:val="00AF1B37"/>
    <w:rsid w:val="00AF1B95"/>
    <w:rsid w:val="00AF1D07"/>
    <w:rsid w:val="00AF1DF3"/>
    <w:rsid w:val="00AF1E7A"/>
    <w:rsid w:val="00AF2356"/>
    <w:rsid w:val="00AF2390"/>
    <w:rsid w:val="00AF2B56"/>
    <w:rsid w:val="00AF2BAE"/>
    <w:rsid w:val="00AF2DD5"/>
    <w:rsid w:val="00AF30AF"/>
    <w:rsid w:val="00AF32A1"/>
    <w:rsid w:val="00AF35E8"/>
    <w:rsid w:val="00AF3654"/>
    <w:rsid w:val="00AF36B4"/>
    <w:rsid w:val="00AF3A8B"/>
    <w:rsid w:val="00AF3D81"/>
    <w:rsid w:val="00AF409A"/>
    <w:rsid w:val="00AF48A6"/>
    <w:rsid w:val="00AF4955"/>
    <w:rsid w:val="00AF4BAB"/>
    <w:rsid w:val="00AF4CF5"/>
    <w:rsid w:val="00AF4D6C"/>
    <w:rsid w:val="00AF4E28"/>
    <w:rsid w:val="00AF4FE2"/>
    <w:rsid w:val="00AF5152"/>
    <w:rsid w:val="00AF5162"/>
    <w:rsid w:val="00AF5217"/>
    <w:rsid w:val="00AF5378"/>
    <w:rsid w:val="00AF5807"/>
    <w:rsid w:val="00AF5828"/>
    <w:rsid w:val="00AF58BD"/>
    <w:rsid w:val="00AF5F5C"/>
    <w:rsid w:val="00AF615D"/>
    <w:rsid w:val="00AF61A6"/>
    <w:rsid w:val="00AF6349"/>
    <w:rsid w:val="00AF6376"/>
    <w:rsid w:val="00AF65C7"/>
    <w:rsid w:val="00AF6846"/>
    <w:rsid w:val="00AF6863"/>
    <w:rsid w:val="00AF6B13"/>
    <w:rsid w:val="00AF6C11"/>
    <w:rsid w:val="00AF6C19"/>
    <w:rsid w:val="00AF6C76"/>
    <w:rsid w:val="00AF6D13"/>
    <w:rsid w:val="00AF6EE7"/>
    <w:rsid w:val="00AF6F20"/>
    <w:rsid w:val="00AF7038"/>
    <w:rsid w:val="00AF7043"/>
    <w:rsid w:val="00AF72F3"/>
    <w:rsid w:val="00AF738E"/>
    <w:rsid w:val="00AF7658"/>
    <w:rsid w:val="00AF7741"/>
    <w:rsid w:val="00AF7B03"/>
    <w:rsid w:val="00AF7CA1"/>
    <w:rsid w:val="00AF7D06"/>
    <w:rsid w:val="00AF7D51"/>
    <w:rsid w:val="00AF7D93"/>
    <w:rsid w:val="00AF7E7D"/>
    <w:rsid w:val="00B001CF"/>
    <w:rsid w:val="00B0093B"/>
    <w:rsid w:val="00B00B44"/>
    <w:rsid w:val="00B00CB6"/>
    <w:rsid w:val="00B0115E"/>
    <w:rsid w:val="00B01285"/>
    <w:rsid w:val="00B0149A"/>
    <w:rsid w:val="00B0150C"/>
    <w:rsid w:val="00B015D7"/>
    <w:rsid w:val="00B01A93"/>
    <w:rsid w:val="00B01C52"/>
    <w:rsid w:val="00B01C82"/>
    <w:rsid w:val="00B01DEA"/>
    <w:rsid w:val="00B021ED"/>
    <w:rsid w:val="00B025A6"/>
    <w:rsid w:val="00B025DF"/>
    <w:rsid w:val="00B0262B"/>
    <w:rsid w:val="00B0269B"/>
    <w:rsid w:val="00B02735"/>
    <w:rsid w:val="00B02737"/>
    <w:rsid w:val="00B02CAC"/>
    <w:rsid w:val="00B02E70"/>
    <w:rsid w:val="00B02F1B"/>
    <w:rsid w:val="00B030B7"/>
    <w:rsid w:val="00B03110"/>
    <w:rsid w:val="00B031A2"/>
    <w:rsid w:val="00B03678"/>
    <w:rsid w:val="00B037FE"/>
    <w:rsid w:val="00B03963"/>
    <w:rsid w:val="00B03FC6"/>
    <w:rsid w:val="00B03FE7"/>
    <w:rsid w:val="00B04289"/>
    <w:rsid w:val="00B04651"/>
    <w:rsid w:val="00B04893"/>
    <w:rsid w:val="00B04AC6"/>
    <w:rsid w:val="00B04B64"/>
    <w:rsid w:val="00B04FE9"/>
    <w:rsid w:val="00B05153"/>
    <w:rsid w:val="00B05538"/>
    <w:rsid w:val="00B05A12"/>
    <w:rsid w:val="00B05A27"/>
    <w:rsid w:val="00B05C4A"/>
    <w:rsid w:val="00B05CC6"/>
    <w:rsid w:val="00B05CFC"/>
    <w:rsid w:val="00B05D0D"/>
    <w:rsid w:val="00B05F44"/>
    <w:rsid w:val="00B05FB7"/>
    <w:rsid w:val="00B0602D"/>
    <w:rsid w:val="00B06038"/>
    <w:rsid w:val="00B0622C"/>
    <w:rsid w:val="00B0625F"/>
    <w:rsid w:val="00B06578"/>
    <w:rsid w:val="00B06A14"/>
    <w:rsid w:val="00B06A4E"/>
    <w:rsid w:val="00B06ACB"/>
    <w:rsid w:val="00B06C32"/>
    <w:rsid w:val="00B06EC3"/>
    <w:rsid w:val="00B07178"/>
    <w:rsid w:val="00B07213"/>
    <w:rsid w:val="00B07259"/>
    <w:rsid w:val="00B0762A"/>
    <w:rsid w:val="00B0775C"/>
    <w:rsid w:val="00B07A48"/>
    <w:rsid w:val="00B07A4A"/>
    <w:rsid w:val="00B07B2B"/>
    <w:rsid w:val="00B07E74"/>
    <w:rsid w:val="00B07F00"/>
    <w:rsid w:val="00B07FDE"/>
    <w:rsid w:val="00B10092"/>
    <w:rsid w:val="00B10278"/>
    <w:rsid w:val="00B10294"/>
    <w:rsid w:val="00B1093B"/>
    <w:rsid w:val="00B10C22"/>
    <w:rsid w:val="00B11505"/>
    <w:rsid w:val="00B117C6"/>
    <w:rsid w:val="00B117F7"/>
    <w:rsid w:val="00B11994"/>
    <w:rsid w:val="00B11A32"/>
    <w:rsid w:val="00B11ADE"/>
    <w:rsid w:val="00B12034"/>
    <w:rsid w:val="00B122DD"/>
    <w:rsid w:val="00B128A1"/>
    <w:rsid w:val="00B129D3"/>
    <w:rsid w:val="00B12B56"/>
    <w:rsid w:val="00B12B73"/>
    <w:rsid w:val="00B12BB1"/>
    <w:rsid w:val="00B12C5F"/>
    <w:rsid w:val="00B13003"/>
    <w:rsid w:val="00B130C4"/>
    <w:rsid w:val="00B131FE"/>
    <w:rsid w:val="00B13634"/>
    <w:rsid w:val="00B13675"/>
    <w:rsid w:val="00B13A17"/>
    <w:rsid w:val="00B13AA2"/>
    <w:rsid w:val="00B13D84"/>
    <w:rsid w:val="00B1406D"/>
    <w:rsid w:val="00B14369"/>
    <w:rsid w:val="00B14456"/>
    <w:rsid w:val="00B146E7"/>
    <w:rsid w:val="00B14761"/>
    <w:rsid w:val="00B147A4"/>
    <w:rsid w:val="00B147E8"/>
    <w:rsid w:val="00B149AF"/>
    <w:rsid w:val="00B14A73"/>
    <w:rsid w:val="00B14B67"/>
    <w:rsid w:val="00B14C24"/>
    <w:rsid w:val="00B14DB2"/>
    <w:rsid w:val="00B14ED1"/>
    <w:rsid w:val="00B153BC"/>
    <w:rsid w:val="00B15745"/>
    <w:rsid w:val="00B15847"/>
    <w:rsid w:val="00B1589A"/>
    <w:rsid w:val="00B159E1"/>
    <w:rsid w:val="00B15DD1"/>
    <w:rsid w:val="00B15F9D"/>
    <w:rsid w:val="00B164D4"/>
    <w:rsid w:val="00B16770"/>
    <w:rsid w:val="00B16784"/>
    <w:rsid w:val="00B167C9"/>
    <w:rsid w:val="00B16856"/>
    <w:rsid w:val="00B168ED"/>
    <w:rsid w:val="00B16CD1"/>
    <w:rsid w:val="00B16D06"/>
    <w:rsid w:val="00B16E71"/>
    <w:rsid w:val="00B16E92"/>
    <w:rsid w:val="00B17522"/>
    <w:rsid w:val="00B1773E"/>
    <w:rsid w:val="00B17757"/>
    <w:rsid w:val="00B17995"/>
    <w:rsid w:val="00B17A95"/>
    <w:rsid w:val="00B17AA9"/>
    <w:rsid w:val="00B17BB5"/>
    <w:rsid w:val="00B17C50"/>
    <w:rsid w:val="00B17CD0"/>
    <w:rsid w:val="00B17D32"/>
    <w:rsid w:val="00B17DA5"/>
    <w:rsid w:val="00B202B3"/>
    <w:rsid w:val="00B202CB"/>
    <w:rsid w:val="00B203C3"/>
    <w:rsid w:val="00B203FA"/>
    <w:rsid w:val="00B204D0"/>
    <w:rsid w:val="00B20710"/>
    <w:rsid w:val="00B208CE"/>
    <w:rsid w:val="00B20C7F"/>
    <w:rsid w:val="00B20F13"/>
    <w:rsid w:val="00B20F9F"/>
    <w:rsid w:val="00B21291"/>
    <w:rsid w:val="00B213E9"/>
    <w:rsid w:val="00B2140F"/>
    <w:rsid w:val="00B2145F"/>
    <w:rsid w:val="00B2159A"/>
    <w:rsid w:val="00B215B2"/>
    <w:rsid w:val="00B217C6"/>
    <w:rsid w:val="00B217F7"/>
    <w:rsid w:val="00B219A6"/>
    <w:rsid w:val="00B21B82"/>
    <w:rsid w:val="00B21D04"/>
    <w:rsid w:val="00B21FB4"/>
    <w:rsid w:val="00B221F3"/>
    <w:rsid w:val="00B22424"/>
    <w:rsid w:val="00B22665"/>
    <w:rsid w:val="00B226A9"/>
    <w:rsid w:val="00B228D6"/>
    <w:rsid w:val="00B228E5"/>
    <w:rsid w:val="00B22941"/>
    <w:rsid w:val="00B229D0"/>
    <w:rsid w:val="00B22E98"/>
    <w:rsid w:val="00B22FC4"/>
    <w:rsid w:val="00B2302A"/>
    <w:rsid w:val="00B230AD"/>
    <w:rsid w:val="00B23450"/>
    <w:rsid w:val="00B2353C"/>
    <w:rsid w:val="00B2358A"/>
    <w:rsid w:val="00B235BF"/>
    <w:rsid w:val="00B237E8"/>
    <w:rsid w:val="00B237F0"/>
    <w:rsid w:val="00B2390F"/>
    <w:rsid w:val="00B2395A"/>
    <w:rsid w:val="00B23A93"/>
    <w:rsid w:val="00B23E42"/>
    <w:rsid w:val="00B240A1"/>
    <w:rsid w:val="00B24142"/>
    <w:rsid w:val="00B24267"/>
    <w:rsid w:val="00B244A7"/>
    <w:rsid w:val="00B24899"/>
    <w:rsid w:val="00B2495D"/>
    <w:rsid w:val="00B24A83"/>
    <w:rsid w:val="00B24BAD"/>
    <w:rsid w:val="00B24DD0"/>
    <w:rsid w:val="00B24E37"/>
    <w:rsid w:val="00B253CE"/>
    <w:rsid w:val="00B2548F"/>
    <w:rsid w:val="00B25509"/>
    <w:rsid w:val="00B257F1"/>
    <w:rsid w:val="00B258CD"/>
    <w:rsid w:val="00B25A61"/>
    <w:rsid w:val="00B25E53"/>
    <w:rsid w:val="00B25F84"/>
    <w:rsid w:val="00B25FE1"/>
    <w:rsid w:val="00B26124"/>
    <w:rsid w:val="00B26132"/>
    <w:rsid w:val="00B26296"/>
    <w:rsid w:val="00B26452"/>
    <w:rsid w:val="00B26AAB"/>
    <w:rsid w:val="00B26AAE"/>
    <w:rsid w:val="00B26BE0"/>
    <w:rsid w:val="00B26C2B"/>
    <w:rsid w:val="00B26CB2"/>
    <w:rsid w:val="00B26CD7"/>
    <w:rsid w:val="00B26F0B"/>
    <w:rsid w:val="00B26F39"/>
    <w:rsid w:val="00B275D4"/>
    <w:rsid w:val="00B275E4"/>
    <w:rsid w:val="00B27779"/>
    <w:rsid w:val="00B27A06"/>
    <w:rsid w:val="00B27A8B"/>
    <w:rsid w:val="00B27F6C"/>
    <w:rsid w:val="00B3021C"/>
    <w:rsid w:val="00B304D7"/>
    <w:rsid w:val="00B30560"/>
    <w:rsid w:val="00B3057D"/>
    <w:rsid w:val="00B306A5"/>
    <w:rsid w:val="00B30857"/>
    <w:rsid w:val="00B30B27"/>
    <w:rsid w:val="00B30F68"/>
    <w:rsid w:val="00B3115B"/>
    <w:rsid w:val="00B317E9"/>
    <w:rsid w:val="00B3184F"/>
    <w:rsid w:val="00B31B0F"/>
    <w:rsid w:val="00B31B85"/>
    <w:rsid w:val="00B31F88"/>
    <w:rsid w:val="00B32055"/>
    <w:rsid w:val="00B320F9"/>
    <w:rsid w:val="00B3259C"/>
    <w:rsid w:val="00B325E1"/>
    <w:rsid w:val="00B32696"/>
    <w:rsid w:val="00B326B7"/>
    <w:rsid w:val="00B328CB"/>
    <w:rsid w:val="00B32A13"/>
    <w:rsid w:val="00B32D5B"/>
    <w:rsid w:val="00B32DC8"/>
    <w:rsid w:val="00B33320"/>
    <w:rsid w:val="00B339AD"/>
    <w:rsid w:val="00B33B04"/>
    <w:rsid w:val="00B33B92"/>
    <w:rsid w:val="00B33C03"/>
    <w:rsid w:val="00B33C42"/>
    <w:rsid w:val="00B33F80"/>
    <w:rsid w:val="00B34147"/>
    <w:rsid w:val="00B34177"/>
    <w:rsid w:val="00B342BC"/>
    <w:rsid w:val="00B3451C"/>
    <w:rsid w:val="00B347A6"/>
    <w:rsid w:val="00B347D5"/>
    <w:rsid w:val="00B34891"/>
    <w:rsid w:val="00B34BD8"/>
    <w:rsid w:val="00B34C93"/>
    <w:rsid w:val="00B34E8A"/>
    <w:rsid w:val="00B34FF9"/>
    <w:rsid w:val="00B351A6"/>
    <w:rsid w:val="00B3567A"/>
    <w:rsid w:val="00B358B6"/>
    <w:rsid w:val="00B35B84"/>
    <w:rsid w:val="00B35D0D"/>
    <w:rsid w:val="00B35D1F"/>
    <w:rsid w:val="00B35DED"/>
    <w:rsid w:val="00B36254"/>
    <w:rsid w:val="00B36962"/>
    <w:rsid w:val="00B36B00"/>
    <w:rsid w:val="00B36BC0"/>
    <w:rsid w:val="00B36C2F"/>
    <w:rsid w:val="00B36CD9"/>
    <w:rsid w:val="00B36FFF"/>
    <w:rsid w:val="00B37025"/>
    <w:rsid w:val="00B37038"/>
    <w:rsid w:val="00B372B6"/>
    <w:rsid w:val="00B37447"/>
    <w:rsid w:val="00B37461"/>
    <w:rsid w:val="00B376B1"/>
    <w:rsid w:val="00B378C0"/>
    <w:rsid w:val="00B37B19"/>
    <w:rsid w:val="00B37B9E"/>
    <w:rsid w:val="00B37BF1"/>
    <w:rsid w:val="00B37D84"/>
    <w:rsid w:val="00B37E3A"/>
    <w:rsid w:val="00B40097"/>
    <w:rsid w:val="00B40363"/>
    <w:rsid w:val="00B4037C"/>
    <w:rsid w:val="00B40682"/>
    <w:rsid w:val="00B407EE"/>
    <w:rsid w:val="00B40807"/>
    <w:rsid w:val="00B408C3"/>
    <w:rsid w:val="00B40E10"/>
    <w:rsid w:val="00B40E92"/>
    <w:rsid w:val="00B40F93"/>
    <w:rsid w:val="00B411F2"/>
    <w:rsid w:val="00B41496"/>
    <w:rsid w:val="00B41563"/>
    <w:rsid w:val="00B415F4"/>
    <w:rsid w:val="00B4160C"/>
    <w:rsid w:val="00B416D3"/>
    <w:rsid w:val="00B418C1"/>
    <w:rsid w:val="00B419B8"/>
    <w:rsid w:val="00B419F9"/>
    <w:rsid w:val="00B41A18"/>
    <w:rsid w:val="00B420DF"/>
    <w:rsid w:val="00B42118"/>
    <w:rsid w:val="00B42128"/>
    <w:rsid w:val="00B42562"/>
    <w:rsid w:val="00B42567"/>
    <w:rsid w:val="00B42AAA"/>
    <w:rsid w:val="00B42BF3"/>
    <w:rsid w:val="00B42C7C"/>
    <w:rsid w:val="00B42DC2"/>
    <w:rsid w:val="00B42DDA"/>
    <w:rsid w:val="00B42EF4"/>
    <w:rsid w:val="00B4317E"/>
    <w:rsid w:val="00B431D3"/>
    <w:rsid w:val="00B433B7"/>
    <w:rsid w:val="00B433EA"/>
    <w:rsid w:val="00B4346C"/>
    <w:rsid w:val="00B4354E"/>
    <w:rsid w:val="00B43553"/>
    <w:rsid w:val="00B436E6"/>
    <w:rsid w:val="00B439BD"/>
    <w:rsid w:val="00B43A03"/>
    <w:rsid w:val="00B43AB9"/>
    <w:rsid w:val="00B43D5F"/>
    <w:rsid w:val="00B43DC8"/>
    <w:rsid w:val="00B44052"/>
    <w:rsid w:val="00B44254"/>
    <w:rsid w:val="00B445C4"/>
    <w:rsid w:val="00B4462F"/>
    <w:rsid w:val="00B4477A"/>
    <w:rsid w:val="00B4483A"/>
    <w:rsid w:val="00B449D4"/>
    <w:rsid w:val="00B44A21"/>
    <w:rsid w:val="00B44ADE"/>
    <w:rsid w:val="00B44E21"/>
    <w:rsid w:val="00B44E2A"/>
    <w:rsid w:val="00B44E9B"/>
    <w:rsid w:val="00B45007"/>
    <w:rsid w:val="00B453CD"/>
    <w:rsid w:val="00B4545C"/>
    <w:rsid w:val="00B45738"/>
    <w:rsid w:val="00B457ED"/>
    <w:rsid w:val="00B45809"/>
    <w:rsid w:val="00B4580D"/>
    <w:rsid w:val="00B459BC"/>
    <w:rsid w:val="00B45ADD"/>
    <w:rsid w:val="00B45D72"/>
    <w:rsid w:val="00B45F2F"/>
    <w:rsid w:val="00B46025"/>
    <w:rsid w:val="00B463A3"/>
    <w:rsid w:val="00B46C43"/>
    <w:rsid w:val="00B46EBB"/>
    <w:rsid w:val="00B470F2"/>
    <w:rsid w:val="00B47427"/>
    <w:rsid w:val="00B47520"/>
    <w:rsid w:val="00B47795"/>
    <w:rsid w:val="00B47C46"/>
    <w:rsid w:val="00B47E9C"/>
    <w:rsid w:val="00B502AC"/>
    <w:rsid w:val="00B50392"/>
    <w:rsid w:val="00B50581"/>
    <w:rsid w:val="00B505C2"/>
    <w:rsid w:val="00B50BE3"/>
    <w:rsid w:val="00B50C5A"/>
    <w:rsid w:val="00B50FA7"/>
    <w:rsid w:val="00B51191"/>
    <w:rsid w:val="00B51228"/>
    <w:rsid w:val="00B51252"/>
    <w:rsid w:val="00B513FD"/>
    <w:rsid w:val="00B5140B"/>
    <w:rsid w:val="00B51794"/>
    <w:rsid w:val="00B518D1"/>
    <w:rsid w:val="00B519F3"/>
    <w:rsid w:val="00B51B58"/>
    <w:rsid w:val="00B51BB8"/>
    <w:rsid w:val="00B51E26"/>
    <w:rsid w:val="00B51EFB"/>
    <w:rsid w:val="00B5227B"/>
    <w:rsid w:val="00B5234F"/>
    <w:rsid w:val="00B527B6"/>
    <w:rsid w:val="00B52954"/>
    <w:rsid w:val="00B52C49"/>
    <w:rsid w:val="00B52D8C"/>
    <w:rsid w:val="00B52E70"/>
    <w:rsid w:val="00B5308E"/>
    <w:rsid w:val="00B530CD"/>
    <w:rsid w:val="00B530EA"/>
    <w:rsid w:val="00B531D1"/>
    <w:rsid w:val="00B532FF"/>
    <w:rsid w:val="00B53506"/>
    <w:rsid w:val="00B53757"/>
    <w:rsid w:val="00B53E39"/>
    <w:rsid w:val="00B53EC4"/>
    <w:rsid w:val="00B5412F"/>
    <w:rsid w:val="00B544A2"/>
    <w:rsid w:val="00B54515"/>
    <w:rsid w:val="00B546E3"/>
    <w:rsid w:val="00B54B82"/>
    <w:rsid w:val="00B54F65"/>
    <w:rsid w:val="00B552B9"/>
    <w:rsid w:val="00B55440"/>
    <w:rsid w:val="00B55481"/>
    <w:rsid w:val="00B55516"/>
    <w:rsid w:val="00B559E8"/>
    <w:rsid w:val="00B55ADA"/>
    <w:rsid w:val="00B55C13"/>
    <w:rsid w:val="00B55C40"/>
    <w:rsid w:val="00B55E19"/>
    <w:rsid w:val="00B55E1D"/>
    <w:rsid w:val="00B55FC1"/>
    <w:rsid w:val="00B561B2"/>
    <w:rsid w:val="00B562A3"/>
    <w:rsid w:val="00B56420"/>
    <w:rsid w:val="00B5647C"/>
    <w:rsid w:val="00B565B5"/>
    <w:rsid w:val="00B565D2"/>
    <w:rsid w:val="00B566F4"/>
    <w:rsid w:val="00B56B10"/>
    <w:rsid w:val="00B56C12"/>
    <w:rsid w:val="00B56C1A"/>
    <w:rsid w:val="00B56C51"/>
    <w:rsid w:val="00B56D8B"/>
    <w:rsid w:val="00B5709B"/>
    <w:rsid w:val="00B57577"/>
    <w:rsid w:val="00B575EF"/>
    <w:rsid w:val="00B57928"/>
    <w:rsid w:val="00B57BBE"/>
    <w:rsid w:val="00B57BD3"/>
    <w:rsid w:val="00B57D7A"/>
    <w:rsid w:val="00B57E6C"/>
    <w:rsid w:val="00B601C0"/>
    <w:rsid w:val="00B60376"/>
    <w:rsid w:val="00B603F3"/>
    <w:rsid w:val="00B60426"/>
    <w:rsid w:val="00B6045E"/>
    <w:rsid w:val="00B607B2"/>
    <w:rsid w:val="00B60852"/>
    <w:rsid w:val="00B608E2"/>
    <w:rsid w:val="00B60BC1"/>
    <w:rsid w:val="00B60D4E"/>
    <w:rsid w:val="00B60DB8"/>
    <w:rsid w:val="00B60FE4"/>
    <w:rsid w:val="00B6116E"/>
    <w:rsid w:val="00B61290"/>
    <w:rsid w:val="00B613E5"/>
    <w:rsid w:val="00B61754"/>
    <w:rsid w:val="00B617A8"/>
    <w:rsid w:val="00B61C52"/>
    <w:rsid w:val="00B61CD0"/>
    <w:rsid w:val="00B61F37"/>
    <w:rsid w:val="00B62061"/>
    <w:rsid w:val="00B6230D"/>
    <w:rsid w:val="00B6265C"/>
    <w:rsid w:val="00B62738"/>
    <w:rsid w:val="00B62770"/>
    <w:rsid w:val="00B62A7B"/>
    <w:rsid w:val="00B62B10"/>
    <w:rsid w:val="00B62ED3"/>
    <w:rsid w:val="00B6329B"/>
    <w:rsid w:val="00B63319"/>
    <w:rsid w:val="00B633A4"/>
    <w:rsid w:val="00B63AA8"/>
    <w:rsid w:val="00B63D30"/>
    <w:rsid w:val="00B63E18"/>
    <w:rsid w:val="00B64085"/>
    <w:rsid w:val="00B64180"/>
    <w:rsid w:val="00B641DF"/>
    <w:rsid w:val="00B646A3"/>
    <w:rsid w:val="00B6495B"/>
    <w:rsid w:val="00B64A3C"/>
    <w:rsid w:val="00B64AED"/>
    <w:rsid w:val="00B64BB9"/>
    <w:rsid w:val="00B64C94"/>
    <w:rsid w:val="00B64CD8"/>
    <w:rsid w:val="00B64D2B"/>
    <w:rsid w:val="00B64DB7"/>
    <w:rsid w:val="00B64E85"/>
    <w:rsid w:val="00B64EE2"/>
    <w:rsid w:val="00B6519A"/>
    <w:rsid w:val="00B652F7"/>
    <w:rsid w:val="00B65800"/>
    <w:rsid w:val="00B65A19"/>
    <w:rsid w:val="00B65BAE"/>
    <w:rsid w:val="00B65CB3"/>
    <w:rsid w:val="00B65D44"/>
    <w:rsid w:val="00B65FB0"/>
    <w:rsid w:val="00B6617C"/>
    <w:rsid w:val="00B6692B"/>
    <w:rsid w:val="00B66B01"/>
    <w:rsid w:val="00B66C8C"/>
    <w:rsid w:val="00B66F0C"/>
    <w:rsid w:val="00B670FF"/>
    <w:rsid w:val="00B6712B"/>
    <w:rsid w:val="00B671CD"/>
    <w:rsid w:val="00B67232"/>
    <w:rsid w:val="00B67396"/>
    <w:rsid w:val="00B67540"/>
    <w:rsid w:val="00B67725"/>
    <w:rsid w:val="00B67904"/>
    <w:rsid w:val="00B67A49"/>
    <w:rsid w:val="00B67BB7"/>
    <w:rsid w:val="00B67CAC"/>
    <w:rsid w:val="00B67D64"/>
    <w:rsid w:val="00B67E9A"/>
    <w:rsid w:val="00B67F3A"/>
    <w:rsid w:val="00B700C2"/>
    <w:rsid w:val="00B702BA"/>
    <w:rsid w:val="00B702D5"/>
    <w:rsid w:val="00B707CB"/>
    <w:rsid w:val="00B70815"/>
    <w:rsid w:val="00B7083E"/>
    <w:rsid w:val="00B70A9B"/>
    <w:rsid w:val="00B70C56"/>
    <w:rsid w:val="00B70C9A"/>
    <w:rsid w:val="00B70D67"/>
    <w:rsid w:val="00B70EC5"/>
    <w:rsid w:val="00B70F7A"/>
    <w:rsid w:val="00B710A8"/>
    <w:rsid w:val="00B716C7"/>
    <w:rsid w:val="00B71844"/>
    <w:rsid w:val="00B71C6C"/>
    <w:rsid w:val="00B72014"/>
    <w:rsid w:val="00B72142"/>
    <w:rsid w:val="00B72262"/>
    <w:rsid w:val="00B7238D"/>
    <w:rsid w:val="00B72518"/>
    <w:rsid w:val="00B72545"/>
    <w:rsid w:val="00B7258B"/>
    <w:rsid w:val="00B72896"/>
    <w:rsid w:val="00B72A58"/>
    <w:rsid w:val="00B72AC4"/>
    <w:rsid w:val="00B72D6C"/>
    <w:rsid w:val="00B72D81"/>
    <w:rsid w:val="00B72E24"/>
    <w:rsid w:val="00B730C2"/>
    <w:rsid w:val="00B730E5"/>
    <w:rsid w:val="00B7321F"/>
    <w:rsid w:val="00B732C0"/>
    <w:rsid w:val="00B735AE"/>
    <w:rsid w:val="00B738D3"/>
    <w:rsid w:val="00B73FF6"/>
    <w:rsid w:val="00B740E0"/>
    <w:rsid w:val="00B74656"/>
    <w:rsid w:val="00B747CB"/>
    <w:rsid w:val="00B74A67"/>
    <w:rsid w:val="00B74C5D"/>
    <w:rsid w:val="00B74EA6"/>
    <w:rsid w:val="00B74EC2"/>
    <w:rsid w:val="00B750B7"/>
    <w:rsid w:val="00B751D6"/>
    <w:rsid w:val="00B752EF"/>
    <w:rsid w:val="00B755C1"/>
    <w:rsid w:val="00B758C2"/>
    <w:rsid w:val="00B759DC"/>
    <w:rsid w:val="00B75B2A"/>
    <w:rsid w:val="00B75B47"/>
    <w:rsid w:val="00B75C8D"/>
    <w:rsid w:val="00B75E5C"/>
    <w:rsid w:val="00B75EF0"/>
    <w:rsid w:val="00B75FFB"/>
    <w:rsid w:val="00B76095"/>
    <w:rsid w:val="00B762AD"/>
    <w:rsid w:val="00B763D2"/>
    <w:rsid w:val="00B764DE"/>
    <w:rsid w:val="00B76650"/>
    <w:rsid w:val="00B7688E"/>
    <w:rsid w:val="00B76A8B"/>
    <w:rsid w:val="00B77209"/>
    <w:rsid w:val="00B77365"/>
    <w:rsid w:val="00B775D6"/>
    <w:rsid w:val="00B77673"/>
    <w:rsid w:val="00B776A2"/>
    <w:rsid w:val="00B7791F"/>
    <w:rsid w:val="00B77A84"/>
    <w:rsid w:val="00B77B0A"/>
    <w:rsid w:val="00B77B18"/>
    <w:rsid w:val="00B77C4E"/>
    <w:rsid w:val="00B77FFD"/>
    <w:rsid w:val="00B8027F"/>
    <w:rsid w:val="00B8074B"/>
    <w:rsid w:val="00B809FA"/>
    <w:rsid w:val="00B80AF4"/>
    <w:rsid w:val="00B80BD6"/>
    <w:rsid w:val="00B8111F"/>
    <w:rsid w:val="00B81497"/>
    <w:rsid w:val="00B81597"/>
    <w:rsid w:val="00B81A03"/>
    <w:rsid w:val="00B82331"/>
    <w:rsid w:val="00B8274B"/>
    <w:rsid w:val="00B82F5B"/>
    <w:rsid w:val="00B82FDA"/>
    <w:rsid w:val="00B8312F"/>
    <w:rsid w:val="00B83141"/>
    <w:rsid w:val="00B83169"/>
    <w:rsid w:val="00B83443"/>
    <w:rsid w:val="00B834AC"/>
    <w:rsid w:val="00B835A5"/>
    <w:rsid w:val="00B83661"/>
    <w:rsid w:val="00B83B60"/>
    <w:rsid w:val="00B83B81"/>
    <w:rsid w:val="00B83E35"/>
    <w:rsid w:val="00B83F22"/>
    <w:rsid w:val="00B84153"/>
    <w:rsid w:val="00B84411"/>
    <w:rsid w:val="00B846AC"/>
    <w:rsid w:val="00B84B91"/>
    <w:rsid w:val="00B84C65"/>
    <w:rsid w:val="00B85B93"/>
    <w:rsid w:val="00B85C35"/>
    <w:rsid w:val="00B85E98"/>
    <w:rsid w:val="00B85FA4"/>
    <w:rsid w:val="00B860BA"/>
    <w:rsid w:val="00B8625C"/>
    <w:rsid w:val="00B863B3"/>
    <w:rsid w:val="00B864EF"/>
    <w:rsid w:val="00B86834"/>
    <w:rsid w:val="00B86982"/>
    <w:rsid w:val="00B86C14"/>
    <w:rsid w:val="00B87109"/>
    <w:rsid w:val="00B871DF"/>
    <w:rsid w:val="00B87364"/>
    <w:rsid w:val="00B876F7"/>
    <w:rsid w:val="00B87701"/>
    <w:rsid w:val="00B8798F"/>
    <w:rsid w:val="00B879F0"/>
    <w:rsid w:val="00B87A93"/>
    <w:rsid w:val="00B87B70"/>
    <w:rsid w:val="00B87D66"/>
    <w:rsid w:val="00B905B3"/>
    <w:rsid w:val="00B905EC"/>
    <w:rsid w:val="00B90690"/>
    <w:rsid w:val="00B90945"/>
    <w:rsid w:val="00B90BDE"/>
    <w:rsid w:val="00B90DCC"/>
    <w:rsid w:val="00B9122D"/>
    <w:rsid w:val="00B91291"/>
    <w:rsid w:val="00B912D6"/>
    <w:rsid w:val="00B9148D"/>
    <w:rsid w:val="00B91598"/>
    <w:rsid w:val="00B915EB"/>
    <w:rsid w:val="00B91618"/>
    <w:rsid w:val="00B91971"/>
    <w:rsid w:val="00B91CFA"/>
    <w:rsid w:val="00B91D97"/>
    <w:rsid w:val="00B91F38"/>
    <w:rsid w:val="00B92195"/>
    <w:rsid w:val="00B92330"/>
    <w:rsid w:val="00B923A0"/>
    <w:rsid w:val="00B924AF"/>
    <w:rsid w:val="00B927AF"/>
    <w:rsid w:val="00B92C58"/>
    <w:rsid w:val="00B92DC5"/>
    <w:rsid w:val="00B92DCE"/>
    <w:rsid w:val="00B930A4"/>
    <w:rsid w:val="00B937EB"/>
    <w:rsid w:val="00B93E80"/>
    <w:rsid w:val="00B93F16"/>
    <w:rsid w:val="00B93FDF"/>
    <w:rsid w:val="00B94115"/>
    <w:rsid w:val="00B941F9"/>
    <w:rsid w:val="00B947F6"/>
    <w:rsid w:val="00B94946"/>
    <w:rsid w:val="00B94A0C"/>
    <w:rsid w:val="00B94F19"/>
    <w:rsid w:val="00B950ED"/>
    <w:rsid w:val="00B95161"/>
    <w:rsid w:val="00B952DF"/>
    <w:rsid w:val="00B95551"/>
    <w:rsid w:val="00B95603"/>
    <w:rsid w:val="00B956A9"/>
    <w:rsid w:val="00B958DB"/>
    <w:rsid w:val="00B95915"/>
    <w:rsid w:val="00B95969"/>
    <w:rsid w:val="00B95AFB"/>
    <w:rsid w:val="00B960AB"/>
    <w:rsid w:val="00B96166"/>
    <w:rsid w:val="00B96343"/>
    <w:rsid w:val="00B9650E"/>
    <w:rsid w:val="00B9670A"/>
    <w:rsid w:val="00B96C1A"/>
    <w:rsid w:val="00B96C6A"/>
    <w:rsid w:val="00B97396"/>
    <w:rsid w:val="00B973AF"/>
    <w:rsid w:val="00B9761E"/>
    <w:rsid w:val="00B977BF"/>
    <w:rsid w:val="00B97864"/>
    <w:rsid w:val="00B9789E"/>
    <w:rsid w:val="00B97E6B"/>
    <w:rsid w:val="00BA026D"/>
    <w:rsid w:val="00BA0930"/>
    <w:rsid w:val="00BA0D9A"/>
    <w:rsid w:val="00BA100C"/>
    <w:rsid w:val="00BA11DD"/>
    <w:rsid w:val="00BA1520"/>
    <w:rsid w:val="00BA182A"/>
    <w:rsid w:val="00BA1860"/>
    <w:rsid w:val="00BA1C16"/>
    <w:rsid w:val="00BA1D85"/>
    <w:rsid w:val="00BA1F3E"/>
    <w:rsid w:val="00BA207D"/>
    <w:rsid w:val="00BA2698"/>
    <w:rsid w:val="00BA2934"/>
    <w:rsid w:val="00BA2A06"/>
    <w:rsid w:val="00BA2C92"/>
    <w:rsid w:val="00BA2F5D"/>
    <w:rsid w:val="00BA320E"/>
    <w:rsid w:val="00BA34C1"/>
    <w:rsid w:val="00BA3654"/>
    <w:rsid w:val="00BA3692"/>
    <w:rsid w:val="00BA3835"/>
    <w:rsid w:val="00BA38BC"/>
    <w:rsid w:val="00BA38D4"/>
    <w:rsid w:val="00BA3E24"/>
    <w:rsid w:val="00BA3E7F"/>
    <w:rsid w:val="00BA3F0A"/>
    <w:rsid w:val="00BA3FA5"/>
    <w:rsid w:val="00BA41E3"/>
    <w:rsid w:val="00BA4346"/>
    <w:rsid w:val="00BA43F6"/>
    <w:rsid w:val="00BA46D0"/>
    <w:rsid w:val="00BA4B55"/>
    <w:rsid w:val="00BA4C56"/>
    <w:rsid w:val="00BA4D3C"/>
    <w:rsid w:val="00BA5211"/>
    <w:rsid w:val="00BA540C"/>
    <w:rsid w:val="00BA5444"/>
    <w:rsid w:val="00BA5880"/>
    <w:rsid w:val="00BA596D"/>
    <w:rsid w:val="00BA5BF6"/>
    <w:rsid w:val="00BA648D"/>
    <w:rsid w:val="00BA64B7"/>
    <w:rsid w:val="00BA64FD"/>
    <w:rsid w:val="00BA6507"/>
    <w:rsid w:val="00BA6E10"/>
    <w:rsid w:val="00BA7294"/>
    <w:rsid w:val="00BA75CC"/>
    <w:rsid w:val="00BA75EA"/>
    <w:rsid w:val="00BA766A"/>
    <w:rsid w:val="00BA7C7C"/>
    <w:rsid w:val="00BA7CC5"/>
    <w:rsid w:val="00BA7D07"/>
    <w:rsid w:val="00BB0239"/>
    <w:rsid w:val="00BB035C"/>
    <w:rsid w:val="00BB0721"/>
    <w:rsid w:val="00BB0BE3"/>
    <w:rsid w:val="00BB0C1F"/>
    <w:rsid w:val="00BB0DF9"/>
    <w:rsid w:val="00BB0E4C"/>
    <w:rsid w:val="00BB0F58"/>
    <w:rsid w:val="00BB1194"/>
    <w:rsid w:val="00BB1270"/>
    <w:rsid w:val="00BB12D3"/>
    <w:rsid w:val="00BB1333"/>
    <w:rsid w:val="00BB14FC"/>
    <w:rsid w:val="00BB1957"/>
    <w:rsid w:val="00BB1ACD"/>
    <w:rsid w:val="00BB1D7B"/>
    <w:rsid w:val="00BB1D9F"/>
    <w:rsid w:val="00BB1E6D"/>
    <w:rsid w:val="00BB2182"/>
    <w:rsid w:val="00BB24A1"/>
    <w:rsid w:val="00BB24DF"/>
    <w:rsid w:val="00BB25EC"/>
    <w:rsid w:val="00BB28D1"/>
    <w:rsid w:val="00BB2E38"/>
    <w:rsid w:val="00BB316F"/>
    <w:rsid w:val="00BB318E"/>
    <w:rsid w:val="00BB3553"/>
    <w:rsid w:val="00BB3838"/>
    <w:rsid w:val="00BB39B5"/>
    <w:rsid w:val="00BB3DBD"/>
    <w:rsid w:val="00BB3E43"/>
    <w:rsid w:val="00BB4403"/>
    <w:rsid w:val="00BB458A"/>
    <w:rsid w:val="00BB4742"/>
    <w:rsid w:val="00BB47B7"/>
    <w:rsid w:val="00BB496A"/>
    <w:rsid w:val="00BB4B41"/>
    <w:rsid w:val="00BB4B5B"/>
    <w:rsid w:val="00BB4BA1"/>
    <w:rsid w:val="00BB4E1A"/>
    <w:rsid w:val="00BB4E5A"/>
    <w:rsid w:val="00BB4EAE"/>
    <w:rsid w:val="00BB50E0"/>
    <w:rsid w:val="00BB51A8"/>
    <w:rsid w:val="00BB52A4"/>
    <w:rsid w:val="00BB5736"/>
    <w:rsid w:val="00BB5A85"/>
    <w:rsid w:val="00BB5CFC"/>
    <w:rsid w:val="00BB5DF7"/>
    <w:rsid w:val="00BB5FEF"/>
    <w:rsid w:val="00BB6165"/>
    <w:rsid w:val="00BB6605"/>
    <w:rsid w:val="00BB6750"/>
    <w:rsid w:val="00BB68E9"/>
    <w:rsid w:val="00BB6940"/>
    <w:rsid w:val="00BB6D03"/>
    <w:rsid w:val="00BB6F70"/>
    <w:rsid w:val="00BB70B0"/>
    <w:rsid w:val="00BB7362"/>
    <w:rsid w:val="00BB73AF"/>
    <w:rsid w:val="00BB7599"/>
    <w:rsid w:val="00BB75A0"/>
    <w:rsid w:val="00BB75C1"/>
    <w:rsid w:val="00BB7635"/>
    <w:rsid w:val="00BB7A3D"/>
    <w:rsid w:val="00BC01C4"/>
    <w:rsid w:val="00BC0398"/>
    <w:rsid w:val="00BC042A"/>
    <w:rsid w:val="00BC044A"/>
    <w:rsid w:val="00BC04E3"/>
    <w:rsid w:val="00BC055F"/>
    <w:rsid w:val="00BC0704"/>
    <w:rsid w:val="00BC0976"/>
    <w:rsid w:val="00BC0ABC"/>
    <w:rsid w:val="00BC0C74"/>
    <w:rsid w:val="00BC17A0"/>
    <w:rsid w:val="00BC18B7"/>
    <w:rsid w:val="00BC1AE8"/>
    <w:rsid w:val="00BC1D44"/>
    <w:rsid w:val="00BC1E02"/>
    <w:rsid w:val="00BC2081"/>
    <w:rsid w:val="00BC2423"/>
    <w:rsid w:val="00BC25FE"/>
    <w:rsid w:val="00BC28D9"/>
    <w:rsid w:val="00BC297B"/>
    <w:rsid w:val="00BC2B9E"/>
    <w:rsid w:val="00BC2E7B"/>
    <w:rsid w:val="00BC2EDD"/>
    <w:rsid w:val="00BC2F10"/>
    <w:rsid w:val="00BC311C"/>
    <w:rsid w:val="00BC3234"/>
    <w:rsid w:val="00BC3499"/>
    <w:rsid w:val="00BC34B9"/>
    <w:rsid w:val="00BC3719"/>
    <w:rsid w:val="00BC3911"/>
    <w:rsid w:val="00BC3AC1"/>
    <w:rsid w:val="00BC3BAB"/>
    <w:rsid w:val="00BC3C52"/>
    <w:rsid w:val="00BC3CC5"/>
    <w:rsid w:val="00BC3CE4"/>
    <w:rsid w:val="00BC3EA6"/>
    <w:rsid w:val="00BC3F02"/>
    <w:rsid w:val="00BC4212"/>
    <w:rsid w:val="00BC43C8"/>
    <w:rsid w:val="00BC4E28"/>
    <w:rsid w:val="00BC4E3A"/>
    <w:rsid w:val="00BC50B9"/>
    <w:rsid w:val="00BC5162"/>
    <w:rsid w:val="00BC5330"/>
    <w:rsid w:val="00BC549F"/>
    <w:rsid w:val="00BC55FB"/>
    <w:rsid w:val="00BC576D"/>
    <w:rsid w:val="00BC5A60"/>
    <w:rsid w:val="00BC5A6E"/>
    <w:rsid w:val="00BC5AC1"/>
    <w:rsid w:val="00BC5AE9"/>
    <w:rsid w:val="00BC5F95"/>
    <w:rsid w:val="00BC6131"/>
    <w:rsid w:val="00BC6255"/>
    <w:rsid w:val="00BC62D3"/>
    <w:rsid w:val="00BC640C"/>
    <w:rsid w:val="00BC65F7"/>
    <w:rsid w:val="00BC6C49"/>
    <w:rsid w:val="00BC6ED5"/>
    <w:rsid w:val="00BC7222"/>
    <w:rsid w:val="00BC7450"/>
    <w:rsid w:val="00BC7648"/>
    <w:rsid w:val="00BC7904"/>
    <w:rsid w:val="00BC7B70"/>
    <w:rsid w:val="00BC7CF3"/>
    <w:rsid w:val="00BC7FE0"/>
    <w:rsid w:val="00BD0117"/>
    <w:rsid w:val="00BD024D"/>
    <w:rsid w:val="00BD033A"/>
    <w:rsid w:val="00BD0560"/>
    <w:rsid w:val="00BD064A"/>
    <w:rsid w:val="00BD0684"/>
    <w:rsid w:val="00BD0F46"/>
    <w:rsid w:val="00BD1403"/>
    <w:rsid w:val="00BD14F0"/>
    <w:rsid w:val="00BD15AD"/>
    <w:rsid w:val="00BD1601"/>
    <w:rsid w:val="00BD1643"/>
    <w:rsid w:val="00BD171E"/>
    <w:rsid w:val="00BD1732"/>
    <w:rsid w:val="00BD1869"/>
    <w:rsid w:val="00BD1ADE"/>
    <w:rsid w:val="00BD1AFF"/>
    <w:rsid w:val="00BD1C48"/>
    <w:rsid w:val="00BD1CA2"/>
    <w:rsid w:val="00BD1E97"/>
    <w:rsid w:val="00BD1E9E"/>
    <w:rsid w:val="00BD2198"/>
    <w:rsid w:val="00BD224F"/>
    <w:rsid w:val="00BD229E"/>
    <w:rsid w:val="00BD2618"/>
    <w:rsid w:val="00BD26B8"/>
    <w:rsid w:val="00BD2709"/>
    <w:rsid w:val="00BD2773"/>
    <w:rsid w:val="00BD2807"/>
    <w:rsid w:val="00BD2AB1"/>
    <w:rsid w:val="00BD2B80"/>
    <w:rsid w:val="00BD3011"/>
    <w:rsid w:val="00BD39D1"/>
    <w:rsid w:val="00BD3A58"/>
    <w:rsid w:val="00BD3C0E"/>
    <w:rsid w:val="00BD3EE3"/>
    <w:rsid w:val="00BD3F17"/>
    <w:rsid w:val="00BD4156"/>
    <w:rsid w:val="00BD421A"/>
    <w:rsid w:val="00BD46EE"/>
    <w:rsid w:val="00BD475A"/>
    <w:rsid w:val="00BD47A7"/>
    <w:rsid w:val="00BD4A0D"/>
    <w:rsid w:val="00BD4B76"/>
    <w:rsid w:val="00BD4BD8"/>
    <w:rsid w:val="00BD4BF2"/>
    <w:rsid w:val="00BD4F45"/>
    <w:rsid w:val="00BD4F47"/>
    <w:rsid w:val="00BD53A7"/>
    <w:rsid w:val="00BD554B"/>
    <w:rsid w:val="00BD5962"/>
    <w:rsid w:val="00BD5980"/>
    <w:rsid w:val="00BD5E56"/>
    <w:rsid w:val="00BD608B"/>
    <w:rsid w:val="00BD60DC"/>
    <w:rsid w:val="00BD661D"/>
    <w:rsid w:val="00BD666E"/>
    <w:rsid w:val="00BD68EE"/>
    <w:rsid w:val="00BD6929"/>
    <w:rsid w:val="00BD6939"/>
    <w:rsid w:val="00BD6A29"/>
    <w:rsid w:val="00BD6C32"/>
    <w:rsid w:val="00BD6D56"/>
    <w:rsid w:val="00BD6DD3"/>
    <w:rsid w:val="00BD7130"/>
    <w:rsid w:val="00BD747A"/>
    <w:rsid w:val="00BD7608"/>
    <w:rsid w:val="00BD7623"/>
    <w:rsid w:val="00BD7651"/>
    <w:rsid w:val="00BD79F4"/>
    <w:rsid w:val="00BD7CDB"/>
    <w:rsid w:val="00BD7EA5"/>
    <w:rsid w:val="00BD7EC9"/>
    <w:rsid w:val="00BD7F98"/>
    <w:rsid w:val="00BE0065"/>
    <w:rsid w:val="00BE006F"/>
    <w:rsid w:val="00BE04DB"/>
    <w:rsid w:val="00BE058F"/>
    <w:rsid w:val="00BE07CF"/>
    <w:rsid w:val="00BE091A"/>
    <w:rsid w:val="00BE0B94"/>
    <w:rsid w:val="00BE0CE6"/>
    <w:rsid w:val="00BE1010"/>
    <w:rsid w:val="00BE10CE"/>
    <w:rsid w:val="00BE1134"/>
    <w:rsid w:val="00BE143B"/>
    <w:rsid w:val="00BE160D"/>
    <w:rsid w:val="00BE1B23"/>
    <w:rsid w:val="00BE1B8D"/>
    <w:rsid w:val="00BE1D89"/>
    <w:rsid w:val="00BE20FE"/>
    <w:rsid w:val="00BE21A6"/>
    <w:rsid w:val="00BE229F"/>
    <w:rsid w:val="00BE24E3"/>
    <w:rsid w:val="00BE2528"/>
    <w:rsid w:val="00BE258E"/>
    <w:rsid w:val="00BE2A6B"/>
    <w:rsid w:val="00BE2F01"/>
    <w:rsid w:val="00BE307E"/>
    <w:rsid w:val="00BE315A"/>
    <w:rsid w:val="00BE3216"/>
    <w:rsid w:val="00BE3B88"/>
    <w:rsid w:val="00BE3CE5"/>
    <w:rsid w:val="00BE3CF2"/>
    <w:rsid w:val="00BE3CFD"/>
    <w:rsid w:val="00BE4347"/>
    <w:rsid w:val="00BE480C"/>
    <w:rsid w:val="00BE4945"/>
    <w:rsid w:val="00BE4AF4"/>
    <w:rsid w:val="00BE4E70"/>
    <w:rsid w:val="00BE5400"/>
    <w:rsid w:val="00BE5452"/>
    <w:rsid w:val="00BE58F6"/>
    <w:rsid w:val="00BE5986"/>
    <w:rsid w:val="00BE5EBE"/>
    <w:rsid w:val="00BE638E"/>
    <w:rsid w:val="00BE63AF"/>
    <w:rsid w:val="00BE64A7"/>
    <w:rsid w:val="00BE668A"/>
    <w:rsid w:val="00BE66F0"/>
    <w:rsid w:val="00BE671B"/>
    <w:rsid w:val="00BE68A1"/>
    <w:rsid w:val="00BE6AF4"/>
    <w:rsid w:val="00BE6BF2"/>
    <w:rsid w:val="00BE6E2F"/>
    <w:rsid w:val="00BE7010"/>
    <w:rsid w:val="00BE705A"/>
    <w:rsid w:val="00BE72EF"/>
    <w:rsid w:val="00BE7614"/>
    <w:rsid w:val="00BE796A"/>
    <w:rsid w:val="00BE7B02"/>
    <w:rsid w:val="00BF017B"/>
    <w:rsid w:val="00BF0287"/>
    <w:rsid w:val="00BF0321"/>
    <w:rsid w:val="00BF07D9"/>
    <w:rsid w:val="00BF092F"/>
    <w:rsid w:val="00BF0B5D"/>
    <w:rsid w:val="00BF0D7E"/>
    <w:rsid w:val="00BF0FAD"/>
    <w:rsid w:val="00BF1194"/>
    <w:rsid w:val="00BF11A1"/>
    <w:rsid w:val="00BF1227"/>
    <w:rsid w:val="00BF156D"/>
    <w:rsid w:val="00BF16B8"/>
    <w:rsid w:val="00BF17B8"/>
    <w:rsid w:val="00BF1D21"/>
    <w:rsid w:val="00BF2021"/>
    <w:rsid w:val="00BF204C"/>
    <w:rsid w:val="00BF204E"/>
    <w:rsid w:val="00BF22DB"/>
    <w:rsid w:val="00BF2416"/>
    <w:rsid w:val="00BF2496"/>
    <w:rsid w:val="00BF26EF"/>
    <w:rsid w:val="00BF271D"/>
    <w:rsid w:val="00BF2940"/>
    <w:rsid w:val="00BF296C"/>
    <w:rsid w:val="00BF29CA"/>
    <w:rsid w:val="00BF29F6"/>
    <w:rsid w:val="00BF2A48"/>
    <w:rsid w:val="00BF2AE6"/>
    <w:rsid w:val="00BF32A4"/>
    <w:rsid w:val="00BF32C2"/>
    <w:rsid w:val="00BF32EE"/>
    <w:rsid w:val="00BF34F7"/>
    <w:rsid w:val="00BF3640"/>
    <w:rsid w:val="00BF36AA"/>
    <w:rsid w:val="00BF37BA"/>
    <w:rsid w:val="00BF388F"/>
    <w:rsid w:val="00BF3969"/>
    <w:rsid w:val="00BF3A29"/>
    <w:rsid w:val="00BF3D88"/>
    <w:rsid w:val="00BF3DF8"/>
    <w:rsid w:val="00BF415E"/>
    <w:rsid w:val="00BF4205"/>
    <w:rsid w:val="00BF42E4"/>
    <w:rsid w:val="00BF42EC"/>
    <w:rsid w:val="00BF4971"/>
    <w:rsid w:val="00BF4FA7"/>
    <w:rsid w:val="00BF51CC"/>
    <w:rsid w:val="00BF527E"/>
    <w:rsid w:val="00BF5294"/>
    <w:rsid w:val="00BF5491"/>
    <w:rsid w:val="00BF54B0"/>
    <w:rsid w:val="00BF54F3"/>
    <w:rsid w:val="00BF5C87"/>
    <w:rsid w:val="00BF5D4A"/>
    <w:rsid w:val="00BF5D6A"/>
    <w:rsid w:val="00BF5D6B"/>
    <w:rsid w:val="00BF5FA5"/>
    <w:rsid w:val="00BF6027"/>
    <w:rsid w:val="00BF64B3"/>
    <w:rsid w:val="00BF67C6"/>
    <w:rsid w:val="00BF6A58"/>
    <w:rsid w:val="00BF6DE5"/>
    <w:rsid w:val="00BF705C"/>
    <w:rsid w:val="00BF7250"/>
    <w:rsid w:val="00BF7AC5"/>
    <w:rsid w:val="00C00081"/>
    <w:rsid w:val="00C00100"/>
    <w:rsid w:val="00C00283"/>
    <w:rsid w:val="00C00368"/>
    <w:rsid w:val="00C009DC"/>
    <w:rsid w:val="00C00B20"/>
    <w:rsid w:val="00C00DB4"/>
    <w:rsid w:val="00C00F6D"/>
    <w:rsid w:val="00C00F7F"/>
    <w:rsid w:val="00C010D0"/>
    <w:rsid w:val="00C0113D"/>
    <w:rsid w:val="00C011FE"/>
    <w:rsid w:val="00C0187E"/>
    <w:rsid w:val="00C0189C"/>
    <w:rsid w:val="00C019B2"/>
    <w:rsid w:val="00C019BE"/>
    <w:rsid w:val="00C01E49"/>
    <w:rsid w:val="00C01EC1"/>
    <w:rsid w:val="00C02350"/>
    <w:rsid w:val="00C026E7"/>
    <w:rsid w:val="00C02814"/>
    <w:rsid w:val="00C02AED"/>
    <w:rsid w:val="00C02B96"/>
    <w:rsid w:val="00C02D79"/>
    <w:rsid w:val="00C02E2D"/>
    <w:rsid w:val="00C03640"/>
    <w:rsid w:val="00C037CC"/>
    <w:rsid w:val="00C03B99"/>
    <w:rsid w:val="00C0406E"/>
    <w:rsid w:val="00C04A02"/>
    <w:rsid w:val="00C04D8F"/>
    <w:rsid w:val="00C0506D"/>
    <w:rsid w:val="00C0523D"/>
    <w:rsid w:val="00C05304"/>
    <w:rsid w:val="00C05458"/>
    <w:rsid w:val="00C05543"/>
    <w:rsid w:val="00C055D9"/>
    <w:rsid w:val="00C05828"/>
    <w:rsid w:val="00C05AF2"/>
    <w:rsid w:val="00C05B4C"/>
    <w:rsid w:val="00C05B90"/>
    <w:rsid w:val="00C05BB1"/>
    <w:rsid w:val="00C0602C"/>
    <w:rsid w:val="00C06233"/>
    <w:rsid w:val="00C06346"/>
    <w:rsid w:val="00C06592"/>
    <w:rsid w:val="00C065EF"/>
    <w:rsid w:val="00C067E9"/>
    <w:rsid w:val="00C06A60"/>
    <w:rsid w:val="00C06B4D"/>
    <w:rsid w:val="00C06EC1"/>
    <w:rsid w:val="00C07357"/>
    <w:rsid w:val="00C0782C"/>
    <w:rsid w:val="00C0786C"/>
    <w:rsid w:val="00C078DC"/>
    <w:rsid w:val="00C07941"/>
    <w:rsid w:val="00C07A00"/>
    <w:rsid w:val="00C07AED"/>
    <w:rsid w:val="00C07B56"/>
    <w:rsid w:val="00C07C1A"/>
    <w:rsid w:val="00C07C7E"/>
    <w:rsid w:val="00C10029"/>
    <w:rsid w:val="00C1006C"/>
    <w:rsid w:val="00C101F9"/>
    <w:rsid w:val="00C1032F"/>
    <w:rsid w:val="00C1039E"/>
    <w:rsid w:val="00C106D5"/>
    <w:rsid w:val="00C1073A"/>
    <w:rsid w:val="00C108A5"/>
    <w:rsid w:val="00C10A52"/>
    <w:rsid w:val="00C10BAA"/>
    <w:rsid w:val="00C10D9B"/>
    <w:rsid w:val="00C11145"/>
    <w:rsid w:val="00C11189"/>
    <w:rsid w:val="00C114DE"/>
    <w:rsid w:val="00C115F4"/>
    <w:rsid w:val="00C1161D"/>
    <w:rsid w:val="00C11FE6"/>
    <w:rsid w:val="00C121A8"/>
    <w:rsid w:val="00C12527"/>
    <w:rsid w:val="00C12583"/>
    <w:rsid w:val="00C1269F"/>
    <w:rsid w:val="00C1283F"/>
    <w:rsid w:val="00C12910"/>
    <w:rsid w:val="00C12AD6"/>
    <w:rsid w:val="00C12D6F"/>
    <w:rsid w:val="00C12F60"/>
    <w:rsid w:val="00C130AE"/>
    <w:rsid w:val="00C13197"/>
    <w:rsid w:val="00C13277"/>
    <w:rsid w:val="00C134A1"/>
    <w:rsid w:val="00C134C5"/>
    <w:rsid w:val="00C135A5"/>
    <w:rsid w:val="00C1368E"/>
    <w:rsid w:val="00C137FF"/>
    <w:rsid w:val="00C13A0C"/>
    <w:rsid w:val="00C13D2E"/>
    <w:rsid w:val="00C13DCE"/>
    <w:rsid w:val="00C142AD"/>
    <w:rsid w:val="00C1434C"/>
    <w:rsid w:val="00C14455"/>
    <w:rsid w:val="00C1475C"/>
    <w:rsid w:val="00C14EFE"/>
    <w:rsid w:val="00C14F1F"/>
    <w:rsid w:val="00C151C1"/>
    <w:rsid w:val="00C151F3"/>
    <w:rsid w:val="00C152D3"/>
    <w:rsid w:val="00C152EB"/>
    <w:rsid w:val="00C15335"/>
    <w:rsid w:val="00C1542C"/>
    <w:rsid w:val="00C15434"/>
    <w:rsid w:val="00C1548B"/>
    <w:rsid w:val="00C1595F"/>
    <w:rsid w:val="00C15A35"/>
    <w:rsid w:val="00C162D7"/>
    <w:rsid w:val="00C1647F"/>
    <w:rsid w:val="00C16637"/>
    <w:rsid w:val="00C16883"/>
    <w:rsid w:val="00C17185"/>
    <w:rsid w:val="00C17872"/>
    <w:rsid w:val="00C17AF0"/>
    <w:rsid w:val="00C17B6D"/>
    <w:rsid w:val="00C17B6E"/>
    <w:rsid w:val="00C17F0D"/>
    <w:rsid w:val="00C17F4F"/>
    <w:rsid w:val="00C17FFD"/>
    <w:rsid w:val="00C2002F"/>
    <w:rsid w:val="00C20063"/>
    <w:rsid w:val="00C20384"/>
    <w:rsid w:val="00C20711"/>
    <w:rsid w:val="00C20B62"/>
    <w:rsid w:val="00C20C01"/>
    <w:rsid w:val="00C21171"/>
    <w:rsid w:val="00C211DB"/>
    <w:rsid w:val="00C21246"/>
    <w:rsid w:val="00C21482"/>
    <w:rsid w:val="00C216B6"/>
    <w:rsid w:val="00C2179D"/>
    <w:rsid w:val="00C21A68"/>
    <w:rsid w:val="00C21F10"/>
    <w:rsid w:val="00C221BD"/>
    <w:rsid w:val="00C222C9"/>
    <w:rsid w:val="00C22A0F"/>
    <w:rsid w:val="00C22C83"/>
    <w:rsid w:val="00C22C85"/>
    <w:rsid w:val="00C22D02"/>
    <w:rsid w:val="00C230AC"/>
    <w:rsid w:val="00C232AA"/>
    <w:rsid w:val="00C232C3"/>
    <w:rsid w:val="00C23707"/>
    <w:rsid w:val="00C2376D"/>
    <w:rsid w:val="00C238B1"/>
    <w:rsid w:val="00C238E8"/>
    <w:rsid w:val="00C23B0A"/>
    <w:rsid w:val="00C23EA5"/>
    <w:rsid w:val="00C24044"/>
    <w:rsid w:val="00C24374"/>
    <w:rsid w:val="00C247C9"/>
    <w:rsid w:val="00C24817"/>
    <w:rsid w:val="00C249E7"/>
    <w:rsid w:val="00C24A17"/>
    <w:rsid w:val="00C24BF6"/>
    <w:rsid w:val="00C24BF9"/>
    <w:rsid w:val="00C24C90"/>
    <w:rsid w:val="00C24CDE"/>
    <w:rsid w:val="00C24F2D"/>
    <w:rsid w:val="00C25112"/>
    <w:rsid w:val="00C252E3"/>
    <w:rsid w:val="00C25448"/>
    <w:rsid w:val="00C25615"/>
    <w:rsid w:val="00C2565D"/>
    <w:rsid w:val="00C25728"/>
    <w:rsid w:val="00C25CE3"/>
    <w:rsid w:val="00C25EA4"/>
    <w:rsid w:val="00C26260"/>
    <w:rsid w:val="00C26432"/>
    <w:rsid w:val="00C2647A"/>
    <w:rsid w:val="00C264C2"/>
    <w:rsid w:val="00C2659E"/>
    <w:rsid w:val="00C26722"/>
    <w:rsid w:val="00C269D4"/>
    <w:rsid w:val="00C26AB7"/>
    <w:rsid w:val="00C26CA5"/>
    <w:rsid w:val="00C271CE"/>
    <w:rsid w:val="00C27388"/>
    <w:rsid w:val="00C276EF"/>
    <w:rsid w:val="00C27780"/>
    <w:rsid w:val="00C27804"/>
    <w:rsid w:val="00C27836"/>
    <w:rsid w:val="00C27B1F"/>
    <w:rsid w:val="00C27B25"/>
    <w:rsid w:val="00C300CC"/>
    <w:rsid w:val="00C3042F"/>
    <w:rsid w:val="00C306C5"/>
    <w:rsid w:val="00C3078A"/>
    <w:rsid w:val="00C307E5"/>
    <w:rsid w:val="00C30817"/>
    <w:rsid w:val="00C30CD8"/>
    <w:rsid w:val="00C30EA5"/>
    <w:rsid w:val="00C31136"/>
    <w:rsid w:val="00C3138E"/>
    <w:rsid w:val="00C31692"/>
    <w:rsid w:val="00C3170A"/>
    <w:rsid w:val="00C3174E"/>
    <w:rsid w:val="00C31812"/>
    <w:rsid w:val="00C31B65"/>
    <w:rsid w:val="00C31CBC"/>
    <w:rsid w:val="00C31CD1"/>
    <w:rsid w:val="00C3200C"/>
    <w:rsid w:val="00C322AA"/>
    <w:rsid w:val="00C3234D"/>
    <w:rsid w:val="00C325BA"/>
    <w:rsid w:val="00C326B6"/>
    <w:rsid w:val="00C327B5"/>
    <w:rsid w:val="00C32E81"/>
    <w:rsid w:val="00C3352E"/>
    <w:rsid w:val="00C3383A"/>
    <w:rsid w:val="00C3393E"/>
    <w:rsid w:val="00C33A91"/>
    <w:rsid w:val="00C33E41"/>
    <w:rsid w:val="00C3419C"/>
    <w:rsid w:val="00C34321"/>
    <w:rsid w:val="00C3445E"/>
    <w:rsid w:val="00C3447A"/>
    <w:rsid w:val="00C34653"/>
    <w:rsid w:val="00C346E3"/>
    <w:rsid w:val="00C34870"/>
    <w:rsid w:val="00C34886"/>
    <w:rsid w:val="00C34F9C"/>
    <w:rsid w:val="00C3519F"/>
    <w:rsid w:val="00C352AE"/>
    <w:rsid w:val="00C3534B"/>
    <w:rsid w:val="00C3542F"/>
    <w:rsid w:val="00C3566C"/>
    <w:rsid w:val="00C35739"/>
    <w:rsid w:val="00C35836"/>
    <w:rsid w:val="00C35A5E"/>
    <w:rsid w:val="00C35B94"/>
    <w:rsid w:val="00C35CFE"/>
    <w:rsid w:val="00C35FCF"/>
    <w:rsid w:val="00C3626B"/>
    <w:rsid w:val="00C36352"/>
    <w:rsid w:val="00C368EE"/>
    <w:rsid w:val="00C36A11"/>
    <w:rsid w:val="00C36A5B"/>
    <w:rsid w:val="00C36AF1"/>
    <w:rsid w:val="00C36CC9"/>
    <w:rsid w:val="00C36CF8"/>
    <w:rsid w:val="00C36D60"/>
    <w:rsid w:val="00C36EF7"/>
    <w:rsid w:val="00C370BC"/>
    <w:rsid w:val="00C3742D"/>
    <w:rsid w:val="00C374E2"/>
    <w:rsid w:val="00C37645"/>
    <w:rsid w:val="00C37775"/>
    <w:rsid w:val="00C3777A"/>
    <w:rsid w:val="00C37A6A"/>
    <w:rsid w:val="00C37F21"/>
    <w:rsid w:val="00C37F9F"/>
    <w:rsid w:val="00C400DB"/>
    <w:rsid w:val="00C400E0"/>
    <w:rsid w:val="00C407D4"/>
    <w:rsid w:val="00C409B6"/>
    <w:rsid w:val="00C41168"/>
    <w:rsid w:val="00C41205"/>
    <w:rsid w:val="00C4168A"/>
    <w:rsid w:val="00C418D1"/>
    <w:rsid w:val="00C41A05"/>
    <w:rsid w:val="00C41A97"/>
    <w:rsid w:val="00C41B3C"/>
    <w:rsid w:val="00C41BAD"/>
    <w:rsid w:val="00C41F25"/>
    <w:rsid w:val="00C41FD1"/>
    <w:rsid w:val="00C4229B"/>
    <w:rsid w:val="00C42393"/>
    <w:rsid w:val="00C42484"/>
    <w:rsid w:val="00C424A3"/>
    <w:rsid w:val="00C424B8"/>
    <w:rsid w:val="00C42595"/>
    <w:rsid w:val="00C425BE"/>
    <w:rsid w:val="00C425D7"/>
    <w:rsid w:val="00C426C9"/>
    <w:rsid w:val="00C42717"/>
    <w:rsid w:val="00C42A91"/>
    <w:rsid w:val="00C42AFB"/>
    <w:rsid w:val="00C42C29"/>
    <w:rsid w:val="00C42E3B"/>
    <w:rsid w:val="00C42F1A"/>
    <w:rsid w:val="00C4307C"/>
    <w:rsid w:val="00C4330B"/>
    <w:rsid w:val="00C433B4"/>
    <w:rsid w:val="00C4369E"/>
    <w:rsid w:val="00C4381B"/>
    <w:rsid w:val="00C43D68"/>
    <w:rsid w:val="00C44397"/>
    <w:rsid w:val="00C446B0"/>
    <w:rsid w:val="00C446FD"/>
    <w:rsid w:val="00C44994"/>
    <w:rsid w:val="00C44A66"/>
    <w:rsid w:val="00C44B94"/>
    <w:rsid w:val="00C44DD3"/>
    <w:rsid w:val="00C44F6E"/>
    <w:rsid w:val="00C451EA"/>
    <w:rsid w:val="00C45218"/>
    <w:rsid w:val="00C453F6"/>
    <w:rsid w:val="00C4568E"/>
    <w:rsid w:val="00C45998"/>
    <w:rsid w:val="00C459FF"/>
    <w:rsid w:val="00C45A75"/>
    <w:rsid w:val="00C45B8D"/>
    <w:rsid w:val="00C45C8F"/>
    <w:rsid w:val="00C45CAE"/>
    <w:rsid w:val="00C45EF1"/>
    <w:rsid w:val="00C46191"/>
    <w:rsid w:val="00C4621D"/>
    <w:rsid w:val="00C4622D"/>
    <w:rsid w:val="00C4640F"/>
    <w:rsid w:val="00C46530"/>
    <w:rsid w:val="00C4659D"/>
    <w:rsid w:val="00C467E0"/>
    <w:rsid w:val="00C46CB2"/>
    <w:rsid w:val="00C46D33"/>
    <w:rsid w:val="00C46E6C"/>
    <w:rsid w:val="00C47050"/>
    <w:rsid w:val="00C470CB"/>
    <w:rsid w:val="00C470D5"/>
    <w:rsid w:val="00C47113"/>
    <w:rsid w:val="00C47237"/>
    <w:rsid w:val="00C47238"/>
    <w:rsid w:val="00C472FA"/>
    <w:rsid w:val="00C473C0"/>
    <w:rsid w:val="00C477AD"/>
    <w:rsid w:val="00C47884"/>
    <w:rsid w:val="00C4798D"/>
    <w:rsid w:val="00C479D8"/>
    <w:rsid w:val="00C47BB3"/>
    <w:rsid w:val="00C47C8A"/>
    <w:rsid w:val="00C47CA2"/>
    <w:rsid w:val="00C503C9"/>
    <w:rsid w:val="00C50441"/>
    <w:rsid w:val="00C509AD"/>
    <w:rsid w:val="00C50C25"/>
    <w:rsid w:val="00C50D68"/>
    <w:rsid w:val="00C50F66"/>
    <w:rsid w:val="00C514F3"/>
    <w:rsid w:val="00C51FD6"/>
    <w:rsid w:val="00C51FF6"/>
    <w:rsid w:val="00C52050"/>
    <w:rsid w:val="00C5207A"/>
    <w:rsid w:val="00C522A8"/>
    <w:rsid w:val="00C52337"/>
    <w:rsid w:val="00C523F6"/>
    <w:rsid w:val="00C528CD"/>
    <w:rsid w:val="00C529FF"/>
    <w:rsid w:val="00C52B80"/>
    <w:rsid w:val="00C52E3C"/>
    <w:rsid w:val="00C5335A"/>
    <w:rsid w:val="00C53C7D"/>
    <w:rsid w:val="00C53CC8"/>
    <w:rsid w:val="00C541A9"/>
    <w:rsid w:val="00C5433A"/>
    <w:rsid w:val="00C543B0"/>
    <w:rsid w:val="00C5446A"/>
    <w:rsid w:val="00C5452F"/>
    <w:rsid w:val="00C545A6"/>
    <w:rsid w:val="00C54692"/>
    <w:rsid w:val="00C54763"/>
    <w:rsid w:val="00C547E7"/>
    <w:rsid w:val="00C54818"/>
    <w:rsid w:val="00C54A3F"/>
    <w:rsid w:val="00C54ADC"/>
    <w:rsid w:val="00C54D73"/>
    <w:rsid w:val="00C54E28"/>
    <w:rsid w:val="00C5501E"/>
    <w:rsid w:val="00C550DF"/>
    <w:rsid w:val="00C5553E"/>
    <w:rsid w:val="00C556CC"/>
    <w:rsid w:val="00C55737"/>
    <w:rsid w:val="00C558C1"/>
    <w:rsid w:val="00C5599B"/>
    <w:rsid w:val="00C559A8"/>
    <w:rsid w:val="00C55C01"/>
    <w:rsid w:val="00C55C39"/>
    <w:rsid w:val="00C55FD3"/>
    <w:rsid w:val="00C56045"/>
    <w:rsid w:val="00C5605B"/>
    <w:rsid w:val="00C562ED"/>
    <w:rsid w:val="00C56342"/>
    <w:rsid w:val="00C5648E"/>
    <w:rsid w:val="00C566E6"/>
    <w:rsid w:val="00C568CE"/>
    <w:rsid w:val="00C56B4B"/>
    <w:rsid w:val="00C56B6C"/>
    <w:rsid w:val="00C56C50"/>
    <w:rsid w:val="00C56C64"/>
    <w:rsid w:val="00C570A6"/>
    <w:rsid w:val="00C5722E"/>
    <w:rsid w:val="00C57298"/>
    <w:rsid w:val="00C573EF"/>
    <w:rsid w:val="00C575F9"/>
    <w:rsid w:val="00C57761"/>
    <w:rsid w:val="00C5787D"/>
    <w:rsid w:val="00C57CAF"/>
    <w:rsid w:val="00C57E49"/>
    <w:rsid w:val="00C60036"/>
    <w:rsid w:val="00C600AA"/>
    <w:rsid w:val="00C600C5"/>
    <w:rsid w:val="00C602C7"/>
    <w:rsid w:val="00C602FF"/>
    <w:rsid w:val="00C60763"/>
    <w:rsid w:val="00C60966"/>
    <w:rsid w:val="00C60AFE"/>
    <w:rsid w:val="00C60C41"/>
    <w:rsid w:val="00C60D31"/>
    <w:rsid w:val="00C60DFA"/>
    <w:rsid w:val="00C6127C"/>
    <w:rsid w:val="00C61454"/>
    <w:rsid w:val="00C6153C"/>
    <w:rsid w:val="00C615E0"/>
    <w:rsid w:val="00C61602"/>
    <w:rsid w:val="00C61795"/>
    <w:rsid w:val="00C61C73"/>
    <w:rsid w:val="00C61D21"/>
    <w:rsid w:val="00C61EB7"/>
    <w:rsid w:val="00C6218A"/>
    <w:rsid w:val="00C622BD"/>
    <w:rsid w:val="00C622DB"/>
    <w:rsid w:val="00C62562"/>
    <w:rsid w:val="00C62700"/>
    <w:rsid w:val="00C627B3"/>
    <w:rsid w:val="00C627F1"/>
    <w:rsid w:val="00C628E5"/>
    <w:rsid w:val="00C62977"/>
    <w:rsid w:val="00C62A10"/>
    <w:rsid w:val="00C62AE8"/>
    <w:rsid w:val="00C63179"/>
    <w:rsid w:val="00C6320F"/>
    <w:rsid w:val="00C632BE"/>
    <w:rsid w:val="00C63340"/>
    <w:rsid w:val="00C635F1"/>
    <w:rsid w:val="00C637FE"/>
    <w:rsid w:val="00C63815"/>
    <w:rsid w:val="00C6388F"/>
    <w:rsid w:val="00C638D3"/>
    <w:rsid w:val="00C639DD"/>
    <w:rsid w:val="00C63E1F"/>
    <w:rsid w:val="00C6414C"/>
    <w:rsid w:val="00C641B5"/>
    <w:rsid w:val="00C647E1"/>
    <w:rsid w:val="00C64844"/>
    <w:rsid w:val="00C648E6"/>
    <w:rsid w:val="00C64A78"/>
    <w:rsid w:val="00C64B9A"/>
    <w:rsid w:val="00C64CA8"/>
    <w:rsid w:val="00C64E94"/>
    <w:rsid w:val="00C64F45"/>
    <w:rsid w:val="00C651D3"/>
    <w:rsid w:val="00C652ED"/>
    <w:rsid w:val="00C65355"/>
    <w:rsid w:val="00C6539A"/>
    <w:rsid w:val="00C656E4"/>
    <w:rsid w:val="00C658DF"/>
    <w:rsid w:val="00C65918"/>
    <w:rsid w:val="00C65A89"/>
    <w:rsid w:val="00C65A9E"/>
    <w:rsid w:val="00C65CEE"/>
    <w:rsid w:val="00C65F62"/>
    <w:rsid w:val="00C660D9"/>
    <w:rsid w:val="00C66482"/>
    <w:rsid w:val="00C66489"/>
    <w:rsid w:val="00C6663D"/>
    <w:rsid w:val="00C66797"/>
    <w:rsid w:val="00C66A34"/>
    <w:rsid w:val="00C66D9A"/>
    <w:rsid w:val="00C66DC8"/>
    <w:rsid w:val="00C66EB9"/>
    <w:rsid w:val="00C671A9"/>
    <w:rsid w:val="00C674AC"/>
    <w:rsid w:val="00C67752"/>
    <w:rsid w:val="00C6781C"/>
    <w:rsid w:val="00C679C1"/>
    <w:rsid w:val="00C67A1B"/>
    <w:rsid w:val="00C67A78"/>
    <w:rsid w:val="00C67A9D"/>
    <w:rsid w:val="00C67AB9"/>
    <w:rsid w:val="00C67EDC"/>
    <w:rsid w:val="00C7057B"/>
    <w:rsid w:val="00C706E2"/>
    <w:rsid w:val="00C708BB"/>
    <w:rsid w:val="00C70CD6"/>
    <w:rsid w:val="00C70E23"/>
    <w:rsid w:val="00C70EB8"/>
    <w:rsid w:val="00C70F13"/>
    <w:rsid w:val="00C7129D"/>
    <w:rsid w:val="00C71658"/>
    <w:rsid w:val="00C717A8"/>
    <w:rsid w:val="00C71977"/>
    <w:rsid w:val="00C71D7D"/>
    <w:rsid w:val="00C71EDC"/>
    <w:rsid w:val="00C7208C"/>
    <w:rsid w:val="00C72238"/>
    <w:rsid w:val="00C72404"/>
    <w:rsid w:val="00C72614"/>
    <w:rsid w:val="00C7262A"/>
    <w:rsid w:val="00C727A1"/>
    <w:rsid w:val="00C7291F"/>
    <w:rsid w:val="00C72921"/>
    <w:rsid w:val="00C72B81"/>
    <w:rsid w:val="00C72BD5"/>
    <w:rsid w:val="00C72D4F"/>
    <w:rsid w:val="00C72EC4"/>
    <w:rsid w:val="00C7307A"/>
    <w:rsid w:val="00C7326E"/>
    <w:rsid w:val="00C733F5"/>
    <w:rsid w:val="00C7360B"/>
    <w:rsid w:val="00C73679"/>
    <w:rsid w:val="00C739EC"/>
    <w:rsid w:val="00C73C5B"/>
    <w:rsid w:val="00C73E2C"/>
    <w:rsid w:val="00C7406D"/>
    <w:rsid w:val="00C745E1"/>
    <w:rsid w:val="00C748C9"/>
    <w:rsid w:val="00C749F7"/>
    <w:rsid w:val="00C74A96"/>
    <w:rsid w:val="00C7501E"/>
    <w:rsid w:val="00C75158"/>
    <w:rsid w:val="00C75161"/>
    <w:rsid w:val="00C756E4"/>
    <w:rsid w:val="00C757A1"/>
    <w:rsid w:val="00C75C2E"/>
    <w:rsid w:val="00C75D12"/>
    <w:rsid w:val="00C75E7A"/>
    <w:rsid w:val="00C76482"/>
    <w:rsid w:val="00C764C2"/>
    <w:rsid w:val="00C764CD"/>
    <w:rsid w:val="00C7678A"/>
    <w:rsid w:val="00C76988"/>
    <w:rsid w:val="00C76C36"/>
    <w:rsid w:val="00C76C72"/>
    <w:rsid w:val="00C76CDC"/>
    <w:rsid w:val="00C76DA0"/>
    <w:rsid w:val="00C76F17"/>
    <w:rsid w:val="00C7705C"/>
    <w:rsid w:val="00C771A2"/>
    <w:rsid w:val="00C772D7"/>
    <w:rsid w:val="00C772F9"/>
    <w:rsid w:val="00C7736C"/>
    <w:rsid w:val="00C7756B"/>
    <w:rsid w:val="00C776D5"/>
    <w:rsid w:val="00C779BC"/>
    <w:rsid w:val="00C77A8F"/>
    <w:rsid w:val="00C77ADD"/>
    <w:rsid w:val="00C77EC5"/>
    <w:rsid w:val="00C77F9F"/>
    <w:rsid w:val="00C77FEC"/>
    <w:rsid w:val="00C80331"/>
    <w:rsid w:val="00C80893"/>
    <w:rsid w:val="00C809E8"/>
    <w:rsid w:val="00C80AC2"/>
    <w:rsid w:val="00C80C29"/>
    <w:rsid w:val="00C80DFC"/>
    <w:rsid w:val="00C80EFA"/>
    <w:rsid w:val="00C81210"/>
    <w:rsid w:val="00C8138D"/>
    <w:rsid w:val="00C8141A"/>
    <w:rsid w:val="00C814B5"/>
    <w:rsid w:val="00C81948"/>
    <w:rsid w:val="00C81961"/>
    <w:rsid w:val="00C819A0"/>
    <w:rsid w:val="00C81A06"/>
    <w:rsid w:val="00C81BA0"/>
    <w:rsid w:val="00C81CBC"/>
    <w:rsid w:val="00C8234A"/>
    <w:rsid w:val="00C8245B"/>
    <w:rsid w:val="00C82555"/>
    <w:rsid w:val="00C825A1"/>
    <w:rsid w:val="00C826B6"/>
    <w:rsid w:val="00C8294D"/>
    <w:rsid w:val="00C82A12"/>
    <w:rsid w:val="00C82AFE"/>
    <w:rsid w:val="00C82B3E"/>
    <w:rsid w:val="00C82CC6"/>
    <w:rsid w:val="00C82F0B"/>
    <w:rsid w:val="00C8327C"/>
    <w:rsid w:val="00C834D4"/>
    <w:rsid w:val="00C834FD"/>
    <w:rsid w:val="00C835DB"/>
    <w:rsid w:val="00C837A5"/>
    <w:rsid w:val="00C839A3"/>
    <w:rsid w:val="00C83A0D"/>
    <w:rsid w:val="00C83A0F"/>
    <w:rsid w:val="00C83A4C"/>
    <w:rsid w:val="00C83A7F"/>
    <w:rsid w:val="00C83C48"/>
    <w:rsid w:val="00C83CF9"/>
    <w:rsid w:val="00C83D5F"/>
    <w:rsid w:val="00C83D6B"/>
    <w:rsid w:val="00C83DD7"/>
    <w:rsid w:val="00C83E1C"/>
    <w:rsid w:val="00C83EC6"/>
    <w:rsid w:val="00C8409B"/>
    <w:rsid w:val="00C840BD"/>
    <w:rsid w:val="00C8414F"/>
    <w:rsid w:val="00C8415F"/>
    <w:rsid w:val="00C84215"/>
    <w:rsid w:val="00C84462"/>
    <w:rsid w:val="00C8483A"/>
    <w:rsid w:val="00C84906"/>
    <w:rsid w:val="00C84953"/>
    <w:rsid w:val="00C84962"/>
    <w:rsid w:val="00C849F9"/>
    <w:rsid w:val="00C84AF1"/>
    <w:rsid w:val="00C84DDC"/>
    <w:rsid w:val="00C84EC9"/>
    <w:rsid w:val="00C852DA"/>
    <w:rsid w:val="00C85579"/>
    <w:rsid w:val="00C85615"/>
    <w:rsid w:val="00C8593B"/>
    <w:rsid w:val="00C859BD"/>
    <w:rsid w:val="00C85C0D"/>
    <w:rsid w:val="00C85EAA"/>
    <w:rsid w:val="00C861AF"/>
    <w:rsid w:val="00C86259"/>
    <w:rsid w:val="00C8686B"/>
    <w:rsid w:val="00C868EF"/>
    <w:rsid w:val="00C86963"/>
    <w:rsid w:val="00C86A4F"/>
    <w:rsid w:val="00C86BEB"/>
    <w:rsid w:val="00C86CE0"/>
    <w:rsid w:val="00C86D76"/>
    <w:rsid w:val="00C86F55"/>
    <w:rsid w:val="00C87045"/>
    <w:rsid w:val="00C877D8"/>
    <w:rsid w:val="00C87893"/>
    <w:rsid w:val="00C87A13"/>
    <w:rsid w:val="00C87AC7"/>
    <w:rsid w:val="00C87CDF"/>
    <w:rsid w:val="00C9001B"/>
    <w:rsid w:val="00C901A9"/>
    <w:rsid w:val="00C9073B"/>
    <w:rsid w:val="00C90A6C"/>
    <w:rsid w:val="00C90D05"/>
    <w:rsid w:val="00C90D75"/>
    <w:rsid w:val="00C91193"/>
    <w:rsid w:val="00C91C14"/>
    <w:rsid w:val="00C91E83"/>
    <w:rsid w:val="00C91EAB"/>
    <w:rsid w:val="00C922E4"/>
    <w:rsid w:val="00C9234D"/>
    <w:rsid w:val="00C92382"/>
    <w:rsid w:val="00C925C8"/>
    <w:rsid w:val="00C9264C"/>
    <w:rsid w:val="00C926AC"/>
    <w:rsid w:val="00C928A7"/>
    <w:rsid w:val="00C92A12"/>
    <w:rsid w:val="00C92B1F"/>
    <w:rsid w:val="00C92E3F"/>
    <w:rsid w:val="00C930FB"/>
    <w:rsid w:val="00C93553"/>
    <w:rsid w:val="00C93785"/>
    <w:rsid w:val="00C93832"/>
    <w:rsid w:val="00C93E59"/>
    <w:rsid w:val="00C94330"/>
    <w:rsid w:val="00C94734"/>
    <w:rsid w:val="00C947A9"/>
    <w:rsid w:val="00C949B2"/>
    <w:rsid w:val="00C94D09"/>
    <w:rsid w:val="00C94D25"/>
    <w:rsid w:val="00C950FE"/>
    <w:rsid w:val="00C951FD"/>
    <w:rsid w:val="00C95263"/>
    <w:rsid w:val="00C955CB"/>
    <w:rsid w:val="00C9565A"/>
    <w:rsid w:val="00C956BB"/>
    <w:rsid w:val="00C9571A"/>
    <w:rsid w:val="00C9583E"/>
    <w:rsid w:val="00C95A21"/>
    <w:rsid w:val="00C95B40"/>
    <w:rsid w:val="00C95C72"/>
    <w:rsid w:val="00C95CFE"/>
    <w:rsid w:val="00C95DA1"/>
    <w:rsid w:val="00C95E6D"/>
    <w:rsid w:val="00C95F61"/>
    <w:rsid w:val="00C963B7"/>
    <w:rsid w:val="00C96459"/>
    <w:rsid w:val="00C96494"/>
    <w:rsid w:val="00C964FA"/>
    <w:rsid w:val="00C96B37"/>
    <w:rsid w:val="00C96BC1"/>
    <w:rsid w:val="00C96CFC"/>
    <w:rsid w:val="00C9700B"/>
    <w:rsid w:val="00C97250"/>
    <w:rsid w:val="00C977E3"/>
    <w:rsid w:val="00C9783B"/>
    <w:rsid w:val="00C979B2"/>
    <w:rsid w:val="00C97B47"/>
    <w:rsid w:val="00C97C33"/>
    <w:rsid w:val="00C97EA2"/>
    <w:rsid w:val="00C97F47"/>
    <w:rsid w:val="00CA00ED"/>
    <w:rsid w:val="00CA0190"/>
    <w:rsid w:val="00CA0342"/>
    <w:rsid w:val="00CA0348"/>
    <w:rsid w:val="00CA03F2"/>
    <w:rsid w:val="00CA0D2E"/>
    <w:rsid w:val="00CA1173"/>
    <w:rsid w:val="00CA13B5"/>
    <w:rsid w:val="00CA1400"/>
    <w:rsid w:val="00CA1524"/>
    <w:rsid w:val="00CA15FA"/>
    <w:rsid w:val="00CA1C39"/>
    <w:rsid w:val="00CA1F11"/>
    <w:rsid w:val="00CA205C"/>
    <w:rsid w:val="00CA21BF"/>
    <w:rsid w:val="00CA2245"/>
    <w:rsid w:val="00CA238F"/>
    <w:rsid w:val="00CA2422"/>
    <w:rsid w:val="00CA2464"/>
    <w:rsid w:val="00CA27AD"/>
    <w:rsid w:val="00CA27D3"/>
    <w:rsid w:val="00CA290C"/>
    <w:rsid w:val="00CA30A6"/>
    <w:rsid w:val="00CA32B1"/>
    <w:rsid w:val="00CA33B5"/>
    <w:rsid w:val="00CA3BF3"/>
    <w:rsid w:val="00CA3CB9"/>
    <w:rsid w:val="00CA402C"/>
    <w:rsid w:val="00CA4400"/>
    <w:rsid w:val="00CA4579"/>
    <w:rsid w:val="00CA4E90"/>
    <w:rsid w:val="00CA56A1"/>
    <w:rsid w:val="00CA5724"/>
    <w:rsid w:val="00CA5A01"/>
    <w:rsid w:val="00CA5ACC"/>
    <w:rsid w:val="00CA5CC4"/>
    <w:rsid w:val="00CA5D28"/>
    <w:rsid w:val="00CA5ED9"/>
    <w:rsid w:val="00CA6050"/>
    <w:rsid w:val="00CA61BF"/>
    <w:rsid w:val="00CA6528"/>
    <w:rsid w:val="00CA6876"/>
    <w:rsid w:val="00CA68D3"/>
    <w:rsid w:val="00CA6CDD"/>
    <w:rsid w:val="00CA6D0F"/>
    <w:rsid w:val="00CA6E90"/>
    <w:rsid w:val="00CA6F3F"/>
    <w:rsid w:val="00CA7165"/>
    <w:rsid w:val="00CB017F"/>
    <w:rsid w:val="00CB02AA"/>
    <w:rsid w:val="00CB04A6"/>
    <w:rsid w:val="00CB05DA"/>
    <w:rsid w:val="00CB07C5"/>
    <w:rsid w:val="00CB07FB"/>
    <w:rsid w:val="00CB09EC"/>
    <w:rsid w:val="00CB1145"/>
    <w:rsid w:val="00CB139E"/>
    <w:rsid w:val="00CB1408"/>
    <w:rsid w:val="00CB150D"/>
    <w:rsid w:val="00CB174F"/>
    <w:rsid w:val="00CB1B8F"/>
    <w:rsid w:val="00CB1BF8"/>
    <w:rsid w:val="00CB1C8F"/>
    <w:rsid w:val="00CB1D6B"/>
    <w:rsid w:val="00CB1F6B"/>
    <w:rsid w:val="00CB1F9E"/>
    <w:rsid w:val="00CB2146"/>
    <w:rsid w:val="00CB233C"/>
    <w:rsid w:val="00CB233F"/>
    <w:rsid w:val="00CB2390"/>
    <w:rsid w:val="00CB23EF"/>
    <w:rsid w:val="00CB2591"/>
    <w:rsid w:val="00CB289A"/>
    <w:rsid w:val="00CB2911"/>
    <w:rsid w:val="00CB29A5"/>
    <w:rsid w:val="00CB2AB2"/>
    <w:rsid w:val="00CB2B83"/>
    <w:rsid w:val="00CB2E67"/>
    <w:rsid w:val="00CB2E72"/>
    <w:rsid w:val="00CB2FD4"/>
    <w:rsid w:val="00CB309A"/>
    <w:rsid w:val="00CB30AA"/>
    <w:rsid w:val="00CB371A"/>
    <w:rsid w:val="00CB3731"/>
    <w:rsid w:val="00CB37F5"/>
    <w:rsid w:val="00CB3832"/>
    <w:rsid w:val="00CB3B05"/>
    <w:rsid w:val="00CB3B37"/>
    <w:rsid w:val="00CB3C2B"/>
    <w:rsid w:val="00CB3E95"/>
    <w:rsid w:val="00CB3F00"/>
    <w:rsid w:val="00CB3FB9"/>
    <w:rsid w:val="00CB41E2"/>
    <w:rsid w:val="00CB4250"/>
    <w:rsid w:val="00CB45F3"/>
    <w:rsid w:val="00CB4BFB"/>
    <w:rsid w:val="00CB52FB"/>
    <w:rsid w:val="00CB5338"/>
    <w:rsid w:val="00CB539C"/>
    <w:rsid w:val="00CB53E2"/>
    <w:rsid w:val="00CB540F"/>
    <w:rsid w:val="00CB5435"/>
    <w:rsid w:val="00CB5541"/>
    <w:rsid w:val="00CB5AF1"/>
    <w:rsid w:val="00CB5C36"/>
    <w:rsid w:val="00CB5C47"/>
    <w:rsid w:val="00CB5C53"/>
    <w:rsid w:val="00CB60F1"/>
    <w:rsid w:val="00CB61EF"/>
    <w:rsid w:val="00CB652C"/>
    <w:rsid w:val="00CB6538"/>
    <w:rsid w:val="00CB6585"/>
    <w:rsid w:val="00CB65EE"/>
    <w:rsid w:val="00CB6841"/>
    <w:rsid w:val="00CB69DE"/>
    <w:rsid w:val="00CB6B3A"/>
    <w:rsid w:val="00CB6F1C"/>
    <w:rsid w:val="00CB6FDC"/>
    <w:rsid w:val="00CB6FEC"/>
    <w:rsid w:val="00CB737E"/>
    <w:rsid w:val="00CB740A"/>
    <w:rsid w:val="00CB7684"/>
    <w:rsid w:val="00CB7751"/>
    <w:rsid w:val="00CB77BE"/>
    <w:rsid w:val="00CB77DA"/>
    <w:rsid w:val="00CB7B5C"/>
    <w:rsid w:val="00CB7BDA"/>
    <w:rsid w:val="00CB7C84"/>
    <w:rsid w:val="00CB7CD0"/>
    <w:rsid w:val="00CB7F00"/>
    <w:rsid w:val="00CB7FB9"/>
    <w:rsid w:val="00CC00E4"/>
    <w:rsid w:val="00CC02AD"/>
    <w:rsid w:val="00CC03DA"/>
    <w:rsid w:val="00CC07FC"/>
    <w:rsid w:val="00CC085E"/>
    <w:rsid w:val="00CC09D8"/>
    <w:rsid w:val="00CC0A34"/>
    <w:rsid w:val="00CC10AF"/>
    <w:rsid w:val="00CC11FC"/>
    <w:rsid w:val="00CC1288"/>
    <w:rsid w:val="00CC156F"/>
    <w:rsid w:val="00CC15C3"/>
    <w:rsid w:val="00CC18B2"/>
    <w:rsid w:val="00CC1A0B"/>
    <w:rsid w:val="00CC1DF1"/>
    <w:rsid w:val="00CC243B"/>
    <w:rsid w:val="00CC24B0"/>
    <w:rsid w:val="00CC24FF"/>
    <w:rsid w:val="00CC253C"/>
    <w:rsid w:val="00CC274D"/>
    <w:rsid w:val="00CC2800"/>
    <w:rsid w:val="00CC2A34"/>
    <w:rsid w:val="00CC2B9D"/>
    <w:rsid w:val="00CC2BD3"/>
    <w:rsid w:val="00CC2CB0"/>
    <w:rsid w:val="00CC2E03"/>
    <w:rsid w:val="00CC335C"/>
    <w:rsid w:val="00CC393B"/>
    <w:rsid w:val="00CC3AE0"/>
    <w:rsid w:val="00CC3B0A"/>
    <w:rsid w:val="00CC3C4A"/>
    <w:rsid w:val="00CC3EFF"/>
    <w:rsid w:val="00CC4079"/>
    <w:rsid w:val="00CC4099"/>
    <w:rsid w:val="00CC445A"/>
    <w:rsid w:val="00CC4562"/>
    <w:rsid w:val="00CC45C2"/>
    <w:rsid w:val="00CC4698"/>
    <w:rsid w:val="00CC4794"/>
    <w:rsid w:val="00CC49AA"/>
    <w:rsid w:val="00CC4A61"/>
    <w:rsid w:val="00CC4B10"/>
    <w:rsid w:val="00CC4B1E"/>
    <w:rsid w:val="00CC4B2B"/>
    <w:rsid w:val="00CC4B6D"/>
    <w:rsid w:val="00CC4E3A"/>
    <w:rsid w:val="00CC4E6A"/>
    <w:rsid w:val="00CC4EE4"/>
    <w:rsid w:val="00CC513E"/>
    <w:rsid w:val="00CC518E"/>
    <w:rsid w:val="00CC5638"/>
    <w:rsid w:val="00CC5A50"/>
    <w:rsid w:val="00CC5B68"/>
    <w:rsid w:val="00CC5CC4"/>
    <w:rsid w:val="00CC5D36"/>
    <w:rsid w:val="00CC5F9B"/>
    <w:rsid w:val="00CC5FD9"/>
    <w:rsid w:val="00CC6A16"/>
    <w:rsid w:val="00CC715D"/>
    <w:rsid w:val="00CC7379"/>
    <w:rsid w:val="00CC7525"/>
    <w:rsid w:val="00CC765D"/>
    <w:rsid w:val="00CC777B"/>
    <w:rsid w:val="00CC7B56"/>
    <w:rsid w:val="00CC7CEC"/>
    <w:rsid w:val="00CD00CC"/>
    <w:rsid w:val="00CD00D6"/>
    <w:rsid w:val="00CD024C"/>
    <w:rsid w:val="00CD04AF"/>
    <w:rsid w:val="00CD04EA"/>
    <w:rsid w:val="00CD051D"/>
    <w:rsid w:val="00CD0615"/>
    <w:rsid w:val="00CD0D21"/>
    <w:rsid w:val="00CD0ECC"/>
    <w:rsid w:val="00CD0FF9"/>
    <w:rsid w:val="00CD1053"/>
    <w:rsid w:val="00CD10BB"/>
    <w:rsid w:val="00CD10FA"/>
    <w:rsid w:val="00CD13F5"/>
    <w:rsid w:val="00CD172B"/>
    <w:rsid w:val="00CD1889"/>
    <w:rsid w:val="00CD18B8"/>
    <w:rsid w:val="00CD1A47"/>
    <w:rsid w:val="00CD1F08"/>
    <w:rsid w:val="00CD23AF"/>
    <w:rsid w:val="00CD23FC"/>
    <w:rsid w:val="00CD24B1"/>
    <w:rsid w:val="00CD25AD"/>
    <w:rsid w:val="00CD262E"/>
    <w:rsid w:val="00CD26E2"/>
    <w:rsid w:val="00CD2788"/>
    <w:rsid w:val="00CD2799"/>
    <w:rsid w:val="00CD2AF7"/>
    <w:rsid w:val="00CD2E68"/>
    <w:rsid w:val="00CD2EEB"/>
    <w:rsid w:val="00CD2F1D"/>
    <w:rsid w:val="00CD31B2"/>
    <w:rsid w:val="00CD3963"/>
    <w:rsid w:val="00CD4086"/>
    <w:rsid w:val="00CD4112"/>
    <w:rsid w:val="00CD4327"/>
    <w:rsid w:val="00CD436B"/>
    <w:rsid w:val="00CD4373"/>
    <w:rsid w:val="00CD4443"/>
    <w:rsid w:val="00CD4469"/>
    <w:rsid w:val="00CD45BC"/>
    <w:rsid w:val="00CD482D"/>
    <w:rsid w:val="00CD4DEB"/>
    <w:rsid w:val="00CD4FBB"/>
    <w:rsid w:val="00CD5239"/>
    <w:rsid w:val="00CD54A8"/>
    <w:rsid w:val="00CD55F8"/>
    <w:rsid w:val="00CD5817"/>
    <w:rsid w:val="00CD5821"/>
    <w:rsid w:val="00CD5BA9"/>
    <w:rsid w:val="00CD5E49"/>
    <w:rsid w:val="00CD5FFD"/>
    <w:rsid w:val="00CD610C"/>
    <w:rsid w:val="00CD6620"/>
    <w:rsid w:val="00CD66B4"/>
    <w:rsid w:val="00CD6784"/>
    <w:rsid w:val="00CD67BB"/>
    <w:rsid w:val="00CD6D0F"/>
    <w:rsid w:val="00CD6D3C"/>
    <w:rsid w:val="00CD6E42"/>
    <w:rsid w:val="00CD6E53"/>
    <w:rsid w:val="00CD7003"/>
    <w:rsid w:val="00CD7033"/>
    <w:rsid w:val="00CD717B"/>
    <w:rsid w:val="00CD7529"/>
    <w:rsid w:val="00CD75B9"/>
    <w:rsid w:val="00CD770D"/>
    <w:rsid w:val="00CD7914"/>
    <w:rsid w:val="00CD79A1"/>
    <w:rsid w:val="00CD7A64"/>
    <w:rsid w:val="00CD7ABC"/>
    <w:rsid w:val="00CD7CFC"/>
    <w:rsid w:val="00CD7DA2"/>
    <w:rsid w:val="00CD7EBF"/>
    <w:rsid w:val="00CE0159"/>
    <w:rsid w:val="00CE0180"/>
    <w:rsid w:val="00CE0386"/>
    <w:rsid w:val="00CE0438"/>
    <w:rsid w:val="00CE0483"/>
    <w:rsid w:val="00CE0628"/>
    <w:rsid w:val="00CE085C"/>
    <w:rsid w:val="00CE0875"/>
    <w:rsid w:val="00CE089F"/>
    <w:rsid w:val="00CE0A06"/>
    <w:rsid w:val="00CE0EF5"/>
    <w:rsid w:val="00CE108C"/>
    <w:rsid w:val="00CE1135"/>
    <w:rsid w:val="00CE1441"/>
    <w:rsid w:val="00CE148F"/>
    <w:rsid w:val="00CE15FF"/>
    <w:rsid w:val="00CE18AF"/>
    <w:rsid w:val="00CE2150"/>
    <w:rsid w:val="00CE22F9"/>
    <w:rsid w:val="00CE230E"/>
    <w:rsid w:val="00CE2407"/>
    <w:rsid w:val="00CE279B"/>
    <w:rsid w:val="00CE2A10"/>
    <w:rsid w:val="00CE2AD8"/>
    <w:rsid w:val="00CE2E82"/>
    <w:rsid w:val="00CE2F1D"/>
    <w:rsid w:val="00CE3077"/>
    <w:rsid w:val="00CE31D5"/>
    <w:rsid w:val="00CE32DE"/>
    <w:rsid w:val="00CE367E"/>
    <w:rsid w:val="00CE36D8"/>
    <w:rsid w:val="00CE37EB"/>
    <w:rsid w:val="00CE3892"/>
    <w:rsid w:val="00CE3C3A"/>
    <w:rsid w:val="00CE4064"/>
    <w:rsid w:val="00CE485C"/>
    <w:rsid w:val="00CE494F"/>
    <w:rsid w:val="00CE4970"/>
    <w:rsid w:val="00CE4FE4"/>
    <w:rsid w:val="00CE503D"/>
    <w:rsid w:val="00CE5060"/>
    <w:rsid w:val="00CE5064"/>
    <w:rsid w:val="00CE5407"/>
    <w:rsid w:val="00CE5510"/>
    <w:rsid w:val="00CE556B"/>
    <w:rsid w:val="00CE5817"/>
    <w:rsid w:val="00CE5A09"/>
    <w:rsid w:val="00CE5B33"/>
    <w:rsid w:val="00CE5CE4"/>
    <w:rsid w:val="00CE5FDB"/>
    <w:rsid w:val="00CE6080"/>
    <w:rsid w:val="00CE6171"/>
    <w:rsid w:val="00CE625F"/>
    <w:rsid w:val="00CE6792"/>
    <w:rsid w:val="00CE688F"/>
    <w:rsid w:val="00CE68D3"/>
    <w:rsid w:val="00CE6A6B"/>
    <w:rsid w:val="00CE6C44"/>
    <w:rsid w:val="00CE708C"/>
    <w:rsid w:val="00CE71CD"/>
    <w:rsid w:val="00CE7422"/>
    <w:rsid w:val="00CE7472"/>
    <w:rsid w:val="00CE753C"/>
    <w:rsid w:val="00CE77D2"/>
    <w:rsid w:val="00CE79DD"/>
    <w:rsid w:val="00CE7DE8"/>
    <w:rsid w:val="00CE7ED7"/>
    <w:rsid w:val="00CE7F2D"/>
    <w:rsid w:val="00CF0125"/>
    <w:rsid w:val="00CF0276"/>
    <w:rsid w:val="00CF02CF"/>
    <w:rsid w:val="00CF02E0"/>
    <w:rsid w:val="00CF0328"/>
    <w:rsid w:val="00CF03DC"/>
    <w:rsid w:val="00CF05F9"/>
    <w:rsid w:val="00CF0645"/>
    <w:rsid w:val="00CF0664"/>
    <w:rsid w:val="00CF0B9A"/>
    <w:rsid w:val="00CF1269"/>
    <w:rsid w:val="00CF12BF"/>
    <w:rsid w:val="00CF136F"/>
    <w:rsid w:val="00CF1686"/>
    <w:rsid w:val="00CF16C6"/>
    <w:rsid w:val="00CF1871"/>
    <w:rsid w:val="00CF193E"/>
    <w:rsid w:val="00CF19CB"/>
    <w:rsid w:val="00CF1A05"/>
    <w:rsid w:val="00CF1A06"/>
    <w:rsid w:val="00CF1A94"/>
    <w:rsid w:val="00CF1AF3"/>
    <w:rsid w:val="00CF1B25"/>
    <w:rsid w:val="00CF1D4C"/>
    <w:rsid w:val="00CF1E66"/>
    <w:rsid w:val="00CF1FB7"/>
    <w:rsid w:val="00CF1FCD"/>
    <w:rsid w:val="00CF258A"/>
    <w:rsid w:val="00CF29C5"/>
    <w:rsid w:val="00CF2B43"/>
    <w:rsid w:val="00CF2BDA"/>
    <w:rsid w:val="00CF2D3E"/>
    <w:rsid w:val="00CF2DF0"/>
    <w:rsid w:val="00CF2E4D"/>
    <w:rsid w:val="00CF30F2"/>
    <w:rsid w:val="00CF3145"/>
    <w:rsid w:val="00CF3676"/>
    <w:rsid w:val="00CF38DD"/>
    <w:rsid w:val="00CF3A43"/>
    <w:rsid w:val="00CF40AC"/>
    <w:rsid w:val="00CF4133"/>
    <w:rsid w:val="00CF42CC"/>
    <w:rsid w:val="00CF477F"/>
    <w:rsid w:val="00CF4BA4"/>
    <w:rsid w:val="00CF4C84"/>
    <w:rsid w:val="00CF4D36"/>
    <w:rsid w:val="00CF4D7F"/>
    <w:rsid w:val="00CF50B0"/>
    <w:rsid w:val="00CF522B"/>
    <w:rsid w:val="00CF5236"/>
    <w:rsid w:val="00CF577E"/>
    <w:rsid w:val="00CF5817"/>
    <w:rsid w:val="00CF59E9"/>
    <w:rsid w:val="00CF61EF"/>
    <w:rsid w:val="00CF6207"/>
    <w:rsid w:val="00CF6244"/>
    <w:rsid w:val="00CF6287"/>
    <w:rsid w:val="00CF6A3E"/>
    <w:rsid w:val="00CF6C70"/>
    <w:rsid w:val="00CF6F2A"/>
    <w:rsid w:val="00CF7024"/>
    <w:rsid w:val="00CF7839"/>
    <w:rsid w:val="00CF793C"/>
    <w:rsid w:val="00CF79BF"/>
    <w:rsid w:val="00CF7DFF"/>
    <w:rsid w:val="00CF7E7C"/>
    <w:rsid w:val="00D00469"/>
    <w:rsid w:val="00D00AA0"/>
    <w:rsid w:val="00D00B1E"/>
    <w:rsid w:val="00D00B3A"/>
    <w:rsid w:val="00D00D56"/>
    <w:rsid w:val="00D00E5E"/>
    <w:rsid w:val="00D011E3"/>
    <w:rsid w:val="00D0143C"/>
    <w:rsid w:val="00D01582"/>
    <w:rsid w:val="00D01595"/>
    <w:rsid w:val="00D0187D"/>
    <w:rsid w:val="00D01885"/>
    <w:rsid w:val="00D0188E"/>
    <w:rsid w:val="00D0191D"/>
    <w:rsid w:val="00D01B31"/>
    <w:rsid w:val="00D01BB4"/>
    <w:rsid w:val="00D02127"/>
    <w:rsid w:val="00D025CC"/>
    <w:rsid w:val="00D02994"/>
    <w:rsid w:val="00D02D68"/>
    <w:rsid w:val="00D02D74"/>
    <w:rsid w:val="00D03231"/>
    <w:rsid w:val="00D03382"/>
    <w:rsid w:val="00D033E1"/>
    <w:rsid w:val="00D036EB"/>
    <w:rsid w:val="00D0375D"/>
    <w:rsid w:val="00D0395A"/>
    <w:rsid w:val="00D03976"/>
    <w:rsid w:val="00D03C65"/>
    <w:rsid w:val="00D03EFD"/>
    <w:rsid w:val="00D041AF"/>
    <w:rsid w:val="00D041C0"/>
    <w:rsid w:val="00D04326"/>
    <w:rsid w:val="00D04359"/>
    <w:rsid w:val="00D047B5"/>
    <w:rsid w:val="00D048C2"/>
    <w:rsid w:val="00D04C21"/>
    <w:rsid w:val="00D04CB8"/>
    <w:rsid w:val="00D04D88"/>
    <w:rsid w:val="00D04F2F"/>
    <w:rsid w:val="00D0547F"/>
    <w:rsid w:val="00D0564D"/>
    <w:rsid w:val="00D05C66"/>
    <w:rsid w:val="00D05C6E"/>
    <w:rsid w:val="00D05CAF"/>
    <w:rsid w:val="00D05FAD"/>
    <w:rsid w:val="00D061B8"/>
    <w:rsid w:val="00D0625B"/>
    <w:rsid w:val="00D064B3"/>
    <w:rsid w:val="00D06C24"/>
    <w:rsid w:val="00D071CA"/>
    <w:rsid w:val="00D07274"/>
    <w:rsid w:val="00D07295"/>
    <w:rsid w:val="00D07599"/>
    <w:rsid w:val="00D077DC"/>
    <w:rsid w:val="00D07A95"/>
    <w:rsid w:val="00D07AEF"/>
    <w:rsid w:val="00D07FC0"/>
    <w:rsid w:val="00D10053"/>
    <w:rsid w:val="00D100BC"/>
    <w:rsid w:val="00D101D6"/>
    <w:rsid w:val="00D102C4"/>
    <w:rsid w:val="00D10318"/>
    <w:rsid w:val="00D105E3"/>
    <w:rsid w:val="00D1065B"/>
    <w:rsid w:val="00D107C9"/>
    <w:rsid w:val="00D10911"/>
    <w:rsid w:val="00D10A5B"/>
    <w:rsid w:val="00D10B94"/>
    <w:rsid w:val="00D10BC6"/>
    <w:rsid w:val="00D10ED6"/>
    <w:rsid w:val="00D110DB"/>
    <w:rsid w:val="00D111AE"/>
    <w:rsid w:val="00D1149D"/>
    <w:rsid w:val="00D11DBB"/>
    <w:rsid w:val="00D1207B"/>
    <w:rsid w:val="00D12670"/>
    <w:rsid w:val="00D1274E"/>
    <w:rsid w:val="00D1282F"/>
    <w:rsid w:val="00D12EAD"/>
    <w:rsid w:val="00D12F12"/>
    <w:rsid w:val="00D12F96"/>
    <w:rsid w:val="00D12FEB"/>
    <w:rsid w:val="00D132AC"/>
    <w:rsid w:val="00D13566"/>
    <w:rsid w:val="00D136A0"/>
    <w:rsid w:val="00D137DB"/>
    <w:rsid w:val="00D137EF"/>
    <w:rsid w:val="00D13801"/>
    <w:rsid w:val="00D13B61"/>
    <w:rsid w:val="00D142DB"/>
    <w:rsid w:val="00D1466A"/>
    <w:rsid w:val="00D14727"/>
    <w:rsid w:val="00D14891"/>
    <w:rsid w:val="00D148F3"/>
    <w:rsid w:val="00D14B60"/>
    <w:rsid w:val="00D14F3A"/>
    <w:rsid w:val="00D150C7"/>
    <w:rsid w:val="00D15818"/>
    <w:rsid w:val="00D1588D"/>
    <w:rsid w:val="00D15DB6"/>
    <w:rsid w:val="00D15F85"/>
    <w:rsid w:val="00D160FA"/>
    <w:rsid w:val="00D162DD"/>
    <w:rsid w:val="00D16318"/>
    <w:rsid w:val="00D165F1"/>
    <w:rsid w:val="00D1669D"/>
    <w:rsid w:val="00D16748"/>
    <w:rsid w:val="00D169F3"/>
    <w:rsid w:val="00D16B58"/>
    <w:rsid w:val="00D16EF8"/>
    <w:rsid w:val="00D16FA8"/>
    <w:rsid w:val="00D1700E"/>
    <w:rsid w:val="00D17124"/>
    <w:rsid w:val="00D17139"/>
    <w:rsid w:val="00D17359"/>
    <w:rsid w:val="00D174D3"/>
    <w:rsid w:val="00D178C9"/>
    <w:rsid w:val="00D17B27"/>
    <w:rsid w:val="00D17BF0"/>
    <w:rsid w:val="00D20120"/>
    <w:rsid w:val="00D203D4"/>
    <w:rsid w:val="00D20471"/>
    <w:rsid w:val="00D204F1"/>
    <w:rsid w:val="00D2055A"/>
    <w:rsid w:val="00D207F5"/>
    <w:rsid w:val="00D20CA5"/>
    <w:rsid w:val="00D20F7F"/>
    <w:rsid w:val="00D21097"/>
    <w:rsid w:val="00D21BF8"/>
    <w:rsid w:val="00D21F5C"/>
    <w:rsid w:val="00D2216F"/>
    <w:rsid w:val="00D221B8"/>
    <w:rsid w:val="00D2244A"/>
    <w:rsid w:val="00D22812"/>
    <w:rsid w:val="00D2283F"/>
    <w:rsid w:val="00D228F5"/>
    <w:rsid w:val="00D2324B"/>
    <w:rsid w:val="00D233EB"/>
    <w:rsid w:val="00D234D1"/>
    <w:rsid w:val="00D23602"/>
    <w:rsid w:val="00D236D1"/>
    <w:rsid w:val="00D2370F"/>
    <w:rsid w:val="00D2375E"/>
    <w:rsid w:val="00D2380F"/>
    <w:rsid w:val="00D23849"/>
    <w:rsid w:val="00D23C7D"/>
    <w:rsid w:val="00D23D04"/>
    <w:rsid w:val="00D23D30"/>
    <w:rsid w:val="00D23DF3"/>
    <w:rsid w:val="00D23EF5"/>
    <w:rsid w:val="00D2410C"/>
    <w:rsid w:val="00D24410"/>
    <w:rsid w:val="00D244B8"/>
    <w:rsid w:val="00D24982"/>
    <w:rsid w:val="00D250A5"/>
    <w:rsid w:val="00D254B1"/>
    <w:rsid w:val="00D256A2"/>
    <w:rsid w:val="00D25A59"/>
    <w:rsid w:val="00D25CC0"/>
    <w:rsid w:val="00D25D65"/>
    <w:rsid w:val="00D25F64"/>
    <w:rsid w:val="00D25FEC"/>
    <w:rsid w:val="00D26247"/>
    <w:rsid w:val="00D26288"/>
    <w:rsid w:val="00D26403"/>
    <w:rsid w:val="00D2675A"/>
    <w:rsid w:val="00D26B26"/>
    <w:rsid w:val="00D26B9D"/>
    <w:rsid w:val="00D270AF"/>
    <w:rsid w:val="00D27248"/>
    <w:rsid w:val="00D2729A"/>
    <w:rsid w:val="00D273DE"/>
    <w:rsid w:val="00D27420"/>
    <w:rsid w:val="00D27729"/>
    <w:rsid w:val="00D279B1"/>
    <w:rsid w:val="00D27C18"/>
    <w:rsid w:val="00D27C8E"/>
    <w:rsid w:val="00D27E59"/>
    <w:rsid w:val="00D301CB"/>
    <w:rsid w:val="00D30402"/>
    <w:rsid w:val="00D30A32"/>
    <w:rsid w:val="00D30B8D"/>
    <w:rsid w:val="00D30DEE"/>
    <w:rsid w:val="00D311E9"/>
    <w:rsid w:val="00D31229"/>
    <w:rsid w:val="00D3162A"/>
    <w:rsid w:val="00D316C8"/>
    <w:rsid w:val="00D31916"/>
    <w:rsid w:val="00D3191B"/>
    <w:rsid w:val="00D31992"/>
    <w:rsid w:val="00D31B71"/>
    <w:rsid w:val="00D31CD2"/>
    <w:rsid w:val="00D32164"/>
    <w:rsid w:val="00D32383"/>
    <w:rsid w:val="00D32409"/>
    <w:rsid w:val="00D32652"/>
    <w:rsid w:val="00D32CFA"/>
    <w:rsid w:val="00D32EC2"/>
    <w:rsid w:val="00D337B7"/>
    <w:rsid w:val="00D339C0"/>
    <w:rsid w:val="00D33E01"/>
    <w:rsid w:val="00D33EAD"/>
    <w:rsid w:val="00D34000"/>
    <w:rsid w:val="00D34275"/>
    <w:rsid w:val="00D3436D"/>
    <w:rsid w:val="00D34466"/>
    <w:rsid w:val="00D3451F"/>
    <w:rsid w:val="00D34600"/>
    <w:rsid w:val="00D3477E"/>
    <w:rsid w:val="00D349DD"/>
    <w:rsid w:val="00D34B73"/>
    <w:rsid w:val="00D34BD5"/>
    <w:rsid w:val="00D34F58"/>
    <w:rsid w:val="00D3500A"/>
    <w:rsid w:val="00D35123"/>
    <w:rsid w:val="00D35303"/>
    <w:rsid w:val="00D35A79"/>
    <w:rsid w:val="00D35ABF"/>
    <w:rsid w:val="00D35D50"/>
    <w:rsid w:val="00D35DD6"/>
    <w:rsid w:val="00D35F45"/>
    <w:rsid w:val="00D3606B"/>
    <w:rsid w:val="00D363ED"/>
    <w:rsid w:val="00D365F8"/>
    <w:rsid w:val="00D366F5"/>
    <w:rsid w:val="00D368F8"/>
    <w:rsid w:val="00D36A4A"/>
    <w:rsid w:val="00D36CF7"/>
    <w:rsid w:val="00D36DD3"/>
    <w:rsid w:val="00D36EDC"/>
    <w:rsid w:val="00D3737E"/>
    <w:rsid w:val="00D376D9"/>
    <w:rsid w:val="00D37851"/>
    <w:rsid w:val="00D37C64"/>
    <w:rsid w:val="00D37CBA"/>
    <w:rsid w:val="00D37E9D"/>
    <w:rsid w:val="00D40827"/>
    <w:rsid w:val="00D408FA"/>
    <w:rsid w:val="00D40D3E"/>
    <w:rsid w:val="00D40F1C"/>
    <w:rsid w:val="00D4121B"/>
    <w:rsid w:val="00D4137D"/>
    <w:rsid w:val="00D41531"/>
    <w:rsid w:val="00D41B23"/>
    <w:rsid w:val="00D41C1F"/>
    <w:rsid w:val="00D41D63"/>
    <w:rsid w:val="00D41E9A"/>
    <w:rsid w:val="00D41F2F"/>
    <w:rsid w:val="00D4213B"/>
    <w:rsid w:val="00D423E7"/>
    <w:rsid w:val="00D42477"/>
    <w:rsid w:val="00D4266A"/>
    <w:rsid w:val="00D4292C"/>
    <w:rsid w:val="00D42968"/>
    <w:rsid w:val="00D429CF"/>
    <w:rsid w:val="00D42AAD"/>
    <w:rsid w:val="00D42CD1"/>
    <w:rsid w:val="00D42CD4"/>
    <w:rsid w:val="00D42D96"/>
    <w:rsid w:val="00D42E8C"/>
    <w:rsid w:val="00D42F6E"/>
    <w:rsid w:val="00D4317E"/>
    <w:rsid w:val="00D43474"/>
    <w:rsid w:val="00D43A52"/>
    <w:rsid w:val="00D43E2A"/>
    <w:rsid w:val="00D4408D"/>
    <w:rsid w:val="00D44506"/>
    <w:rsid w:val="00D44877"/>
    <w:rsid w:val="00D44E0B"/>
    <w:rsid w:val="00D44F94"/>
    <w:rsid w:val="00D4508B"/>
    <w:rsid w:val="00D45236"/>
    <w:rsid w:val="00D4534F"/>
    <w:rsid w:val="00D455A9"/>
    <w:rsid w:val="00D456BA"/>
    <w:rsid w:val="00D45752"/>
    <w:rsid w:val="00D4579D"/>
    <w:rsid w:val="00D45910"/>
    <w:rsid w:val="00D45BB0"/>
    <w:rsid w:val="00D45E31"/>
    <w:rsid w:val="00D45FAF"/>
    <w:rsid w:val="00D46321"/>
    <w:rsid w:val="00D46561"/>
    <w:rsid w:val="00D465CD"/>
    <w:rsid w:val="00D466FD"/>
    <w:rsid w:val="00D46A33"/>
    <w:rsid w:val="00D46B96"/>
    <w:rsid w:val="00D46F6B"/>
    <w:rsid w:val="00D4737F"/>
    <w:rsid w:val="00D474A8"/>
    <w:rsid w:val="00D4782D"/>
    <w:rsid w:val="00D4791F"/>
    <w:rsid w:val="00D47B25"/>
    <w:rsid w:val="00D47B8D"/>
    <w:rsid w:val="00D47E12"/>
    <w:rsid w:val="00D47E59"/>
    <w:rsid w:val="00D47ECA"/>
    <w:rsid w:val="00D47EE7"/>
    <w:rsid w:val="00D5001A"/>
    <w:rsid w:val="00D500A7"/>
    <w:rsid w:val="00D501B1"/>
    <w:rsid w:val="00D50251"/>
    <w:rsid w:val="00D5073E"/>
    <w:rsid w:val="00D50765"/>
    <w:rsid w:val="00D508B5"/>
    <w:rsid w:val="00D50BFF"/>
    <w:rsid w:val="00D5113F"/>
    <w:rsid w:val="00D51365"/>
    <w:rsid w:val="00D514E2"/>
    <w:rsid w:val="00D5155E"/>
    <w:rsid w:val="00D51886"/>
    <w:rsid w:val="00D51888"/>
    <w:rsid w:val="00D5196D"/>
    <w:rsid w:val="00D51DF2"/>
    <w:rsid w:val="00D51FC5"/>
    <w:rsid w:val="00D5211F"/>
    <w:rsid w:val="00D52596"/>
    <w:rsid w:val="00D52CC6"/>
    <w:rsid w:val="00D52E01"/>
    <w:rsid w:val="00D52FD6"/>
    <w:rsid w:val="00D536BC"/>
    <w:rsid w:val="00D53905"/>
    <w:rsid w:val="00D53D41"/>
    <w:rsid w:val="00D54011"/>
    <w:rsid w:val="00D5424D"/>
    <w:rsid w:val="00D542D1"/>
    <w:rsid w:val="00D546E2"/>
    <w:rsid w:val="00D54BA8"/>
    <w:rsid w:val="00D550B8"/>
    <w:rsid w:val="00D55233"/>
    <w:rsid w:val="00D552B2"/>
    <w:rsid w:val="00D5561F"/>
    <w:rsid w:val="00D55861"/>
    <w:rsid w:val="00D55943"/>
    <w:rsid w:val="00D55AB6"/>
    <w:rsid w:val="00D55B0C"/>
    <w:rsid w:val="00D55FDC"/>
    <w:rsid w:val="00D560DF"/>
    <w:rsid w:val="00D56130"/>
    <w:rsid w:val="00D563D0"/>
    <w:rsid w:val="00D565D6"/>
    <w:rsid w:val="00D5682B"/>
    <w:rsid w:val="00D569A8"/>
    <w:rsid w:val="00D56AA5"/>
    <w:rsid w:val="00D56B1C"/>
    <w:rsid w:val="00D56B43"/>
    <w:rsid w:val="00D56BD5"/>
    <w:rsid w:val="00D56CAE"/>
    <w:rsid w:val="00D56FCD"/>
    <w:rsid w:val="00D5718D"/>
    <w:rsid w:val="00D5730E"/>
    <w:rsid w:val="00D57387"/>
    <w:rsid w:val="00D573E6"/>
    <w:rsid w:val="00D5759A"/>
    <w:rsid w:val="00D57633"/>
    <w:rsid w:val="00D57661"/>
    <w:rsid w:val="00D6048C"/>
    <w:rsid w:val="00D604ED"/>
    <w:rsid w:val="00D606A8"/>
    <w:rsid w:val="00D60802"/>
    <w:rsid w:val="00D60B9A"/>
    <w:rsid w:val="00D61010"/>
    <w:rsid w:val="00D61195"/>
    <w:rsid w:val="00D611E6"/>
    <w:rsid w:val="00D61247"/>
    <w:rsid w:val="00D61488"/>
    <w:rsid w:val="00D61CA6"/>
    <w:rsid w:val="00D61DA2"/>
    <w:rsid w:val="00D61E31"/>
    <w:rsid w:val="00D61FA5"/>
    <w:rsid w:val="00D620F0"/>
    <w:rsid w:val="00D62295"/>
    <w:rsid w:val="00D623DD"/>
    <w:rsid w:val="00D62986"/>
    <w:rsid w:val="00D62AC1"/>
    <w:rsid w:val="00D62B0A"/>
    <w:rsid w:val="00D62CFB"/>
    <w:rsid w:val="00D62D25"/>
    <w:rsid w:val="00D63511"/>
    <w:rsid w:val="00D6357A"/>
    <w:rsid w:val="00D63774"/>
    <w:rsid w:val="00D63CE8"/>
    <w:rsid w:val="00D63E39"/>
    <w:rsid w:val="00D63FF2"/>
    <w:rsid w:val="00D640A4"/>
    <w:rsid w:val="00D64546"/>
    <w:rsid w:val="00D645E9"/>
    <w:rsid w:val="00D646FA"/>
    <w:rsid w:val="00D647BD"/>
    <w:rsid w:val="00D6485A"/>
    <w:rsid w:val="00D648EC"/>
    <w:rsid w:val="00D64903"/>
    <w:rsid w:val="00D64930"/>
    <w:rsid w:val="00D64A00"/>
    <w:rsid w:val="00D64E11"/>
    <w:rsid w:val="00D64F8D"/>
    <w:rsid w:val="00D64FA4"/>
    <w:rsid w:val="00D651C6"/>
    <w:rsid w:val="00D653CA"/>
    <w:rsid w:val="00D654C6"/>
    <w:rsid w:val="00D65838"/>
    <w:rsid w:val="00D65A2E"/>
    <w:rsid w:val="00D65D38"/>
    <w:rsid w:val="00D65D88"/>
    <w:rsid w:val="00D65E76"/>
    <w:rsid w:val="00D65ED0"/>
    <w:rsid w:val="00D65F6C"/>
    <w:rsid w:val="00D66124"/>
    <w:rsid w:val="00D66508"/>
    <w:rsid w:val="00D6658E"/>
    <w:rsid w:val="00D66611"/>
    <w:rsid w:val="00D6677C"/>
    <w:rsid w:val="00D6678B"/>
    <w:rsid w:val="00D66797"/>
    <w:rsid w:val="00D66919"/>
    <w:rsid w:val="00D66ABD"/>
    <w:rsid w:val="00D66B50"/>
    <w:rsid w:val="00D66BC1"/>
    <w:rsid w:val="00D66CA1"/>
    <w:rsid w:val="00D66DD9"/>
    <w:rsid w:val="00D670C8"/>
    <w:rsid w:val="00D676AF"/>
    <w:rsid w:val="00D677AB"/>
    <w:rsid w:val="00D6791F"/>
    <w:rsid w:val="00D67963"/>
    <w:rsid w:val="00D70204"/>
    <w:rsid w:val="00D704E2"/>
    <w:rsid w:val="00D70C45"/>
    <w:rsid w:val="00D70D9B"/>
    <w:rsid w:val="00D70F2A"/>
    <w:rsid w:val="00D713AB"/>
    <w:rsid w:val="00D714E3"/>
    <w:rsid w:val="00D7157D"/>
    <w:rsid w:val="00D71723"/>
    <w:rsid w:val="00D7180B"/>
    <w:rsid w:val="00D71823"/>
    <w:rsid w:val="00D71997"/>
    <w:rsid w:val="00D72267"/>
    <w:rsid w:val="00D72521"/>
    <w:rsid w:val="00D72AE7"/>
    <w:rsid w:val="00D73375"/>
    <w:rsid w:val="00D73410"/>
    <w:rsid w:val="00D73553"/>
    <w:rsid w:val="00D73641"/>
    <w:rsid w:val="00D736C0"/>
    <w:rsid w:val="00D73702"/>
    <w:rsid w:val="00D73716"/>
    <w:rsid w:val="00D738DD"/>
    <w:rsid w:val="00D73D0B"/>
    <w:rsid w:val="00D73F5B"/>
    <w:rsid w:val="00D73FCC"/>
    <w:rsid w:val="00D740DF"/>
    <w:rsid w:val="00D7426A"/>
    <w:rsid w:val="00D7458D"/>
    <w:rsid w:val="00D74590"/>
    <w:rsid w:val="00D74605"/>
    <w:rsid w:val="00D7474F"/>
    <w:rsid w:val="00D74996"/>
    <w:rsid w:val="00D74D69"/>
    <w:rsid w:val="00D74F0D"/>
    <w:rsid w:val="00D75215"/>
    <w:rsid w:val="00D7547C"/>
    <w:rsid w:val="00D754DC"/>
    <w:rsid w:val="00D75681"/>
    <w:rsid w:val="00D75A1C"/>
    <w:rsid w:val="00D75ABF"/>
    <w:rsid w:val="00D75C41"/>
    <w:rsid w:val="00D75C4C"/>
    <w:rsid w:val="00D75D47"/>
    <w:rsid w:val="00D75DEB"/>
    <w:rsid w:val="00D75E57"/>
    <w:rsid w:val="00D76010"/>
    <w:rsid w:val="00D7622D"/>
    <w:rsid w:val="00D7643C"/>
    <w:rsid w:val="00D764B4"/>
    <w:rsid w:val="00D76A39"/>
    <w:rsid w:val="00D76C69"/>
    <w:rsid w:val="00D76E5D"/>
    <w:rsid w:val="00D76F51"/>
    <w:rsid w:val="00D76FB6"/>
    <w:rsid w:val="00D76FF0"/>
    <w:rsid w:val="00D7708C"/>
    <w:rsid w:val="00D770DB"/>
    <w:rsid w:val="00D7765F"/>
    <w:rsid w:val="00D77F8F"/>
    <w:rsid w:val="00D8009B"/>
    <w:rsid w:val="00D800DE"/>
    <w:rsid w:val="00D80598"/>
    <w:rsid w:val="00D80695"/>
    <w:rsid w:val="00D80A56"/>
    <w:rsid w:val="00D80DF5"/>
    <w:rsid w:val="00D80E49"/>
    <w:rsid w:val="00D80E91"/>
    <w:rsid w:val="00D811B1"/>
    <w:rsid w:val="00D81907"/>
    <w:rsid w:val="00D81A9C"/>
    <w:rsid w:val="00D81ADE"/>
    <w:rsid w:val="00D81E48"/>
    <w:rsid w:val="00D81EE2"/>
    <w:rsid w:val="00D81F13"/>
    <w:rsid w:val="00D81F84"/>
    <w:rsid w:val="00D8210B"/>
    <w:rsid w:val="00D82135"/>
    <w:rsid w:val="00D821DE"/>
    <w:rsid w:val="00D823E8"/>
    <w:rsid w:val="00D82AEC"/>
    <w:rsid w:val="00D82B10"/>
    <w:rsid w:val="00D82BCA"/>
    <w:rsid w:val="00D82F24"/>
    <w:rsid w:val="00D83372"/>
    <w:rsid w:val="00D83399"/>
    <w:rsid w:val="00D837BD"/>
    <w:rsid w:val="00D83920"/>
    <w:rsid w:val="00D83937"/>
    <w:rsid w:val="00D839CA"/>
    <w:rsid w:val="00D83D49"/>
    <w:rsid w:val="00D83E94"/>
    <w:rsid w:val="00D841EA"/>
    <w:rsid w:val="00D84247"/>
    <w:rsid w:val="00D842EF"/>
    <w:rsid w:val="00D843D7"/>
    <w:rsid w:val="00D844F4"/>
    <w:rsid w:val="00D84A8B"/>
    <w:rsid w:val="00D84EFC"/>
    <w:rsid w:val="00D84F01"/>
    <w:rsid w:val="00D8505E"/>
    <w:rsid w:val="00D85163"/>
    <w:rsid w:val="00D8533E"/>
    <w:rsid w:val="00D85347"/>
    <w:rsid w:val="00D85399"/>
    <w:rsid w:val="00D85439"/>
    <w:rsid w:val="00D85466"/>
    <w:rsid w:val="00D85A77"/>
    <w:rsid w:val="00D85C9B"/>
    <w:rsid w:val="00D85E7B"/>
    <w:rsid w:val="00D85F51"/>
    <w:rsid w:val="00D860BF"/>
    <w:rsid w:val="00D87228"/>
    <w:rsid w:val="00D8740C"/>
    <w:rsid w:val="00D8743F"/>
    <w:rsid w:val="00D87573"/>
    <w:rsid w:val="00D87C00"/>
    <w:rsid w:val="00D87DAC"/>
    <w:rsid w:val="00D87E34"/>
    <w:rsid w:val="00D900EC"/>
    <w:rsid w:val="00D9049A"/>
    <w:rsid w:val="00D90849"/>
    <w:rsid w:val="00D9085A"/>
    <w:rsid w:val="00D9089F"/>
    <w:rsid w:val="00D908BD"/>
    <w:rsid w:val="00D90A89"/>
    <w:rsid w:val="00D90C3A"/>
    <w:rsid w:val="00D90D37"/>
    <w:rsid w:val="00D91056"/>
    <w:rsid w:val="00D915C3"/>
    <w:rsid w:val="00D91ADB"/>
    <w:rsid w:val="00D91E3A"/>
    <w:rsid w:val="00D91F98"/>
    <w:rsid w:val="00D92147"/>
    <w:rsid w:val="00D9233D"/>
    <w:rsid w:val="00D92C24"/>
    <w:rsid w:val="00D92DF2"/>
    <w:rsid w:val="00D934B6"/>
    <w:rsid w:val="00D934F5"/>
    <w:rsid w:val="00D938FA"/>
    <w:rsid w:val="00D939C2"/>
    <w:rsid w:val="00D93A1D"/>
    <w:rsid w:val="00D93BE0"/>
    <w:rsid w:val="00D93C45"/>
    <w:rsid w:val="00D93D05"/>
    <w:rsid w:val="00D94176"/>
    <w:rsid w:val="00D9422B"/>
    <w:rsid w:val="00D94433"/>
    <w:rsid w:val="00D944FD"/>
    <w:rsid w:val="00D9456E"/>
    <w:rsid w:val="00D94855"/>
    <w:rsid w:val="00D94AA5"/>
    <w:rsid w:val="00D94F7A"/>
    <w:rsid w:val="00D95189"/>
    <w:rsid w:val="00D95645"/>
    <w:rsid w:val="00D95931"/>
    <w:rsid w:val="00D959CE"/>
    <w:rsid w:val="00D95C2B"/>
    <w:rsid w:val="00D95E72"/>
    <w:rsid w:val="00D95EC7"/>
    <w:rsid w:val="00D96020"/>
    <w:rsid w:val="00D96316"/>
    <w:rsid w:val="00D963BD"/>
    <w:rsid w:val="00D96541"/>
    <w:rsid w:val="00D965CB"/>
    <w:rsid w:val="00D96737"/>
    <w:rsid w:val="00D96A35"/>
    <w:rsid w:val="00D96AC9"/>
    <w:rsid w:val="00D96BF2"/>
    <w:rsid w:val="00D96CEE"/>
    <w:rsid w:val="00D96D43"/>
    <w:rsid w:val="00D96E0F"/>
    <w:rsid w:val="00D96E51"/>
    <w:rsid w:val="00D96EB7"/>
    <w:rsid w:val="00D97086"/>
    <w:rsid w:val="00D970F7"/>
    <w:rsid w:val="00D9768A"/>
    <w:rsid w:val="00D9770B"/>
    <w:rsid w:val="00D97795"/>
    <w:rsid w:val="00D9792B"/>
    <w:rsid w:val="00D9796D"/>
    <w:rsid w:val="00D97A76"/>
    <w:rsid w:val="00D97D13"/>
    <w:rsid w:val="00D97D52"/>
    <w:rsid w:val="00D97D91"/>
    <w:rsid w:val="00DA0027"/>
    <w:rsid w:val="00DA00B4"/>
    <w:rsid w:val="00DA0270"/>
    <w:rsid w:val="00DA027A"/>
    <w:rsid w:val="00DA0961"/>
    <w:rsid w:val="00DA09D1"/>
    <w:rsid w:val="00DA0D1D"/>
    <w:rsid w:val="00DA0E37"/>
    <w:rsid w:val="00DA0FA5"/>
    <w:rsid w:val="00DA111B"/>
    <w:rsid w:val="00DA119E"/>
    <w:rsid w:val="00DA1607"/>
    <w:rsid w:val="00DA166F"/>
    <w:rsid w:val="00DA167E"/>
    <w:rsid w:val="00DA186A"/>
    <w:rsid w:val="00DA18D8"/>
    <w:rsid w:val="00DA1AB4"/>
    <w:rsid w:val="00DA1C0A"/>
    <w:rsid w:val="00DA1C6C"/>
    <w:rsid w:val="00DA1DC1"/>
    <w:rsid w:val="00DA219E"/>
    <w:rsid w:val="00DA241A"/>
    <w:rsid w:val="00DA24C6"/>
    <w:rsid w:val="00DA25CD"/>
    <w:rsid w:val="00DA283A"/>
    <w:rsid w:val="00DA2C07"/>
    <w:rsid w:val="00DA2D0F"/>
    <w:rsid w:val="00DA30F5"/>
    <w:rsid w:val="00DA3130"/>
    <w:rsid w:val="00DA35B0"/>
    <w:rsid w:val="00DA3627"/>
    <w:rsid w:val="00DA3B63"/>
    <w:rsid w:val="00DA3C72"/>
    <w:rsid w:val="00DA3C93"/>
    <w:rsid w:val="00DA3CC9"/>
    <w:rsid w:val="00DA3ED6"/>
    <w:rsid w:val="00DA4038"/>
    <w:rsid w:val="00DA40E4"/>
    <w:rsid w:val="00DA424C"/>
    <w:rsid w:val="00DA440F"/>
    <w:rsid w:val="00DA4A5B"/>
    <w:rsid w:val="00DA4AD4"/>
    <w:rsid w:val="00DA4B89"/>
    <w:rsid w:val="00DA4BEA"/>
    <w:rsid w:val="00DA4D50"/>
    <w:rsid w:val="00DA4EAF"/>
    <w:rsid w:val="00DA5150"/>
    <w:rsid w:val="00DA5152"/>
    <w:rsid w:val="00DA525B"/>
    <w:rsid w:val="00DA5293"/>
    <w:rsid w:val="00DA5C80"/>
    <w:rsid w:val="00DA5E97"/>
    <w:rsid w:val="00DA62AA"/>
    <w:rsid w:val="00DA62BA"/>
    <w:rsid w:val="00DA64C6"/>
    <w:rsid w:val="00DA64CE"/>
    <w:rsid w:val="00DA65C7"/>
    <w:rsid w:val="00DA66D3"/>
    <w:rsid w:val="00DA6A2E"/>
    <w:rsid w:val="00DA6D52"/>
    <w:rsid w:val="00DA6F14"/>
    <w:rsid w:val="00DA7142"/>
    <w:rsid w:val="00DA718E"/>
    <w:rsid w:val="00DA7735"/>
    <w:rsid w:val="00DA7781"/>
    <w:rsid w:val="00DA7DCA"/>
    <w:rsid w:val="00DA7E18"/>
    <w:rsid w:val="00DB001F"/>
    <w:rsid w:val="00DB00E9"/>
    <w:rsid w:val="00DB0104"/>
    <w:rsid w:val="00DB0946"/>
    <w:rsid w:val="00DB0A5D"/>
    <w:rsid w:val="00DB0A7F"/>
    <w:rsid w:val="00DB0E6D"/>
    <w:rsid w:val="00DB101D"/>
    <w:rsid w:val="00DB18ED"/>
    <w:rsid w:val="00DB18EE"/>
    <w:rsid w:val="00DB19E1"/>
    <w:rsid w:val="00DB1B5C"/>
    <w:rsid w:val="00DB1CAC"/>
    <w:rsid w:val="00DB1DB1"/>
    <w:rsid w:val="00DB1DC6"/>
    <w:rsid w:val="00DB1E53"/>
    <w:rsid w:val="00DB1FC1"/>
    <w:rsid w:val="00DB1FF6"/>
    <w:rsid w:val="00DB2154"/>
    <w:rsid w:val="00DB2284"/>
    <w:rsid w:val="00DB231A"/>
    <w:rsid w:val="00DB275E"/>
    <w:rsid w:val="00DB2775"/>
    <w:rsid w:val="00DB28AC"/>
    <w:rsid w:val="00DB2986"/>
    <w:rsid w:val="00DB2ABE"/>
    <w:rsid w:val="00DB2C40"/>
    <w:rsid w:val="00DB2E05"/>
    <w:rsid w:val="00DB2F2A"/>
    <w:rsid w:val="00DB30A4"/>
    <w:rsid w:val="00DB340A"/>
    <w:rsid w:val="00DB35E6"/>
    <w:rsid w:val="00DB3798"/>
    <w:rsid w:val="00DB39A1"/>
    <w:rsid w:val="00DB39F1"/>
    <w:rsid w:val="00DB3B0A"/>
    <w:rsid w:val="00DB3C2F"/>
    <w:rsid w:val="00DB3D00"/>
    <w:rsid w:val="00DB4089"/>
    <w:rsid w:val="00DB415C"/>
    <w:rsid w:val="00DB4558"/>
    <w:rsid w:val="00DB46EB"/>
    <w:rsid w:val="00DB476A"/>
    <w:rsid w:val="00DB4CA9"/>
    <w:rsid w:val="00DB4CF5"/>
    <w:rsid w:val="00DB4D79"/>
    <w:rsid w:val="00DB50CF"/>
    <w:rsid w:val="00DB5349"/>
    <w:rsid w:val="00DB537E"/>
    <w:rsid w:val="00DB53BA"/>
    <w:rsid w:val="00DB542F"/>
    <w:rsid w:val="00DB5705"/>
    <w:rsid w:val="00DB5783"/>
    <w:rsid w:val="00DB59B4"/>
    <w:rsid w:val="00DB5BA7"/>
    <w:rsid w:val="00DB5CDC"/>
    <w:rsid w:val="00DB5E91"/>
    <w:rsid w:val="00DB5F11"/>
    <w:rsid w:val="00DB5F25"/>
    <w:rsid w:val="00DB60AB"/>
    <w:rsid w:val="00DB6183"/>
    <w:rsid w:val="00DB67AF"/>
    <w:rsid w:val="00DB683B"/>
    <w:rsid w:val="00DB6DAD"/>
    <w:rsid w:val="00DB7096"/>
    <w:rsid w:val="00DB7D84"/>
    <w:rsid w:val="00DB7E0F"/>
    <w:rsid w:val="00DB7F88"/>
    <w:rsid w:val="00DC04B2"/>
    <w:rsid w:val="00DC04D8"/>
    <w:rsid w:val="00DC04FA"/>
    <w:rsid w:val="00DC086D"/>
    <w:rsid w:val="00DC0AD5"/>
    <w:rsid w:val="00DC0DBA"/>
    <w:rsid w:val="00DC0EA6"/>
    <w:rsid w:val="00DC10C5"/>
    <w:rsid w:val="00DC1162"/>
    <w:rsid w:val="00DC157E"/>
    <w:rsid w:val="00DC16F4"/>
    <w:rsid w:val="00DC18DB"/>
    <w:rsid w:val="00DC18E0"/>
    <w:rsid w:val="00DC1D00"/>
    <w:rsid w:val="00DC1E56"/>
    <w:rsid w:val="00DC26A3"/>
    <w:rsid w:val="00DC26AA"/>
    <w:rsid w:val="00DC2813"/>
    <w:rsid w:val="00DC2C01"/>
    <w:rsid w:val="00DC2DFC"/>
    <w:rsid w:val="00DC2E34"/>
    <w:rsid w:val="00DC2F06"/>
    <w:rsid w:val="00DC32A4"/>
    <w:rsid w:val="00DC331E"/>
    <w:rsid w:val="00DC3376"/>
    <w:rsid w:val="00DC35BB"/>
    <w:rsid w:val="00DC362B"/>
    <w:rsid w:val="00DC3812"/>
    <w:rsid w:val="00DC3ABA"/>
    <w:rsid w:val="00DC3C3E"/>
    <w:rsid w:val="00DC3CB9"/>
    <w:rsid w:val="00DC3EF0"/>
    <w:rsid w:val="00DC3F5B"/>
    <w:rsid w:val="00DC3FDC"/>
    <w:rsid w:val="00DC43F3"/>
    <w:rsid w:val="00DC451D"/>
    <w:rsid w:val="00DC45B0"/>
    <w:rsid w:val="00DC48A4"/>
    <w:rsid w:val="00DC48E2"/>
    <w:rsid w:val="00DC4958"/>
    <w:rsid w:val="00DC4EBB"/>
    <w:rsid w:val="00DC50AA"/>
    <w:rsid w:val="00DC5466"/>
    <w:rsid w:val="00DC5A10"/>
    <w:rsid w:val="00DC5B61"/>
    <w:rsid w:val="00DC5B90"/>
    <w:rsid w:val="00DC5D71"/>
    <w:rsid w:val="00DC5EDB"/>
    <w:rsid w:val="00DC5EF1"/>
    <w:rsid w:val="00DC61B5"/>
    <w:rsid w:val="00DC6294"/>
    <w:rsid w:val="00DC6485"/>
    <w:rsid w:val="00DC651E"/>
    <w:rsid w:val="00DC69DC"/>
    <w:rsid w:val="00DC6A17"/>
    <w:rsid w:val="00DC6AF8"/>
    <w:rsid w:val="00DC7143"/>
    <w:rsid w:val="00DC723C"/>
    <w:rsid w:val="00DC72E8"/>
    <w:rsid w:val="00DC7304"/>
    <w:rsid w:val="00DC762A"/>
    <w:rsid w:val="00DC7678"/>
    <w:rsid w:val="00DC7815"/>
    <w:rsid w:val="00DC7C31"/>
    <w:rsid w:val="00DD00C7"/>
    <w:rsid w:val="00DD00F0"/>
    <w:rsid w:val="00DD0156"/>
    <w:rsid w:val="00DD04D8"/>
    <w:rsid w:val="00DD0A19"/>
    <w:rsid w:val="00DD0A64"/>
    <w:rsid w:val="00DD0DB5"/>
    <w:rsid w:val="00DD0F3A"/>
    <w:rsid w:val="00DD10D0"/>
    <w:rsid w:val="00DD16B6"/>
    <w:rsid w:val="00DD1C58"/>
    <w:rsid w:val="00DD1DD2"/>
    <w:rsid w:val="00DD1DE7"/>
    <w:rsid w:val="00DD2B74"/>
    <w:rsid w:val="00DD2BA5"/>
    <w:rsid w:val="00DD2CA7"/>
    <w:rsid w:val="00DD2D4A"/>
    <w:rsid w:val="00DD2EB1"/>
    <w:rsid w:val="00DD2FA4"/>
    <w:rsid w:val="00DD2FCC"/>
    <w:rsid w:val="00DD334F"/>
    <w:rsid w:val="00DD37C6"/>
    <w:rsid w:val="00DD38C1"/>
    <w:rsid w:val="00DD3C0D"/>
    <w:rsid w:val="00DD3D92"/>
    <w:rsid w:val="00DD3D9A"/>
    <w:rsid w:val="00DD3EA0"/>
    <w:rsid w:val="00DD415F"/>
    <w:rsid w:val="00DD41AE"/>
    <w:rsid w:val="00DD41CF"/>
    <w:rsid w:val="00DD421A"/>
    <w:rsid w:val="00DD42AD"/>
    <w:rsid w:val="00DD4314"/>
    <w:rsid w:val="00DD4C9E"/>
    <w:rsid w:val="00DD4E6F"/>
    <w:rsid w:val="00DD4E98"/>
    <w:rsid w:val="00DD5134"/>
    <w:rsid w:val="00DD523F"/>
    <w:rsid w:val="00DD52AD"/>
    <w:rsid w:val="00DD531E"/>
    <w:rsid w:val="00DD5779"/>
    <w:rsid w:val="00DD5820"/>
    <w:rsid w:val="00DD5B41"/>
    <w:rsid w:val="00DD5D48"/>
    <w:rsid w:val="00DD5E24"/>
    <w:rsid w:val="00DD5F6A"/>
    <w:rsid w:val="00DD614C"/>
    <w:rsid w:val="00DD6218"/>
    <w:rsid w:val="00DD6243"/>
    <w:rsid w:val="00DD6307"/>
    <w:rsid w:val="00DD6312"/>
    <w:rsid w:val="00DD658F"/>
    <w:rsid w:val="00DD69CE"/>
    <w:rsid w:val="00DD6C53"/>
    <w:rsid w:val="00DD6F51"/>
    <w:rsid w:val="00DD71F1"/>
    <w:rsid w:val="00DD796B"/>
    <w:rsid w:val="00DD7CEA"/>
    <w:rsid w:val="00DD7F4A"/>
    <w:rsid w:val="00DE00AC"/>
    <w:rsid w:val="00DE086E"/>
    <w:rsid w:val="00DE094E"/>
    <w:rsid w:val="00DE0D85"/>
    <w:rsid w:val="00DE0E1D"/>
    <w:rsid w:val="00DE0EDD"/>
    <w:rsid w:val="00DE0F7D"/>
    <w:rsid w:val="00DE10E0"/>
    <w:rsid w:val="00DE1410"/>
    <w:rsid w:val="00DE1A3C"/>
    <w:rsid w:val="00DE231F"/>
    <w:rsid w:val="00DE2395"/>
    <w:rsid w:val="00DE2488"/>
    <w:rsid w:val="00DE2584"/>
    <w:rsid w:val="00DE2594"/>
    <w:rsid w:val="00DE2838"/>
    <w:rsid w:val="00DE2922"/>
    <w:rsid w:val="00DE29E3"/>
    <w:rsid w:val="00DE3031"/>
    <w:rsid w:val="00DE3304"/>
    <w:rsid w:val="00DE338E"/>
    <w:rsid w:val="00DE3551"/>
    <w:rsid w:val="00DE36D8"/>
    <w:rsid w:val="00DE37D2"/>
    <w:rsid w:val="00DE38D8"/>
    <w:rsid w:val="00DE3D44"/>
    <w:rsid w:val="00DE3D8D"/>
    <w:rsid w:val="00DE3E24"/>
    <w:rsid w:val="00DE409D"/>
    <w:rsid w:val="00DE40B3"/>
    <w:rsid w:val="00DE442A"/>
    <w:rsid w:val="00DE495C"/>
    <w:rsid w:val="00DE49E9"/>
    <w:rsid w:val="00DE49FF"/>
    <w:rsid w:val="00DE4D56"/>
    <w:rsid w:val="00DE4DAA"/>
    <w:rsid w:val="00DE5125"/>
    <w:rsid w:val="00DE5548"/>
    <w:rsid w:val="00DE55E6"/>
    <w:rsid w:val="00DE58CD"/>
    <w:rsid w:val="00DE6488"/>
    <w:rsid w:val="00DE64F1"/>
    <w:rsid w:val="00DE6658"/>
    <w:rsid w:val="00DE6A5B"/>
    <w:rsid w:val="00DE6E13"/>
    <w:rsid w:val="00DE6E15"/>
    <w:rsid w:val="00DE6E9F"/>
    <w:rsid w:val="00DE71C7"/>
    <w:rsid w:val="00DE7439"/>
    <w:rsid w:val="00DE7921"/>
    <w:rsid w:val="00DE7FCC"/>
    <w:rsid w:val="00DF0009"/>
    <w:rsid w:val="00DF01E5"/>
    <w:rsid w:val="00DF06C9"/>
    <w:rsid w:val="00DF07EA"/>
    <w:rsid w:val="00DF08AE"/>
    <w:rsid w:val="00DF08CF"/>
    <w:rsid w:val="00DF0A0B"/>
    <w:rsid w:val="00DF0F81"/>
    <w:rsid w:val="00DF12C4"/>
    <w:rsid w:val="00DF141D"/>
    <w:rsid w:val="00DF1555"/>
    <w:rsid w:val="00DF17CC"/>
    <w:rsid w:val="00DF1802"/>
    <w:rsid w:val="00DF1A24"/>
    <w:rsid w:val="00DF1A46"/>
    <w:rsid w:val="00DF21EF"/>
    <w:rsid w:val="00DF21F3"/>
    <w:rsid w:val="00DF224F"/>
    <w:rsid w:val="00DF2577"/>
    <w:rsid w:val="00DF28C0"/>
    <w:rsid w:val="00DF2A3A"/>
    <w:rsid w:val="00DF2ADC"/>
    <w:rsid w:val="00DF2B42"/>
    <w:rsid w:val="00DF2C86"/>
    <w:rsid w:val="00DF307A"/>
    <w:rsid w:val="00DF315A"/>
    <w:rsid w:val="00DF3288"/>
    <w:rsid w:val="00DF331D"/>
    <w:rsid w:val="00DF3660"/>
    <w:rsid w:val="00DF3698"/>
    <w:rsid w:val="00DF36A0"/>
    <w:rsid w:val="00DF38B9"/>
    <w:rsid w:val="00DF3B29"/>
    <w:rsid w:val="00DF3C07"/>
    <w:rsid w:val="00DF3D42"/>
    <w:rsid w:val="00DF3DCD"/>
    <w:rsid w:val="00DF3E31"/>
    <w:rsid w:val="00DF3E3A"/>
    <w:rsid w:val="00DF4078"/>
    <w:rsid w:val="00DF416B"/>
    <w:rsid w:val="00DF4388"/>
    <w:rsid w:val="00DF44CF"/>
    <w:rsid w:val="00DF455E"/>
    <w:rsid w:val="00DF456A"/>
    <w:rsid w:val="00DF4675"/>
    <w:rsid w:val="00DF476B"/>
    <w:rsid w:val="00DF48C9"/>
    <w:rsid w:val="00DF4993"/>
    <w:rsid w:val="00DF49F8"/>
    <w:rsid w:val="00DF4C63"/>
    <w:rsid w:val="00DF4FDB"/>
    <w:rsid w:val="00DF4FF8"/>
    <w:rsid w:val="00DF51A7"/>
    <w:rsid w:val="00DF5258"/>
    <w:rsid w:val="00DF538F"/>
    <w:rsid w:val="00DF55A3"/>
    <w:rsid w:val="00DF6013"/>
    <w:rsid w:val="00DF605B"/>
    <w:rsid w:val="00DF6073"/>
    <w:rsid w:val="00DF60CA"/>
    <w:rsid w:val="00DF60ED"/>
    <w:rsid w:val="00DF6120"/>
    <w:rsid w:val="00DF61B5"/>
    <w:rsid w:val="00DF6272"/>
    <w:rsid w:val="00DF649D"/>
    <w:rsid w:val="00DF6776"/>
    <w:rsid w:val="00DF6804"/>
    <w:rsid w:val="00DF68AA"/>
    <w:rsid w:val="00DF6C66"/>
    <w:rsid w:val="00DF6E61"/>
    <w:rsid w:val="00DF6EC0"/>
    <w:rsid w:val="00DF7080"/>
    <w:rsid w:val="00DF7247"/>
    <w:rsid w:val="00DF72AD"/>
    <w:rsid w:val="00DF72D3"/>
    <w:rsid w:val="00DF7348"/>
    <w:rsid w:val="00DF7716"/>
    <w:rsid w:val="00DF77DB"/>
    <w:rsid w:val="00DF7803"/>
    <w:rsid w:val="00DF7858"/>
    <w:rsid w:val="00DF7C50"/>
    <w:rsid w:val="00DF7D40"/>
    <w:rsid w:val="00DF7DAC"/>
    <w:rsid w:val="00E00000"/>
    <w:rsid w:val="00E0021D"/>
    <w:rsid w:val="00E0038B"/>
    <w:rsid w:val="00E0043A"/>
    <w:rsid w:val="00E00624"/>
    <w:rsid w:val="00E00DA9"/>
    <w:rsid w:val="00E00EDD"/>
    <w:rsid w:val="00E0177E"/>
    <w:rsid w:val="00E01787"/>
    <w:rsid w:val="00E018AA"/>
    <w:rsid w:val="00E0191A"/>
    <w:rsid w:val="00E019B9"/>
    <w:rsid w:val="00E01ACE"/>
    <w:rsid w:val="00E01D40"/>
    <w:rsid w:val="00E02625"/>
    <w:rsid w:val="00E02639"/>
    <w:rsid w:val="00E02DA9"/>
    <w:rsid w:val="00E02DEB"/>
    <w:rsid w:val="00E0303C"/>
    <w:rsid w:val="00E031DF"/>
    <w:rsid w:val="00E03216"/>
    <w:rsid w:val="00E03391"/>
    <w:rsid w:val="00E0378D"/>
    <w:rsid w:val="00E03835"/>
    <w:rsid w:val="00E03929"/>
    <w:rsid w:val="00E03A73"/>
    <w:rsid w:val="00E03EE0"/>
    <w:rsid w:val="00E042EC"/>
    <w:rsid w:val="00E044E7"/>
    <w:rsid w:val="00E044EE"/>
    <w:rsid w:val="00E0460D"/>
    <w:rsid w:val="00E04628"/>
    <w:rsid w:val="00E0473F"/>
    <w:rsid w:val="00E04C8E"/>
    <w:rsid w:val="00E04D3E"/>
    <w:rsid w:val="00E04E05"/>
    <w:rsid w:val="00E0547C"/>
    <w:rsid w:val="00E05672"/>
    <w:rsid w:val="00E056E9"/>
    <w:rsid w:val="00E0574E"/>
    <w:rsid w:val="00E05C81"/>
    <w:rsid w:val="00E05DA9"/>
    <w:rsid w:val="00E06635"/>
    <w:rsid w:val="00E067C2"/>
    <w:rsid w:val="00E0680B"/>
    <w:rsid w:val="00E0680C"/>
    <w:rsid w:val="00E069D6"/>
    <w:rsid w:val="00E06A2A"/>
    <w:rsid w:val="00E06FFB"/>
    <w:rsid w:val="00E07020"/>
    <w:rsid w:val="00E07111"/>
    <w:rsid w:val="00E07195"/>
    <w:rsid w:val="00E074EF"/>
    <w:rsid w:val="00E076B5"/>
    <w:rsid w:val="00E078DE"/>
    <w:rsid w:val="00E07A75"/>
    <w:rsid w:val="00E07C65"/>
    <w:rsid w:val="00E07D82"/>
    <w:rsid w:val="00E07F6B"/>
    <w:rsid w:val="00E07F96"/>
    <w:rsid w:val="00E10001"/>
    <w:rsid w:val="00E10427"/>
    <w:rsid w:val="00E106A1"/>
    <w:rsid w:val="00E106FF"/>
    <w:rsid w:val="00E1076A"/>
    <w:rsid w:val="00E1088D"/>
    <w:rsid w:val="00E10999"/>
    <w:rsid w:val="00E10A88"/>
    <w:rsid w:val="00E10B76"/>
    <w:rsid w:val="00E10D7D"/>
    <w:rsid w:val="00E11084"/>
    <w:rsid w:val="00E111A4"/>
    <w:rsid w:val="00E11263"/>
    <w:rsid w:val="00E112E0"/>
    <w:rsid w:val="00E1178E"/>
    <w:rsid w:val="00E117E5"/>
    <w:rsid w:val="00E11946"/>
    <w:rsid w:val="00E11988"/>
    <w:rsid w:val="00E11A8D"/>
    <w:rsid w:val="00E11B9D"/>
    <w:rsid w:val="00E120CE"/>
    <w:rsid w:val="00E121E9"/>
    <w:rsid w:val="00E1229C"/>
    <w:rsid w:val="00E12723"/>
    <w:rsid w:val="00E128C9"/>
    <w:rsid w:val="00E12F3E"/>
    <w:rsid w:val="00E130B6"/>
    <w:rsid w:val="00E1315A"/>
    <w:rsid w:val="00E13295"/>
    <w:rsid w:val="00E1332B"/>
    <w:rsid w:val="00E133C4"/>
    <w:rsid w:val="00E134DD"/>
    <w:rsid w:val="00E13A59"/>
    <w:rsid w:val="00E13CBC"/>
    <w:rsid w:val="00E13CEA"/>
    <w:rsid w:val="00E14074"/>
    <w:rsid w:val="00E14244"/>
    <w:rsid w:val="00E142B1"/>
    <w:rsid w:val="00E142C4"/>
    <w:rsid w:val="00E143B9"/>
    <w:rsid w:val="00E1449A"/>
    <w:rsid w:val="00E1465A"/>
    <w:rsid w:val="00E14AB6"/>
    <w:rsid w:val="00E14BE2"/>
    <w:rsid w:val="00E14C35"/>
    <w:rsid w:val="00E15526"/>
    <w:rsid w:val="00E15527"/>
    <w:rsid w:val="00E155BF"/>
    <w:rsid w:val="00E156ED"/>
    <w:rsid w:val="00E159A4"/>
    <w:rsid w:val="00E15C1A"/>
    <w:rsid w:val="00E15C5F"/>
    <w:rsid w:val="00E15CC7"/>
    <w:rsid w:val="00E15EAB"/>
    <w:rsid w:val="00E15FB7"/>
    <w:rsid w:val="00E15FC9"/>
    <w:rsid w:val="00E16103"/>
    <w:rsid w:val="00E161CE"/>
    <w:rsid w:val="00E16211"/>
    <w:rsid w:val="00E167A5"/>
    <w:rsid w:val="00E167E2"/>
    <w:rsid w:val="00E16AE5"/>
    <w:rsid w:val="00E16C21"/>
    <w:rsid w:val="00E16E02"/>
    <w:rsid w:val="00E1715B"/>
    <w:rsid w:val="00E17374"/>
    <w:rsid w:val="00E173CC"/>
    <w:rsid w:val="00E17458"/>
    <w:rsid w:val="00E1765B"/>
    <w:rsid w:val="00E17672"/>
    <w:rsid w:val="00E17B3F"/>
    <w:rsid w:val="00E17B42"/>
    <w:rsid w:val="00E17C0D"/>
    <w:rsid w:val="00E17D44"/>
    <w:rsid w:val="00E17F36"/>
    <w:rsid w:val="00E200C2"/>
    <w:rsid w:val="00E201BE"/>
    <w:rsid w:val="00E206A9"/>
    <w:rsid w:val="00E20B3E"/>
    <w:rsid w:val="00E20B74"/>
    <w:rsid w:val="00E20B8C"/>
    <w:rsid w:val="00E20C3D"/>
    <w:rsid w:val="00E20E81"/>
    <w:rsid w:val="00E20F3D"/>
    <w:rsid w:val="00E20F8E"/>
    <w:rsid w:val="00E2112C"/>
    <w:rsid w:val="00E21585"/>
    <w:rsid w:val="00E216AB"/>
    <w:rsid w:val="00E21704"/>
    <w:rsid w:val="00E21808"/>
    <w:rsid w:val="00E21A74"/>
    <w:rsid w:val="00E21C08"/>
    <w:rsid w:val="00E21CE6"/>
    <w:rsid w:val="00E22048"/>
    <w:rsid w:val="00E22206"/>
    <w:rsid w:val="00E229F8"/>
    <w:rsid w:val="00E22ABF"/>
    <w:rsid w:val="00E22B0D"/>
    <w:rsid w:val="00E23121"/>
    <w:rsid w:val="00E233FB"/>
    <w:rsid w:val="00E23411"/>
    <w:rsid w:val="00E23724"/>
    <w:rsid w:val="00E23B87"/>
    <w:rsid w:val="00E23D5E"/>
    <w:rsid w:val="00E246DE"/>
    <w:rsid w:val="00E24A1E"/>
    <w:rsid w:val="00E24FE1"/>
    <w:rsid w:val="00E25248"/>
    <w:rsid w:val="00E25378"/>
    <w:rsid w:val="00E255CB"/>
    <w:rsid w:val="00E25924"/>
    <w:rsid w:val="00E25A13"/>
    <w:rsid w:val="00E25AA8"/>
    <w:rsid w:val="00E25E79"/>
    <w:rsid w:val="00E26024"/>
    <w:rsid w:val="00E265C2"/>
    <w:rsid w:val="00E26876"/>
    <w:rsid w:val="00E26936"/>
    <w:rsid w:val="00E26A13"/>
    <w:rsid w:val="00E26C02"/>
    <w:rsid w:val="00E26C91"/>
    <w:rsid w:val="00E26DE7"/>
    <w:rsid w:val="00E26DEA"/>
    <w:rsid w:val="00E27029"/>
    <w:rsid w:val="00E2717A"/>
    <w:rsid w:val="00E271B2"/>
    <w:rsid w:val="00E2738B"/>
    <w:rsid w:val="00E2744D"/>
    <w:rsid w:val="00E27575"/>
    <w:rsid w:val="00E275EA"/>
    <w:rsid w:val="00E27711"/>
    <w:rsid w:val="00E27A05"/>
    <w:rsid w:val="00E27B19"/>
    <w:rsid w:val="00E27CDB"/>
    <w:rsid w:val="00E27F41"/>
    <w:rsid w:val="00E300D7"/>
    <w:rsid w:val="00E30425"/>
    <w:rsid w:val="00E306BE"/>
    <w:rsid w:val="00E307F1"/>
    <w:rsid w:val="00E3080A"/>
    <w:rsid w:val="00E30931"/>
    <w:rsid w:val="00E30CF3"/>
    <w:rsid w:val="00E30F70"/>
    <w:rsid w:val="00E31155"/>
    <w:rsid w:val="00E31597"/>
    <w:rsid w:val="00E31599"/>
    <w:rsid w:val="00E319CD"/>
    <w:rsid w:val="00E31A30"/>
    <w:rsid w:val="00E31E7A"/>
    <w:rsid w:val="00E31F3E"/>
    <w:rsid w:val="00E3213B"/>
    <w:rsid w:val="00E321B7"/>
    <w:rsid w:val="00E32242"/>
    <w:rsid w:val="00E3243C"/>
    <w:rsid w:val="00E325B0"/>
    <w:rsid w:val="00E326EE"/>
    <w:rsid w:val="00E32A23"/>
    <w:rsid w:val="00E32BA4"/>
    <w:rsid w:val="00E32D9C"/>
    <w:rsid w:val="00E32E64"/>
    <w:rsid w:val="00E32F49"/>
    <w:rsid w:val="00E33251"/>
    <w:rsid w:val="00E33300"/>
    <w:rsid w:val="00E333D1"/>
    <w:rsid w:val="00E334A9"/>
    <w:rsid w:val="00E33B98"/>
    <w:rsid w:val="00E33EBC"/>
    <w:rsid w:val="00E3403C"/>
    <w:rsid w:val="00E34304"/>
    <w:rsid w:val="00E34309"/>
    <w:rsid w:val="00E34520"/>
    <w:rsid w:val="00E3471B"/>
    <w:rsid w:val="00E3472D"/>
    <w:rsid w:val="00E34E40"/>
    <w:rsid w:val="00E34E87"/>
    <w:rsid w:val="00E34F70"/>
    <w:rsid w:val="00E350DD"/>
    <w:rsid w:val="00E356D0"/>
    <w:rsid w:val="00E356FC"/>
    <w:rsid w:val="00E35995"/>
    <w:rsid w:val="00E359B9"/>
    <w:rsid w:val="00E35EF1"/>
    <w:rsid w:val="00E36051"/>
    <w:rsid w:val="00E36136"/>
    <w:rsid w:val="00E363A3"/>
    <w:rsid w:val="00E3655E"/>
    <w:rsid w:val="00E368CB"/>
    <w:rsid w:val="00E36BFD"/>
    <w:rsid w:val="00E36DA4"/>
    <w:rsid w:val="00E36DF6"/>
    <w:rsid w:val="00E36E59"/>
    <w:rsid w:val="00E37167"/>
    <w:rsid w:val="00E37362"/>
    <w:rsid w:val="00E37453"/>
    <w:rsid w:val="00E375F8"/>
    <w:rsid w:val="00E376C0"/>
    <w:rsid w:val="00E378CF"/>
    <w:rsid w:val="00E37B51"/>
    <w:rsid w:val="00E4007E"/>
    <w:rsid w:val="00E400AA"/>
    <w:rsid w:val="00E402E3"/>
    <w:rsid w:val="00E403F0"/>
    <w:rsid w:val="00E40887"/>
    <w:rsid w:val="00E40AF0"/>
    <w:rsid w:val="00E40BD5"/>
    <w:rsid w:val="00E40D74"/>
    <w:rsid w:val="00E40DAD"/>
    <w:rsid w:val="00E40FB3"/>
    <w:rsid w:val="00E410D7"/>
    <w:rsid w:val="00E4112A"/>
    <w:rsid w:val="00E4119A"/>
    <w:rsid w:val="00E411D9"/>
    <w:rsid w:val="00E412FF"/>
    <w:rsid w:val="00E4151C"/>
    <w:rsid w:val="00E4164A"/>
    <w:rsid w:val="00E417CE"/>
    <w:rsid w:val="00E41A1D"/>
    <w:rsid w:val="00E41B25"/>
    <w:rsid w:val="00E41ED6"/>
    <w:rsid w:val="00E42100"/>
    <w:rsid w:val="00E42247"/>
    <w:rsid w:val="00E42264"/>
    <w:rsid w:val="00E42319"/>
    <w:rsid w:val="00E423BA"/>
    <w:rsid w:val="00E42988"/>
    <w:rsid w:val="00E42A05"/>
    <w:rsid w:val="00E42AB6"/>
    <w:rsid w:val="00E42B86"/>
    <w:rsid w:val="00E42BC5"/>
    <w:rsid w:val="00E42CC6"/>
    <w:rsid w:val="00E42D2A"/>
    <w:rsid w:val="00E42E41"/>
    <w:rsid w:val="00E43115"/>
    <w:rsid w:val="00E4311B"/>
    <w:rsid w:val="00E432F5"/>
    <w:rsid w:val="00E4332B"/>
    <w:rsid w:val="00E43413"/>
    <w:rsid w:val="00E4350C"/>
    <w:rsid w:val="00E43AD9"/>
    <w:rsid w:val="00E43C52"/>
    <w:rsid w:val="00E43D00"/>
    <w:rsid w:val="00E43E40"/>
    <w:rsid w:val="00E43F26"/>
    <w:rsid w:val="00E440C6"/>
    <w:rsid w:val="00E44155"/>
    <w:rsid w:val="00E44247"/>
    <w:rsid w:val="00E4427C"/>
    <w:rsid w:val="00E44318"/>
    <w:rsid w:val="00E444E1"/>
    <w:rsid w:val="00E44770"/>
    <w:rsid w:val="00E44789"/>
    <w:rsid w:val="00E44803"/>
    <w:rsid w:val="00E44AAE"/>
    <w:rsid w:val="00E44BCE"/>
    <w:rsid w:val="00E44C41"/>
    <w:rsid w:val="00E44C48"/>
    <w:rsid w:val="00E44D17"/>
    <w:rsid w:val="00E44EED"/>
    <w:rsid w:val="00E451B7"/>
    <w:rsid w:val="00E4578E"/>
    <w:rsid w:val="00E45822"/>
    <w:rsid w:val="00E45AFE"/>
    <w:rsid w:val="00E45B8D"/>
    <w:rsid w:val="00E45D90"/>
    <w:rsid w:val="00E45EEC"/>
    <w:rsid w:val="00E45F91"/>
    <w:rsid w:val="00E46201"/>
    <w:rsid w:val="00E46269"/>
    <w:rsid w:val="00E46D8F"/>
    <w:rsid w:val="00E46EB9"/>
    <w:rsid w:val="00E471E3"/>
    <w:rsid w:val="00E47876"/>
    <w:rsid w:val="00E47884"/>
    <w:rsid w:val="00E47B26"/>
    <w:rsid w:val="00E47C25"/>
    <w:rsid w:val="00E506E6"/>
    <w:rsid w:val="00E507EB"/>
    <w:rsid w:val="00E50872"/>
    <w:rsid w:val="00E5091F"/>
    <w:rsid w:val="00E50F7B"/>
    <w:rsid w:val="00E51396"/>
    <w:rsid w:val="00E51398"/>
    <w:rsid w:val="00E5146F"/>
    <w:rsid w:val="00E5153F"/>
    <w:rsid w:val="00E5158A"/>
    <w:rsid w:val="00E5160F"/>
    <w:rsid w:val="00E51ABF"/>
    <w:rsid w:val="00E51B38"/>
    <w:rsid w:val="00E51DC9"/>
    <w:rsid w:val="00E5207E"/>
    <w:rsid w:val="00E52373"/>
    <w:rsid w:val="00E5265A"/>
    <w:rsid w:val="00E5287C"/>
    <w:rsid w:val="00E52C9A"/>
    <w:rsid w:val="00E530B8"/>
    <w:rsid w:val="00E53269"/>
    <w:rsid w:val="00E5339A"/>
    <w:rsid w:val="00E53458"/>
    <w:rsid w:val="00E53645"/>
    <w:rsid w:val="00E53675"/>
    <w:rsid w:val="00E53880"/>
    <w:rsid w:val="00E53A27"/>
    <w:rsid w:val="00E53A5A"/>
    <w:rsid w:val="00E53B91"/>
    <w:rsid w:val="00E53BCD"/>
    <w:rsid w:val="00E53DF7"/>
    <w:rsid w:val="00E53F40"/>
    <w:rsid w:val="00E53FF7"/>
    <w:rsid w:val="00E541BD"/>
    <w:rsid w:val="00E544EE"/>
    <w:rsid w:val="00E546D1"/>
    <w:rsid w:val="00E54A42"/>
    <w:rsid w:val="00E54B17"/>
    <w:rsid w:val="00E54B1F"/>
    <w:rsid w:val="00E54B41"/>
    <w:rsid w:val="00E54C32"/>
    <w:rsid w:val="00E55029"/>
    <w:rsid w:val="00E55289"/>
    <w:rsid w:val="00E552B9"/>
    <w:rsid w:val="00E552BF"/>
    <w:rsid w:val="00E55346"/>
    <w:rsid w:val="00E55518"/>
    <w:rsid w:val="00E555FF"/>
    <w:rsid w:val="00E55620"/>
    <w:rsid w:val="00E5562C"/>
    <w:rsid w:val="00E55755"/>
    <w:rsid w:val="00E55B53"/>
    <w:rsid w:val="00E55B9C"/>
    <w:rsid w:val="00E562C9"/>
    <w:rsid w:val="00E5653C"/>
    <w:rsid w:val="00E5658D"/>
    <w:rsid w:val="00E56593"/>
    <w:rsid w:val="00E56AA8"/>
    <w:rsid w:val="00E56AD9"/>
    <w:rsid w:val="00E56BA9"/>
    <w:rsid w:val="00E56BEA"/>
    <w:rsid w:val="00E56EB0"/>
    <w:rsid w:val="00E56F14"/>
    <w:rsid w:val="00E5711D"/>
    <w:rsid w:val="00E57417"/>
    <w:rsid w:val="00E574C0"/>
    <w:rsid w:val="00E57574"/>
    <w:rsid w:val="00E5765E"/>
    <w:rsid w:val="00E57697"/>
    <w:rsid w:val="00E5771C"/>
    <w:rsid w:val="00E577C2"/>
    <w:rsid w:val="00E577DB"/>
    <w:rsid w:val="00E579B3"/>
    <w:rsid w:val="00E579DF"/>
    <w:rsid w:val="00E57EF5"/>
    <w:rsid w:val="00E57FE6"/>
    <w:rsid w:val="00E6001A"/>
    <w:rsid w:val="00E601F3"/>
    <w:rsid w:val="00E6028D"/>
    <w:rsid w:val="00E603CC"/>
    <w:rsid w:val="00E60462"/>
    <w:rsid w:val="00E60530"/>
    <w:rsid w:val="00E6068F"/>
    <w:rsid w:val="00E608C8"/>
    <w:rsid w:val="00E60B74"/>
    <w:rsid w:val="00E60B88"/>
    <w:rsid w:val="00E60D63"/>
    <w:rsid w:val="00E60E5C"/>
    <w:rsid w:val="00E60F84"/>
    <w:rsid w:val="00E6106F"/>
    <w:rsid w:val="00E611A5"/>
    <w:rsid w:val="00E611C8"/>
    <w:rsid w:val="00E6120E"/>
    <w:rsid w:val="00E613B8"/>
    <w:rsid w:val="00E614DB"/>
    <w:rsid w:val="00E6183F"/>
    <w:rsid w:val="00E618B2"/>
    <w:rsid w:val="00E61B86"/>
    <w:rsid w:val="00E61CD8"/>
    <w:rsid w:val="00E61F75"/>
    <w:rsid w:val="00E6200B"/>
    <w:rsid w:val="00E6235B"/>
    <w:rsid w:val="00E625E0"/>
    <w:rsid w:val="00E6278D"/>
    <w:rsid w:val="00E62B2F"/>
    <w:rsid w:val="00E62B88"/>
    <w:rsid w:val="00E62DD1"/>
    <w:rsid w:val="00E62DFB"/>
    <w:rsid w:val="00E62F88"/>
    <w:rsid w:val="00E632D0"/>
    <w:rsid w:val="00E632D8"/>
    <w:rsid w:val="00E632FD"/>
    <w:rsid w:val="00E634E0"/>
    <w:rsid w:val="00E63809"/>
    <w:rsid w:val="00E63856"/>
    <w:rsid w:val="00E638A7"/>
    <w:rsid w:val="00E6399D"/>
    <w:rsid w:val="00E63AB6"/>
    <w:rsid w:val="00E63DC0"/>
    <w:rsid w:val="00E63ED8"/>
    <w:rsid w:val="00E64087"/>
    <w:rsid w:val="00E64104"/>
    <w:rsid w:val="00E641EB"/>
    <w:rsid w:val="00E64318"/>
    <w:rsid w:val="00E645B4"/>
    <w:rsid w:val="00E64975"/>
    <w:rsid w:val="00E64AFD"/>
    <w:rsid w:val="00E64B59"/>
    <w:rsid w:val="00E64CC0"/>
    <w:rsid w:val="00E64ECA"/>
    <w:rsid w:val="00E6513A"/>
    <w:rsid w:val="00E656FD"/>
    <w:rsid w:val="00E65775"/>
    <w:rsid w:val="00E6643B"/>
    <w:rsid w:val="00E664E5"/>
    <w:rsid w:val="00E66546"/>
    <w:rsid w:val="00E6678C"/>
    <w:rsid w:val="00E667D1"/>
    <w:rsid w:val="00E6680B"/>
    <w:rsid w:val="00E66893"/>
    <w:rsid w:val="00E668CB"/>
    <w:rsid w:val="00E66927"/>
    <w:rsid w:val="00E66C9D"/>
    <w:rsid w:val="00E66ED9"/>
    <w:rsid w:val="00E66FE9"/>
    <w:rsid w:val="00E67090"/>
    <w:rsid w:val="00E672B9"/>
    <w:rsid w:val="00E673F3"/>
    <w:rsid w:val="00E67540"/>
    <w:rsid w:val="00E675DD"/>
    <w:rsid w:val="00E67BDE"/>
    <w:rsid w:val="00E7003F"/>
    <w:rsid w:val="00E70461"/>
    <w:rsid w:val="00E705C1"/>
    <w:rsid w:val="00E70646"/>
    <w:rsid w:val="00E70709"/>
    <w:rsid w:val="00E7070D"/>
    <w:rsid w:val="00E7079D"/>
    <w:rsid w:val="00E70AA4"/>
    <w:rsid w:val="00E70BF7"/>
    <w:rsid w:val="00E70CCE"/>
    <w:rsid w:val="00E70CED"/>
    <w:rsid w:val="00E70E44"/>
    <w:rsid w:val="00E71302"/>
    <w:rsid w:val="00E7148C"/>
    <w:rsid w:val="00E71543"/>
    <w:rsid w:val="00E715A8"/>
    <w:rsid w:val="00E716A0"/>
    <w:rsid w:val="00E71743"/>
    <w:rsid w:val="00E71886"/>
    <w:rsid w:val="00E719B7"/>
    <w:rsid w:val="00E71AFD"/>
    <w:rsid w:val="00E71CA1"/>
    <w:rsid w:val="00E71D1B"/>
    <w:rsid w:val="00E71E35"/>
    <w:rsid w:val="00E71E6A"/>
    <w:rsid w:val="00E72007"/>
    <w:rsid w:val="00E7242E"/>
    <w:rsid w:val="00E724BF"/>
    <w:rsid w:val="00E725B1"/>
    <w:rsid w:val="00E725C9"/>
    <w:rsid w:val="00E72C4A"/>
    <w:rsid w:val="00E72DB7"/>
    <w:rsid w:val="00E72FFD"/>
    <w:rsid w:val="00E73075"/>
    <w:rsid w:val="00E733B8"/>
    <w:rsid w:val="00E73661"/>
    <w:rsid w:val="00E736F8"/>
    <w:rsid w:val="00E73788"/>
    <w:rsid w:val="00E7379B"/>
    <w:rsid w:val="00E73A74"/>
    <w:rsid w:val="00E73C58"/>
    <w:rsid w:val="00E73EAC"/>
    <w:rsid w:val="00E7405B"/>
    <w:rsid w:val="00E74248"/>
    <w:rsid w:val="00E74541"/>
    <w:rsid w:val="00E7484F"/>
    <w:rsid w:val="00E74E1A"/>
    <w:rsid w:val="00E74E83"/>
    <w:rsid w:val="00E7530A"/>
    <w:rsid w:val="00E75455"/>
    <w:rsid w:val="00E755C8"/>
    <w:rsid w:val="00E75741"/>
    <w:rsid w:val="00E7583D"/>
    <w:rsid w:val="00E75A01"/>
    <w:rsid w:val="00E75A6B"/>
    <w:rsid w:val="00E75D09"/>
    <w:rsid w:val="00E75D2A"/>
    <w:rsid w:val="00E75E3D"/>
    <w:rsid w:val="00E75F18"/>
    <w:rsid w:val="00E76024"/>
    <w:rsid w:val="00E7603D"/>
    <w:rsid w:val="00E76746"/>
    <w:rsid w:val="00E76B16"/>
    <w:rsid w:val="00E76C24"/>
    <w:rsid w:val="00E76EA4"/>
    <w:rsid w:val="00E77017"/>
    <w:rsid w:val="00E771F4"/>
    <w:rsid w:val="00E7741B"/>
    <w:rsid w:val="00E77A33"/>
    <w:rsid w:val="00E77A50"/>
    <w:rsid w:val="00E77B05"/>
    <w:rsid w:val="00E77CB5"/>
    <w:rsid w:val="00E77E55"/>
    <w:rsid w:val="00E79009"/>
    <w:rsid w:val="00E800F4"/>
    <w:rsid w:val="00E80778"/>
    <w:rsid w:val="00E809B4"/>
    <w:rsid w:val="00E80A09"/>
    <w:rsid w:val="00E80AB0"/>
    <w:rsid w:val="00E80B79"/>
    <w:rsid w:val="00E80C14"/>
    <w:rsid w:val="00E80C5B"/>
    <w:rsid w:val="00E80D5E"/>
    <w:rsid w:val="00E80EEA"/>
    <w:rsid w:val="00E80F2C"/>
    <w:rsid w:val="00E80F9A"/>
    <w:rsid w:val="00E81278"/>
    <w:rsid w:val="00E8136F"/>
    <w:rsid w:val="00E815E3"/>
    <w:rsid w:val="00E81811"/>
    <w:rsid w:val="00E81E90"/>
    <w:rsid w:val="00E823A7"/>
    <w:rsid w:val="00E823B5"/>
    <w:rsid w:val="00E8260C"/>
    <w:rsid w:val="00E829B7"/>
    <w:rsid w:val="00E82D9D"/>
    <w:rsid w:val="00E82EB1"/>
    <w:rsid w:val="00E835EF"/>
    <w:rsid w:val="00E83691"/>
    <w:rsid w:val="00E8373E"/>
    <w:rsid w:val="00E83A14"/>
    <w:rsid w:val="00E83AD7"/>
    <w:rsid w:val="00E83D04"/>
    <w:rsid w:val="00E83E26"/>
    <w:rsid w:val="00E841E7"/>
    <w:rsid w:val="00E842F7"/>
    <w:rsid w:val="00E84336"/>
    <w:rsid w:val="00E84450"/>
    <w:rsid w:val="00E8456F"/>
    <w:rsid w:val="00E84588"/>
    <w:rsid w:val="00E84AAC"/>
    <w:rsid w:val="00E84D45"/>
    <w:rsid w:val="00E84DBF"/>
    <w:rsid w:val="00E84E1A"/>
    <w:rsid w:val="00E8527E"/>
    <w:rsid w:val="00E8540F"/>
    <w:rsid w:val="00E8556B"/>
    <w:rsid w:val="00E857F7"/>
    <w:rsid w:val="00E85D8E"/>
    <w:rsid w:val="00E85E39"/>
    <w:rsid w:val="00E85FF3"/>
    <w:rsid w:val="00E8633D"/>
    <w:rsid w:val="00E86368"/>
    <w:rsid w:val="00E863B3"/>
    <w:rsid w:val="00E863BA"/>
    <w:rsid w:val="00E86597"/>
    <w:rsid w:val="00E86BE5"/>
    <w:rsid w:val="00E86CA5"/>
    <w:rsid w:val="00E86EB2"/>
    <w:rsid w:val="00E86EB4"/>
    <w:rsid w:val="00E86F97"/>
    <w:rsid w:val="00E86FD3"/>
    <w:rsid w:val="00E87006"/>
    <w:rsid w:val="00E87221"/>
    <w:rsid w:val="00E87269"/>
    <w:rsid w:val="00E873C1"/>
    <w:rsid w:val="00E873C7"/>
    <w:rsid w:val="00E8745B"/>
    <w:rsid w:val="00E87940"/>
    <w:rsid w:val="00E87A9B"/>
    <w:rsid w:val="00E87C4F"/>
    <w:rsid w:val="00E87F5D"/>
    <w:rsid w:val="00E90195"/>
    <w:rsid w:val="00E90271"/>
    <w:rsid w:val="00E9037A"/>
    <w:rsid w:val="00E903E3"/>
    <w:rsid w:val="00E905F3"/>
    <w:rsid w:val="00E90783"/>
    <w:rsid w:val="00E907C5"/>
    <w:rsid w:val="00E908C8"/>
    <w:rsid w:val="00E909B0"/>
    <w:rsid w:val="00E90EE4"/>
    <w:rsid w:val="00E90F57"/>
    <w:rsid w:val="00E910D9"/>
    <w:rsid w:val="00E9118D"/>
    <w:rsid w:val="00E9121E"/>
    <w:rsid w:val="00E9140B"/>
    <w:rsid w:val="00E91717"/>
    <w:rsid w:val="00E91733"/>
    <w:rsid w:val="00E91E9E"/>
    <w:rsid w:val="00E91F81"/>
    <w:rsid w:val="00E9207C"/>
    <w:rsid w:val="00E922C1"/>
    <w:rsid w:val="00E924EF"/>
    <w:rsid w:val="00E92668"/>
    <w:rsid w:val="00E927AB"/>
    <w:rsid w:val="00E931B4"/>
    <w:rsid w:val="00E93281"/>
    <w:rsid w:val="00E93352"/>
    <w:rsid w:val="00E9344D"/>
    <w:rsid w:val="00E935ED"/>
    <w:rsid w:val="00E93CE4"/>
    <w:rsid w:val="00E93E89"/>
    <w:rsid w:val="00E940F0"/>
    <w:rsid w:val="00E9431A"/>
    <w:rsid w:val="00E94580"/>
    <w:rsid w:val="00E946AB"/>
    <w:rsid w:val="00E946E8"/>
    <w:rsid w:val="00E9497B"/>
    <w:rsid w:val="00E94B72"/>
    <w:rsid w:val="00E94BBC"/>
    <w:rsid w:val="00E94E6C"/>
    <w:rsid w:val="00E94EF6"/>
    <w:rsid w:val="00E94F59"/>
    <w:rsid w:val="00E94F76"/>
    <w:rsid w:val="00E9514C"/>
    <w:rsid w:val="00E95333"/>
    <w:rsid w:val="00E9546F"/>
    <w:rsid w:val="00E95491"/>
    <w:rsid w:val="00E95629"/>
    <w:rsid w:val="00E95D70"/>
    <w:rsid w:val="00E95FC6"/>
    <w:rsid w:val="00E964DF"/>
    <w:rsid w:val="00E9654D"/>
    <w:rsid w:val="00E96673"/>
    <w:rsid w:val="00E96B45"/>
    <w:rsid w:val="00E96D8D"/>
    <w:rsid w:val="00E972B7"/>
    <w:rsid w:val="00E975AB"/>
    <w:rsid w:val="00E97808"/>
    <w:rsid w:val="00E9786A"/>
    <w:rsid w:val="00E97A71"/>
    <w:rsid w:val="00E97AD3"/>
    <w:rsid w:val="00E97C2A"/>
    <w:rsid w:val="00E97CA1"/>
    <w:rsid w:val="00E97E34"/>
    <w:rsid w:val="00EA0134"/>
    <w:rsid w:val="00EA0152"/>
    <w:rsid w:val="00EA0345"/>
    <w:rsid w:val="00EA048A"/>
    <w:rsid w:val="00EA0603"/>
    <w:rsid w:val="00EA0A0B"/>
    <w:rsid w:val="00EA0DB7"/>
    <w:rsid w:val="00EA0E9F"/>
    <w:rsid w:val="00EA0F0C"/>
    <w:rsid w:val="00EA1183"/>
    <w:rsid w:val="00EA16A9"/>
    <w:rsid w:val="00EA18C5"/>
    <w:rsid w:val="00EA190D"/>
    <w:rsid w:val="00EA1A41"/>
    <w:rsid w:val="00EA1D16"/>
    <w:rsid w:val="00EA1F74"/>
    <w:rsid w:val="00EA222F"/>
    <w:rsid w:val="00EA22F2"/>
    <w:rsid w:val="00EA25FD"/>
    <w:rsid w:val="00EA29EE"/>
    <w:rsid w:val="00EA2A18"/>
    <w:rsid w:val="00EA2BD2"/>
    <w:rsid w:val="00EA2E1D"/>
    <w:rsid w:val="00EA2FDB"/>
    <w:rsid w:val="00EA318C"/>
    <w:rsid w:val="00EA3232"/>
    <w:rsid w:val="00EA35CF"/>
    <w:rsid w:val="00EA3612"/>
    <w:rsid w:val="00EA370A"/>
    <w:rsid w:val="00EA391E"/>
    <w:rsid w:val="00EA39C2"/>
    <w:rsid w:val="00EA3AC5"/>
    <w:rsid w:val="00EA3B9B"/>
    <w:rsid w:val="00EA3C2B"/>
    <w:rsid w:val="00EA3C5E"/>
    <w:rsid w:val="00EA3F13"/>
    <w:rsid w:val="00EA3F34"/>
    <w:rsid w:val="00EA4075"/>
    <w:rsid w:val="00EA4310"/>
    <w:rsid w:val="00EA441E"/>
    <w:rsid w:val="00EA443E"/>
    <w:rsid w:val="00EA4467"/>
    <w:rsid w:val="00EA4479"/>
    <w:rsid w:val="00EA4946"/>
    <w:rsid w:val="00EA49DF"/>
    <w:rsid w:val="00EA4B38"/>
    <w:rsid w:val="00EA4D32"/>
    <w:rsid w:val="00EA4F14"/>
    <w:rsid w:val="00EA518E"/>
    <w:rsid w:val="00EA555D"/>
    <w:rsid w:val="00EA56F5"/>
    <w:rsid w:val="00EA57CF"/>
    <w:rsid w:val="00EA5B4A"/>
    <w:rsid w:val="00EA635B"/>
    <w:rsid w:val="00EA64FB"/>
    <w:rsid w:val="00EA6597"/>
    <w:rsid w:val="00EA65FB"/>
    <w:rsid w:val="00EA667C"/>
    <w:rsid w:val="00EA66C8"/>
    <w:rsid w:val="00EA6811"/>
    <w:rsid w:val="00EA68A8"/>
    <w:rsid w:val="00EA68E7"/>
    <w:rsid w:val="00EA6909"/>
    <w:rsid w:val="00EA6B15"/>
    <w:rsid w:val="00EA6D2D"/>
    <w:rsid w:val="00EA6DB1"/>
    <w:rsid w:val="00EA6EA9"/>
    <w:rsid w:val="00EA6EAA"/>
    <w:rsid w:val="00EA7245"/>
    <w:rsid w:val="00EA7594"/>
    <w:rsid w:val="00EA7C87"/>
    <w:rsid w:val="00EA7D18"/>
    <w:rsid w:val="00EA7EF7"/>
    <w:rsid w:val="00EB061D"/>
    <w:rsid w:val="00EB0956"/>
    <w:rsid w:val="00EB0980"/>
    <w:rsid w:val="00EB0BEA"/>
    <w:rsid w:val="00EB0C1B"/>
    <w:rsid w:val="00EB0C39"/>
    <w:rsid w:val="00EB0E8B"/>
    <w:rsid w:val="00EB0F81"/>
    <w:rsid w:val="00EB11D5"/>
    <w:rsid w:val="00EB157F"/>
    <w:rsid w:val="00EB1744"/>
    <w:rsid w:val="00EB1848"/>
    <w:rsid w:val="00EB19FC"/>
    <w:rsid w:val="00EB1C9E"/>
    <w:rsid w:val="00EB1CB2"/>
    <w:rsid w:val="00EB2182"/>
    <w:rsid w:val="00EB2183"/>
    <w:rsid w:val="00EB2235"/>
    <w:rsid w:val="00EB2633"/>
    <w:rsid w:val="00EB2800"/>
    <w:rsid w:val="00EB28DD"/>
    <w:rsid w:val="00EB2DC6"/>
    <w:rsid w:val="00EB2EB0"/>
    <w:rsid w:val="00EB302B"/>
    <w:rsid w:val="00EB3032"/>
    <w:rsid w:val="00EB35A8"/>
    <w:rsid w:val="00EB3814"/>
    <w:rsid w:val="00EB39D4"/>
    <w:rsid w:val="00EB3AB0"/>
    <w:rsid w:val="00EB3D99"/>
    <w:rsid w:val="00EB3DC6"/>
    <w:rsid w:val="00EB43E7"/>
    <w:rsid w:val="00EB471D"/>
    <w:rsid w:val="00EB476E"/>
    <w:rsid w:val="00EB48AD"/>
    <w:rsid w:val="00EB4B01"/>
    <w:rsid w:val="00EB4C01"/>
    <w:rsid w:val="00EB4C54"/>
    <w:rsid w:val="00EB4C7C"/>
    <w:rsid w:val="00EB4CD5"/>
    <w:rsid w:val="00EB4CDF"/>
    <w:rsid w:val="00EB4F43"/>
    <w:rsid w:val="00EB5123"/>
    <w:rsid w:val="00EB5565"/>
    <w:rsid w:val="00EB55EB"/>
    <w:rsid w:val="00EB5748"/>
    <w:rsid w:val="00EB5854"/>
    <w:rsid w:val="00EB5CD2"/>
    <w:rsid w:val="00EB62A5"/>
    <w:rsid w:val="00EB6413"/>
    <w:rsid w:val="00EB6430"/>
    <w:rsid w:val="00EB6437"/>
    <w:rsid w:val="00EB6486"/>
    <w:rsid w:val="00EB6594"/>
    <w:rsid w:val="00EB67BE"/>
    <w:rsid w:val="00EB68A7"/>
    <w:rsid w:val="00EB6973"/>
    <w:rsid w:val="00EB6C51"/>
    <w:rsid w:val="00EB6C93"/>
    <w:rsid w:val="00EB7001"/>
    <w:rsid w:val="00EB72E7"/>
    <w:rsid w:val="00EB73ED"/>
    <w:rsid w:val="00EB7559"/>
    <w:rsid w:val="00EB786E"/>
    <w:rsid w:val="00EB7C61"/>
    <w:rsid w:val="00EB7F83"/>
    <w:rsid w:val="00EC0086"/>
    <w:rsid w:val="00EC0265"/>
    <w:rsid w:val="00EC055B"/>
    <w:rsid w:val="00EC0698"/>
    <w:rsid w:val="00EC08B9"/>
    <w:rsid w:val="00EC0902"/>
    <w:rsid w:val="00EC099A"/>
    <w:rsid w:val="00EC0A48"/>
    <w:rsid w:val="00EC0B40"/>
    <w:rsid w:val="00EC0C6D"/>
    <w:rsid w:val="00EC0CEA"/>
    <w:rsid w:val="00EC0F0E"/>
    <w:rsid w:val="00EC0F43"/>
    <w:rsid w:val="00EC1186"/>
    <w:rsid w:val="00EC137B"/>
    <w:rsid w:val="00EC13ED"/>
    <w:rsid w:val="00EC1531"/>
    <w:rsid w:val="00EC1859"/>
    <w:rsid w:val="00EC1860"/>
    <w:rsid w:val="00EC1FDF"/>
    <w:rsid w:val="00EC203D"/>
    <w:rsid w:val="00EC203F"/>
    <w:rsid w:val="00EC2A33"/>
    <w:rsid w:val="00EC2AED"/>
    <w:rsid w:val="00EC2BAA"/>
    <w:rsid w:val="00EC2DA2"/>
    <w:rsid w:val="00EC2E2E"/>
    <w:rsid w:val="00EC3205"/>
    <w:rsid w:val="00EC3957"/>
    <w:rsid w:val="00EC3DC7"/>
    <w:rsid w:val="00EC3F90"/>
    <w:rsid w:val="00EC4062"/>
    <w:rsid w:val="00EC4197"/>
    <w:rsid w:val="00EC4213"/>
    <w:rsid w:val="00EC4408"/>
    <w:rsid w:val="00EC45D8"/>
    <w:rsid w:val="00EC469A"/>
    <w:rsid w:val="00EC4858"/>
    <w:rsid w:val="00EC4A27"/>
    <w:rsid w:val="00EC4B53"/>
    <w:rsid w:val="00EC50A3"/>
    <w:rsid w:val="00EC540E"/>
    <w:rsid w:val="00EC5444"/>
    <w:rsid w:val="00EC5697"/>
    <w:rsid w:val="00EC575B"/>
    <w:rsid w:val="00EC5A3F"/>
    <w:rsid w:val="00EC5B53"/>
    <w:rsid w:val="00EC5B75"/>
    <w:rsid w:val="00EC5C82"/>
    <w:rsid w:val="00EC5D83"/>
    <w:rsid w:val="00EC60D1"/>
    <w:rsid w:val="00EC62A4"/>
    <w:rsid w:val="00EC64A3"/>
    <w:rsid w:val="00EC64CE"/>
    <w:rsid w:val="00EC650C"/>
    <w:rsid w:val="00EC69B1"/>
    <w:rsid w:val="00EC6CFD"/>
    <w:rsid w:val="00EC6D1D"/>
    <w:rsid w:val="00EC7151"/>
    <w:rsid w:val="00EC71C1"/>
    <w:rsid w:val="00EC7378"/>
    <w:rsid w:val="00EC75DB"/>
    <w:rsid w:val="00EC7B84"/>
    <w:rsid w:val="00EC7C82"/>
    <w:rsid w:val="00EC7EE8"/>
    <w:rsid w:val="00EC7F73"/>
    <w:rsid w:val="00ED0294"/>
    <w:rsid w:val="00ED0409"/>
    <w:rsid w:val="00ED07CF"/>
    <w:rsid w:val="00ED0A11"/>
    <w:rsid w:val="00ED0C18"/>
    <w:rsid w:val="00ED0C4B"/>
    <w:rsid w:val="00ED0DAE"/>
    <w:rsid w:val="00ED0E67"/>
    <w:rsid w:val="00ED111A"/>
    <w:rsid w:val="00ED1211"/>
    <w:rsid w:val="00ED12D2"/>
    <w:rsid w:val="00ED12F0"/>
    <w:rsid w:val="00ED1471"/>
    <w:rsid w:val="00ED1855"/>
    <w:rsid w:val="00ED1D4D"/>
    <w:rsid w:val="00ED22A4"/>
    <w:rsid w:val="00ED2B2D"/>
    <w:rsid w:val="00ED2BCA"/>
    <w:rsid w:val="00ED2D97"/>
    <w:rsid w:val="00ED2E4F"/>
    <w:rsid w:val="00ED2FCE"/>
    <w:rsid w:val="00ED332A"/>
    <w:rsid w:val="00ED33B0"/>
    <w:rsid w:val="00ED352C"/>
    <w:rsid w:val="00ED35B6"/>
    <w:rsid w:val="00ED3627"/>
    <w:rsid w:val="00ED362A"/>
    <w:rsid w:val="00ED3900"/>
    <w:rsid w:val="00ED3A53"/>
    <w:rsid w:val="00ED3EB4"/>
    <w:rsid w:val="00ED4056"/>
    <w:rsid w:val="00ED4062"/>
    <w:rsid w:val="00ED4555"/>
    <w:rsid w:val="00ED47E5"/>
    <w:rsid w:val="00ED4804"/>
    <w:rsid w:val="00ED4882"/>
    <w:rsid w:val="00ED4889"/>
    <w:rsid w:val="00ED4A64"/>
    <w:rsid w:val="00ED4B2A"/>
    <w:rsid w:val="00ED4C50"/>
    <w:rsid w:val="00ED5093"/>
    <w:rsid w:val="00ED5137"/>
    <w:rsid w:val="00ED52CD"/>
    <w:rsid w:val="00ED5518"/>
    <w:rsid w:val="00ED5683"/>
    <w:rsid w:val="00ED56A8"/>
    <w:rsid w:val="00ED5B61"/>
    <w:rsid w:val="00ED5C38"/>
    <w:rsid w:val="00ED5C49"/>
    <w:rsid w:val="00ED615B"/>
    <w:rsid w:val="00ED6230"/>
    <w:rsid w:val="00ED663A"/>
    <w:rsid w:val="00ED674B"/>
    <w:rsid w:val="00ED6920"/>
    <w:rsid w:val="00ED6BF5"/>
    <w:rsid w:val="00ED7E58"/>
    <w:rsid w:val="00ED7F86"/>
    <w:rsid w:val="00EE00BF"/>
    <w:rsid w:val="00EE0120"/>
    <w:rsid w:val="00EE061C"/>
    <w:rsid w:val="00EE07F4"/>
    <w:rsid w:val="00EE0A32"/>
    <w:rsid w:val="00EE0A74"/>
    <w:rsid w:val="00EE0ADE"/>
    <w:rsid w:val="00EE0B01"/>
    <w:rsid w:val="00EE0B86"/>
    <w:rsid w:val="00EE0C58"/>
    <w:rsid w:val="00EE0E63"/>
    <w:rsid w:val="00EE1127"/>
    <w:rsid w:val="00EE117D"/>
    <w:rsid w:val="00EE118C"/>
    <w:rsid w:val="00EE12B1"/>
    <w:rsid w:val="00EE1441"/>
    <w:rsid w:val="00EE1543"/>
    <w:rsid w:val="00EE1592"/>
    <w:rsid w:val="00EE1749"/>
    <w:rsid w:val="00EE1C06"/>
    <w:rsid w:val="00EE1D6C"/>
    <w:rsid w:val="00EE1D7F"/>
    <w:rsid w:val="00EE1E2C"/>
    <w:rsid w:val="00EE1E59"/>
    <w:rsid w:val="00EE1ECD"/>
    <w:rsid w:val="00EE27A8"/>
    <w:rsid w:val="00EE2824"/>
    <w:rsid w:val="00EE2DAC"/>
    <w:rsid w:val="00EE2E98"/>
    <w:rsid w:val="00EE3290"/>
    <w:rsid w:val="00EE3599"/>
    <w:rsid w:val="00EE35AD"/>
    <w:rsid w:val="00EE3614"/>
    <w:rsid w:val="00EE36F0"/>
    <w:rsid w:val="00EE3C0D"/>
    <w:rsid w:val="00EE3D6D"/>
    <w:rsid w:val="00EE3DC7"/>
    <w:rsid w:val="00EE41E3"/>
    <w:rsid w:val="00EE43F3"/>
    <w:rsid w:val="00EE4435"/>
    <w:rsid w:val="00EE4A85"/>
    <w:rsid w:val="00EE4BE4"/>
    <w:rsid w:val="00EE4D24"/>
    <w:rsid w:val="00EE51E3"/>
    <w:rsid w:val="00EE54A6"/>
    <w:rsid w:val="00EE5561"/>
    <w:rsid w:val="00EE55D8"/>
    <w:rsid w:val="00EE56E9"/>
    <w:rsid w:val="00EE5854"/>
    <w:rsid w:val="00EE5BD6"/>
    <w:rsid w:val="00EE5C4F"/>
    <w:rsid w:val="00EE5C63"/>
    <w:rsid w:val="00EE5DDE"/>
    <w:rsid w:val="00EE5E23"/>
    <w:rsid w:val="00EE5F34"/>
    <w:rsid w:val="00EE5F93"/>
    <w:rsid w:val="00EE5F94"/>
    <w:rsid w:val="00EE625D"/>
    <w:rsid w:val="00EE6338"/>
    <w:rsid w:val="00EE660C"/>
    <w:rsid w:val="00EE66B2"/>
    <w:rsid w:val="00EE67A3"/>
    <w:rsid w:val="00EE6D6C"/>
    <w:rsid w:val="00EE6DDD"/>
    <w:rsid w:val="00EE72C8"/>
    <w:rsid w:val="00EE7733"/>
    <w:rsid w:val="00EE78DA"/>
    <w:rsid w:val="00EE7D62"/>
    <w:rsid w:val="00EE7E24"/>
    <w:rsid w:val="00EE7E3F"/>
    <w:rsid w:val="00EF01FE"/>
    <w:rsid w:val="00EF03E9"/>
    <w:rsid w:val="00EF07D7"/>
    <w:rsid w:val="00EF085F"/>
    <w:rsid w:val="00EF0870"/>
    <w:rsid w:val="00EF0B25"/>
    <w:rsid w:val="00EF0BDD"/>
    <w:rsid w:val="00EF0D39"/>
    <w:rsid w:val="00EF0D6B"/>
    <w:rsid w:val="00EF0DDF"/>
    <w:rsid w:val="00EF120E"/>
    <w:rsid w:val="00EF159A"/>
    <w:rsid w:val="00EF16A3"/>
    <w:rsid w:val="00EF1953"/>
    <w:rsid w:val="00EF19EF"/>
    <w:rsid w:val="00EF1B58"/>
    <w:rsid w:val="00EF1B61"/>
    <w:rsid w:val="00EF1DDD"/>
    <w:rsid w:val="00EF1FC3"/>
    <w:rsid w:val="00EF2601"/>
    <w:rsid w:val="00EF2744"/>
    <w:rsid w:val="00EF2B77"/>
    <w:rsid w:val="00EF2E4E"/>
    <w:rsid w:val="00EF2F39"/>
    <w:rsid w:val="00EF303E"/>
    <w:rsid w:val="00EF3078"/>
    <w:rsid w:val="00EF3444"/>
    <w:rsid w:val="00EF3491"/>
    <w:rsid w:val="00EF34CE"/>
    <w:rsid w:val="00EF3695"/>
    <w:rsid w:val="00EF3784"/>
    <w:rsid w:val="00EF382F"/>
    <w:rsid w:val="00EF3AE6"/>
    <w:rsid w:val="00EF3E45"/>
    <w:rsid w:val="00EF3EB1"/>
    <w:rsid w:val="00EF3F79"/>
    <w:rsid w:val="00EF416A"/>
    <w:rsid w:val="00EF420B"/>
    <w:rsid w:val="00EF46C0"/>
    <w:rsid w:val="00EF48D3"/>
    <w:rsid w:val="00EF4EBE"/>
    <w:rsid w:val="00EF5483"/>
    <w:rsid w:val="00EF5766"/>
    <w:rsid w:val="00EF5958"/>
    <w:rsid w:val="00EF5CEF"/>
    <w:rsid w:val="00EF60AE"/>
    <w:rsid w:val="00EF65C7"/>
    <w:rsid w:val="00EF65E3"/>
    <w:rsid w:val="00EF6A6F"/>
    <w:rsid w:val="00EF6A9C"/>
    <w:rsid w:val="00EF6B8C"/>
    <w:rsid w:val="00EF6C8E"/>
    <w:rsid w:val="00EF6E49"/>
    <w:rsid w:val="00EF70AE"/>
    <w:rsid w:val="00EF70F0"/>
    <w:rsid w:val="00EF71F1"/>
    <w:rsid w:val="00EF7319"/>
    <w:rsid w:val="00EF74E5"/>
    <w:rsid w:val="00EF7772"/>
    <w:rsid w:val="00EF7981"/>
    <w:rsid w:val="00EF7B75"/>
    <w:rsid w:val="00EF7D0E"/>
    <w:rsid w:val="00F000C0"/>
    <w:rsid w:val="00F000C3"/>
    <w:rsid w:val="00F001CD"/>
    <w:rsid w:val="00F003A2"/>
    <w:rsid w:val="00F00488"/>
    <w:rsid w:val="00F005E3"/>
    <w:rsid w:val="00F006AF"/>
    <w:rsid w:val="00F0084B"/>
    <w:rsid w:val="00F008E7"/>
    <w:rsid w:val="00F00B62"/>
    <w:rsid w:val="00F00DDA"/>
    <w:rsid w:val="00F00E36"/>
    <w:rsid w:val="00F011CE"/>
    <w:rsid w:val="00F0124F"/>
    <w:rsid w:val="00F01499"/>
    <w:rsid w:val="00F016B6"/>
    <w:rsid w:val="00F01E8D"/>
    <w:rsid w:val="00F021B5"/>
    <w:rsid w:val="00F02498"/>
    <w:rsid w:val="00F02858"/>
    <w:rsid w:val="00F02A80"/>
    <w:rsid w:val="00F02AC7"/>
    <w:rsid w:val="00F02B5C"/>
    <w:rsid w:val="00F02B82"/>
    <w:rsid w:val="00F02C43"/>
    <w:rsid w:val="00F02E5F"/>
    <w:rsid w:val="00F02E70"/>
    <w:rsid w:val="00F03026"/>
    <w:rsid w:val="00F03260"/>
    <w:rsid w:val="00F03267"/>
    <w:rsid w:val="00F033D3"/>
    <w:rsid w:val="00F03696"/>
    <w:rsid w:val="00F03866"/>
    <w:rsid w:val="00F03992"/>
    <w:rsid w:val="00F03B36"/>
    <w:rsid w:val="00F03ED3"/>
    <w:rsid w:val="00F03F9B"/>
    <w:rsid w:val="00F03FC2"/>
    <w:rsid w:val="00F04070"/>
    <w:rsid w:val="00F047E3"/>
    <w:rsid w:val="00F049A3"/>
    <w:rsid w:val="00F049F7"/>
    <w:rsid w:val="00F04A8B"/>
    <w:rsid w:val="00F04FE3"/>
    <w:rsid w:val="00F051A5"/>
    <w:rsid w:val="00F0535E"/>
    <w:rsid w:val="00F05415"/>
    <w:rsid w:val="00F05D65"/>
    <w:rsid w:val="00F05DFC"/>
    <w:rsid w:val="00F05E65"/>
    <w:rsid w:val="00F05E80"/>
    <w:rsid w:val="00F06280"/>
    <w:rsid w:val="00F063EF"/>
    <w:rsid w:val="00F06450"/>
    <w:rsid w:val="00F06487"/>
    <w:rsid w:val="00F065D6"/>
    <w:rsid w:val="00F065EA"/>
    <w:rsid w:val="00F06682"/>
    <w:rsid w:val="00F068D0"/>
    <w:rsid w:val="00F068F6"/>
    <w:rsid w:val="00F06945"/>
    <w:rsid w:val="00F06C2B"/>
    <w:rsid w:val="00F06D16"/>
    <w:rsid w:val="00F06E5C"/>
    <w:rsid w:val="00F06EDD"/>
    <w:rsid w:val="00F070B0"/>
    <w:rsid w:val="00F0747A"/>
    <w:rsid w:val="00F074DE"/>
    <w:rsid w:val="00F07890"/>
    <w:rsid w:val="00F07A08"/>
    <w:rsid w:val="00F07FAF"/>
    <w:rsid w:val="00F1006D"/>
    <w:rsid w:val="00F10478"/>
    <w:rsid w:val="00F10684"/>
    <w:rsid w:val="00F109DC"/>
    <w:rsid w:val="00F10F5A"/>
    <w:rsid w:val="00F1113E"/>
    <w:rsid w:val="00F111DD"/>
    <w:rsid w:val="00F11281"/>
    <w:rsid w:val="00F11298"/>
    <w:rsid w:val="00F112E1"/>
    <w:rsid w:val="00F115B1"/>
    <w:rsid w:val="00F115FC"/>
    <w:rsid w:val="00F1161C"/>
    <w:rsid w:val="00F11625"/>
    <w:rsid w:val="00F11729"/>
    <w:rsid w:val="00F1185F"/>
    <w:rsid w:val="00F120A1"/>
    <w:rsid w:val="00F120E8"/>
    <w:rsid w:val="00F123F0"/>
    <w:rsid w:val="00F12404"/>
    <w:rsid w:val="00F125B3"/>
    <w:rsid w:val="00F1274F"/>
    <w:rsid w:val="00F127DC"/>
    <w:rsid w:val="00F12845"/>
    <w:rsid w:val="00F12869"/>
    <w:rsid w:val="00F12895"/>
    <w:rsid w:val="00F12979"/>
    <w:rsid w:val="00F12AC0"/>
    <w:rsid w:val="00F12B3A"/>
    <w:rsid w:val="00F12D80"/>
    <w:rsid w:val="00F12EE8"/>
    <w:rsid w:val="00F13180"/>
    <w:rsid w:val="00F13286"/>
    <w:rsid w:val="00F135FB"/>
    <w:rsid w:val="00F138A6"/>
    <w:rsid w:val="00F13A82"/>
    <w:rsid w:val="00F13AB4"/>
    <w:rsid w:val="00F13BE3"/>
    <w:rsid w:val="00F13DB7"/>
    <w:rsid w:val="00F13F4B"/>
    <w:rsid w:val="00F143F8"/>
    <w:rsid w:val="00F14504"/>
    <w:rsid w:val="00F14805"/>
    <w:rsid w:val="00F148D3"/>
    <w:rsid w:val="00F14AFF"/>
    <w:rsid w:val="00F15037"/>
    <w:rsid w:val="00F153C2"/>
    <w:rsid w:val="00F15BD8"/>
    <w:rsid w:val="00F15CDF"/>
    <w:rsid w:val="00F15CFD"/>
    <w:rsid w:val="00F15E6F"/>
    <w:rsid w:val="00F15EC0"/>
    <w:rsid w:val="00F16691"/>
    <w:rsid w:val="00F166BF"/>
    <w:rsid w:val="00F16B2B"/>
    <w:rsid w:val="00F1702A"/>
    <w:rsid w:val="00F17240"/>
    <w:rsid w:val="00F1743A"/>
    <w:rsid w:val="00F1757C"/>
    <w:rsid w:val="00F17612"/>
    <w:rsid w:val="00F1768A"/>
    <w:rsid w:val="00F177E0"/>
    <w:rsid w:val="00F17951"/>
    <w:rsid w:val="00F17A21"/>
    <w:rsid w:val="00F17CBF"/>
    <w:rsid w:val="00F17F09"/>
    <w:rsid w:val="00F17FC8"/>
    <w:rsid w:val="00F1D9B7"/>
    <w:rsid w:val="00F20120"/>
    <w:rsid w:val="00F201D8"/>
    <w:rsid w:val="00F202A3"/>
    <w:rsid w:val="00F20501"/>
    <w:rsid w:val="00F205E4"/>
    <w:rsid w:val="00F207A7"/>
    <w:rsid w:val="00F20B98"/>
    <w:rsid w:val="00F20BD6"/>
    <w:rsid w:val="00F20E59"/>
    <w:rsid w:val="00F20EA1"/>
    <w:rsid w:val="00F20F2B"/>
    <w:rsid w:val="00F213DF"/>
    <w:rsid w:val="00F214D6"/>
    <w:rsid w:val="00F215A7"/>
    <w:rsid w:val="00F215DD"/>
    <w:rsid w:val="00F2160B"/>
    <w:rsid w:val="00F21707"/>
    <w:rsid w:val="00F219CB"/>
    <w:rsid w:val="00F21AA7"/>
    <w:rsid w:val="00F21ADD"/>
    <w:rsid w:val="00F21AE8"/>
    <w:rsid w:val="00F229DE"/>
    <w:rsid w:val="00F22ACA"/>
    <w:rsid w:val="00F22B34"/>
    <w:rsid w:val="00F22D4F"/>
    <w:rsid w:val="00F22DCC"/>
    <w:rsid w:val="00F22F97"/>
    <w:rsid w:val="00F23300"/>
    <w:rsid w:val="00F23325"/>
    <w:rsid w:val="00F23518"/>
    <w:rsid w:val="00F23B24"/>
    <w:rsid w:val="00F23D71"/>
    <w:rsid w:val="00F244BE"/>
    <w:rsid w:val="00F245CE"/>
    <w:rsid w:val="00F24946"/>
    <w:rsid w:val="00F2499F"/>
    <w:rsid w:val="00F24A1F"/>
    <w:rsid w:val="00F24A8B"/>
    <w:rsid w:val="00F25094"/>
    <w:rsid w:val="00F251DD"/>
    <w:rsid w:val="00F2536F"/>
    <w:rsid w:val="00F253FB"/>
    <w:rsid w:val="00F25686"/>
    <w:rsid w:val="00F256F7"/>
    <w:rsid w:val="00F257A7"/>
    <w:rsid w:val="00F257F1"/>
    <w:rsid w:val="00F25AE6"/>
    <w:rsid w:val="00F25B65"/>
    <w:rsid w:val="00F25C6F"/>
    <w:rsid w:val="00F25E58"/>
    <w:rsid w:val="00F25EEF"/>
    <w:rsid w:val="00F25FB6"/>
    <w:rsid w:val="00F260D7"/>
    <w:rsid w:val="00F260EA"/>
    <w:rsid w:val="00F264AB"/>
    <w:rsid w:val="00F2681A"/>
    <w:rsid w:val="00F2682C"/>
    <w:rsid w:val="00F26884"/>
    <w:rsid w:val="00F2694A"/>
    <w:rsid w:val="00F26B45"/>
    <w:rsid w:val="00F26BD7"/>
    <w:rsid w:val="00F26C30"/>
    <w:rsid w:val="00F26D3B"/>
    <w:rsid w:val="00F26EE5"/>
    <w:rsid w:val="00F272FF"/>
    <w:rsid w:val="00F273B9"/>
    <w:rsid w:val="00F274AA"/>
    <w:rsid w:val="00F274CC"/>
    <w:rsid w:val="00F27B07"/>
    <w:rsid w:val="00F27B96"/>
    <w:rsid w:val="00F27C69"/>
    <w:rsid w:val="00F27D79"/>
    <w:rsid w:val="00F30179"/>
    <w:rsid w:val="00F301BA"/>
    <w:rsid w:val="00F301FF"/>
    <w:rsid w:val="00F30760"/>
    <w:rsid w:val="00F30B55"/>
    <w:rsid w:val="00F30B85"/>
    <w:rsid w:val="00F30FA7"/>
    <w:rsid w:val="00F3138B"/>
    <w:rsid w:val="00F3172B"/>
    <w:rsid w:val="00F319A9"/>
    <w:rsid w:val="00F31C10"/>
    <w:rsid w:val="00F3202C"/>
    <w:rsid w:val="00F32129"/>
    <w:rsid w:val="00F32538"/>
    <w:rsid w:val="00F32557"/>
    <w:rsid w:val="00F325CE"/>
    <w:rsid w:val="00F3277F"/>
    <w:rsid w:val="00F32830"/>
    <w:rsid w:val="00F3296D"/>
    <w:rsid w:val="00F32A09"/>
    <w:rsid w:val="00F32A2F"/>
    <w:rsid w:val="00F32B0E"/>
    <w:rsid w:val="00F32B17"/>
    <w:rsid w:val="00F32FCD"/>
    <w:rsid w:val="00F3307D"/>
    <w:rsid w:val="00F330B3"/>
    <w:rsid w:val="00F33257"/>
    <w:rsid w:val="00F3327C"/>
    <w:rsid w:val="00F332A9"/>
    <w:rsid w:val="00F33671"/>
    <w:rsid w:val="00F33BBD"/>
    <w:rsid w:val="00F33F05"/>
    <w:rsid w:val="00F3431C"/>
    <w:rsid w:val="00F34484"/>
    <w:rsid w:val="00F34D09"/>
    <w:rsid w:val="00F34DD7"/>
    <w:rsid w:val="00F34EEF"/>
    <w:rsid w:val="00F34FC9"/>
    <w:rsid w:val="00F351EE"/>
    <w:rsid w:val="00F353F4"/>
    <w:rsid w:val="00F353F8"/>
    <w:rsid w:val="00F35AF5"/>
    <w:rsid w:val="00F35D6F"/>
    <w:rsid w:val="00F360DA"/>
    <w:rsid w:val="00F36382"/>
    <w:rsid w:val="00F36499"/>
    <w:rsid w:val="00F367AB"/>
    <w:rsid w:val="00F368D3"/>
    <w:rsid w:val="00F36978"/>
    <w:rsid w:val="00F36A2A"/>
    <w:rsid w:val="00F36B27"/>
    <w:rsid w:val="00F36BA3"/>
    <w:rsid w:val="00F37546"/>
    <w:rsid w:val="00F37833"/>
    <w:rsid w:val="00F378E4"/>
    <w:rsid w:val="00F401F7"/>
    <w:rsid w:val="00F4020C"/>
    <w:rsid w:val="00F4027C"/>
    <w:rsid w:val="00F40321"/>
    <w:rsid w:val="00F406D4"/>
    <w:rsid w:val="00F40A01"/>
    <w:rsid w:val="00F40A0C"/>
    <w:rsid w:val="00F40A59"/>
    <w:rsid w:val="00F40B17"/>
    <w:rsid w:val="00F40BB3"/>
    <w:rsid w:val="00F40E99"/>
    <w:rsid w:val="00F4127B"/>
    <w:rsid w:val="00F4142E"/>
    <w:rsid w:val="00F415A8"/>
    <w:rsid w:val="00F418CF"/>
    <w:rsid w:val="00F41A69"/>
    <w:rsid w:val="00F41E63"/>
    <w:rsid w:val="00F42317"/>
    <w:rsid w:val="00F42424"/>
    <w:rsid w:val="00F4251C"/>
    <w:rsid w:val="00F425D1"/>
    <w:rsid w:val="00F42616"/>
    <w:rsid w:val="00F426D1"/>
    <w:rsid w:val="00F429AC"/>
    <w:rsid w:val="00F42AB6"/>
    <w:rsid w:val="00F42CC3"/>
    <w:rsid w:val="00F42D76"/>
    <w:rsid w:val="00F430D6"/>
    <w:rsid w:val="00F43276"/>
    <w:rsid w:val="00F43C1B"/>
    <w:rsid w:val="00F43C9E"/>
    <w:rsid w:val="00F43E94"/>
    <w:rsid w:val="00F43ECA"/>
    <w:rsid w:val="00F44037"/>
    <w:rsid w:val="00F4413A"/>
    <w:rsid w:val="00F445C5"/>
    <w:rsid w:val="00F4482A"/>
    <w:rsid w:val="00F448F2"/>
    <w:rsid w:val="00F44BE6"/>
    <w:rsid w:val="00F44E82"/>
    <w:rsid w:val="00F452DB"/>
    <w:rsid w:val="00F45542"/>
    <w:rsid w:val="00F457A5"/>
    <w:rsid w:val="00F4598E"/>
    <w:rsid w:val="00F45A5E"/>
    <w:rsid w:val="00F45AB7"/>
    <w:rsid w:val="00F45B7F"/>
    <w:rsid w:val="00F45DC1"/>
    <w:rsid w:val="00F45F6C"/>
    <w:rsid w:val="00F460FA"/>
    <w:rsid w:val="00F467D9"/>
    <w:rsid w:val="00F46874"/>
    <w:rsid w:val="00F4691A"/>
    <w:rsid w:val="00F46A21"/>
    <w:rsid w:val="00F47483"/>
    <w:rsid w:val="00F479BD"/>
    <w:rsid w:val="00F5004C"/>
    <w:rsid w:val="00F50138"/>
    <w:rsid w:val="00F50139"/>
    <w:rsid w:val="00F5026A"/>
    <w:rsid w:val="00F504FD"/>
    <w:rsid w:val="00F5082B"/>
    <w:rsid w:val="00F50A8B"/>
    <w:rsid w:val="00F50B06"/>
    <w:rsid w:val="00F50CD3"/>
    <w:rsid w:val="00F50DE6"/>
    <w:rsid w:val="00F50F77"/>
    <w:rsid w:val="00F51126"/>
    <w:rsid w:val="00F5122E"/>
    <w:rsid w:val="00F51251"/>
    <w:rsid w:val="00F51592"/>
    <w:rsid w:val="00F515F9"/>
    <w:rsid w:val="00F51BFA"/>
    <w:rsid w:val="00F51D4C"/>
    <w:rsid w:val="00F51E8C"/>
    <w:rsid w:val="00F5203B"/>
    <w:rsid w:val="00F52390"/>
    <w:rsid w:val="00F5253E"/>
    <w:rsid w:val="00F52744"/>
    <w:rsid w:val="00F528CC"/>
    <w:rsid w:val="00F52DE9"/>
    <w:rsid w:val="00F5309F"/>
    <w:rsid w:val="00F53466"/>
    <w:rsid w:val="00F534BA"/>
    <w:rsid w:val="00F53548"/>
    <w:rsid w:val="00F54192"/>
    <w:rsid w:val="00F54351"/>
    <w:rsid w:val="00F54848"/>
    <w:rsid w:val="00F549CB"/>
    <w:rsid w:val="00F54A62"/>
    <w:rsid w:val="00F5549F"/>
    <w:rsid w:val="00F5555F"/>
    <w:rsid w:val="00F556CE"/>
    <w:rsid w:val="00F55845"/>
    <w:rsid w:val="00F55903"/>
    <w:rsid w:val="00F55A26"/>
    <w:rsid w:val="00F55A93"/>
    <w:rsid w:val="00F55C56"/>
    <w:rsid w:val="00F55C59"/>
    <w:rsid w:val="00F55CAA"/>
    <w:rsid w:val="00F55F9D"/>
    <w:rsid w:val="00F560FD"/>
    <w:rsid w:val="00F56111"/>
    <w:rsid w:val="00F561F2"/>
    <w:rsid w:val="00F56256"/>
    <w:rsid w:val="00F562F0"/>
    <w:rsid w:val="00F56BB0"/>
    <w:rsid w:val="00F56BC6"/>
    <w:rsid w:val="00F5702A"/>
    <w:rsid w:val="00F57061"/>
    <w:rsid w:val="00F57075"/>
    <w:rsid w:val="00F571F3"/>
    <w:rsid w:val="00F576D6"/>
    <w:rsid w:val="00F57762"/>
    <w:rsid w:val="00F57B08"/>
    <w:rsid w:val="00F57D2E"/>
    <w:rsid w:val="00F60137"/>
    <w:rsid w:val="00F6019F"/>
    <w:rsid w:val="00F602C4"/>
    <w:rsid w:val="00F604DE"/>
    <w:rsid w:val="00F60AD8"/>
    <w:rsid w:val="00F60C21"/>
    <w:rsid w:val="00F60C34"/>
    <w:rsid w:val="00F60C73"/>
    <w:rsid w:val="00F60CA6"/>
    <w:rsid w:val="00F60D16"/>
    <w:rsid w:val="00F60E50"/>
    <w:rsid w:val="00F60EF6"/>
    <w:rsid w:val="00F611C0"/>
    <w:rsid w:val="00F612B9"/>
    <w:rsid w:val="00F61481"/>
    <w:rsid w:val="00F614E3"/>
    <w:rsid w:val="00F6165C"/>
    <w:rsid w:val="00F6168A"/>
    <w:rsid w:val="00F61887"/>
    <w:rsid w:val="00F6190C"/>
    <w:rsid w:val="00F61CC4"/>
    <w:rsid w:val="00F62055"/>
    <w:rsid w:val="00F6216F"/>
    <w:rsid w:val="00F62461"/>
    <w:rsid w:val="00F625D5"/>
    <w:rsid w:val="00F627EC"/>
    <w:rsid w:val="00F62A3E"/>
    <w:rsid w:val="00F62A71"/>
    <w:rsid w:val="00F62CCE"/>
    <w:rsid w:val="00F62E7D"/>
    <w:rsid w:val="00F6300E"/>
    <w:rsid w:val="00F6305B"/>
    <w:rsid w:val="00F630C2"/>
    <w:rsid w:val="00F630E5"/>
    <w:rsid w:val="00F63207"/>
    <w:rsid w:val="00F63267"/>
    <w:rsid w:val="00F6326E"/>
    <w:rsid w:val="00F633F0"/>
    <w:rsid w:val="00F634D5"/>
    <w:rsid w:val="00F634FC"/>
    <w:rsid w:val="00F63529"/>
    <w:rsid w:val="00F6358C"/>
    <w:rsid w:val="00F63698"/>
    <w:rsid w:val="00F6390C"/>
    <w:rsid w:val="00F63956"/>
    <w:rsid w:val="00F63A5A"/>
    <w:rsid w:val="00F63F0A"/>
    <w:rsid w:val="00F641D5"/>
    <w:rsid w:val="00F643A2"/>
    <w:rsid w:val="00F645EC"/>
    <w:rsid w:val="00F645FA"/>
    <w:rsid w:val="00F64ABD"/>
    <w:rsid w:val="00F64F0E"/>
    <w:rsid w:val="00F65108"/>
    <w:rsid w:val="00F651B4"/>
    <w:rsid w:val="00F652D7"/>
    <w:rsid w:val="00F653B9"/>
    <w:rsid w:val="00F65458"/>
    <w:rsid w:val="00F654FB"/>
    <w:rsid w:val="00F65567"/>
    <w:rsid w:val="00F656F2"/>
    <w:rsid w:val="00F65807"/>
    <w:rsid w:val="00F6580F"/>
    <w:rsid w:val="00F65AC9"/>
    <w:rsid w:val="00F65EC5"/>
    <w:rsid w:val="00F65F4C"/>
    <w:rsid w:val="00F66298"/>
    <w:rsid w:val="00F66700"/>
    <w:rsid w:val="00F6670C"/>
    <w:rsid w:val="00F66923"/>
    <w:rsid w:val="00F66933"/>
    <w:rsid w:val="00F6694E"/>
    <w:rsid w:val="00F66C03"/>
    <w:rsid w:val="00F66D17"/>
    <w:rsid w:val="00F66E45"/>
    <w:rsid w:val="00F6711F"/>
    <w:rsid w:val="00F6714B"/>
    <w:rsid w:val="00F67171"/>
    <w:rsid w:val="00F673C9"/>
    <w:rsid w:val="00F67C04"/>
    <w:rsid w:val="00F67C4D"/>
    <w:rsid w:val="00F67D74"/>
    <w:rsid w:val="00F67DE2"/>
    <w:rsid w:val="00F67E03"/>
    <w:rsid w:val="00F67F6B"/>
    <w:rsid w:val="00F67FD3"/>
    <w:rsid w:val="00F7028A"/>
    <w:rsid w:val="00F70C1B"/>
    <w:rsid w:val="00F70F91"/>
    <w:rsid w:val="00F71532"/>
    <w:rsid w:val="00F71540"/>
    <w:rsid w:val="00F7165D"/>
    <w:rsid w:val="00F719CC"/>
    <w:rsid w:val="00F71B3E"/>
    <w:rsid w:val="00F71EA3"/>
    <w:rsid w:val="00F72038"/>
    <w:rsid w:val="00F72124"/>
    <w:rsid w:val="00F72142"/>
    <w:rsid w:val="00F725FD"/>
    <w:rsid w:val="00F72693"/>
    <w:rsid w:val="00F72715"/>
    <w:rsid w:val="00F72725"/>
    <w:rsid w:val="00F727D6"/>
    <w:rsid w:val="00F72A92"/>
    <w:rsid w:val="00F72AD5"/>
    <w:rsid w:val="00F72CFB"/>
    <w:rsid w:val="00F7307E"/>
    <w:rsid w:val="00F73109"/>
    <w:rsid w:val="00F732B9"/>
    <w:rsid w:val="00F732C5"/>
    <w:rsid w:val="00F738A5"/>
    <w:rsid w:val="00F73953"/>
    <w:rsid w:val="00F73B8E"/>
    <w:rsid w:val="00F74072"/>
    <w:rsid w:val="00F741F1"/>
    <w:rsid w:val="00F7427A"/>
    <w:rsid w:val="00F74D87"/>
    <w:rsid w:val="00F74E25"/>
    <w:rsid w:val="00F750C8"/>
    <w:rsid w:val="00F752B2"/>
    <w:rsid w:val="00F7531A"/>
    <w:rsid w:val="00F75D12"/>
    <w:rsid w:val="00F75E16"/>
    <w:rsid w:val="00F75EA5"/>
    <w:rsid w:val="00F75F15"/>
    <w:rsid w:val="00F761A0"/>
    <w:rsid w:val="00F76253"/>
    <w:rsid w:val="00F7639B"/>
    <w:rsid w:val="00F76482"/>
    <w:rsid w:val="00F765FF"/>
    <w:rsid w:val="00F76757"/>
    <w:rsid w:val="00F769F8"/>
    <w:rsid w:val="00F769F9"/>
    <w:rsid w:val="00F76B30"/>
    <w:rsid w:val="00F76B5C"/>
    <w:rsid w:val="00F7703C"/>
    <w:rsid w:val="00F77077"/>
    <w:rsid w:val="00F7741C"/>
    <w:rsid w:val="00F77715"/>
    <w:rsid w:val="00F77847"/>
    <w:rsid w:val="00F77910"/>
    <w:rsid w:val="00F77A15"/>
    <w:rsid w:val="00F77B27"/>
    <w:rsid w:val="00F77EF0"/>
    <w:rsid w:val="00F8005E"/>
    <w:rsid w:val="00F800DE"/>
    <w:rsid w:val="00F80224"/>
    <w:rsid w:val="00F80378"/>
    <w:rsid w:val="00F8039E"/>
    <w:rsid w:val="00F80DEC"/>
    <w:rsid w:val="00F80E6E"/>
    <w:rsid w:val="00F80FA4"/>
    <w:rsid w:val="00F810EC"/>
    <w:rsid w:val="00F81115"/>
    <w:rsid w:val="00F818CC"/>
    <w:rsid w:val="00F81C6D"/>
    <w:rsid w:val="00F81E09"/>
    <w:rsid w:val="00F81F27"/>
    <w:rsid w:val="00F81F7E"/>
    <w:rsid w:val="00F81F81"/>
    <w:rsid w:val="00F820C6"/>
    <w:rsid w:val="00F822A8"/>
    <w:rsid w:val="00F822B6"/>
    <w:rsid w:val="00F8233B"/>
    <w:rsid w:val="00F824BB"/>
    <w:rsid w:val="00F826EE"/>
    <w:rsid w:val="00F826F0"/>
    <w:rsid w:val="00F8276B"/>
    <w:rsid w:val="00F82CE1"/>
    <w:rsid w:val="00F82D59"/>
    <w:rsid w:val="00F830C3"/>
    <w:rsid w:val="00F83230"/>
    <w:rsid w:val="00F8324C"/>
    <w:rsid w:val="00F84090"/>
    <w:rsid w:val="00F84306"/>
    <w:rsid w:val="00F84818"/>
    <w:rsid w:val="00F84947"/>
    <w:rsid w:val="00F849CD"/>
    <w:rsid w:val="00F84BF5"/>
    <w:rsid w:val="00F84CF7"/>
    <w:rsid w:val="00F84D71"/>
    <w:rsid w:val="00F84F49"/>
    <w:rsid w:val="00F85123"/>
    <w:rsid w:val="00F85340"/>
    <w:rsid w:val="00F8541C"/>
    <w:rsid w:val="00F85702"/>
    <w:rsid w:val="00F858B1"/>
    <w:rsid w:val="00F859C5"/>
    <w:rsid w:val="00F85A88"/>
    <w:rsid w:val="00F85D3A"/>
    <w:rsid w:val="00F85D8D"/>
    <w:rsid w:val="00F86103"/>
    <w:rsid w:val="00F86156"/>
    <w:rsid w:val="00F86172"/>
    <w:rsid w:val="00F86327"/>
    <w:rsid w:val="00F863A6"/>
    <w:rsid w:val="00F86441"/>
    <w:rsid w:val="00F865B0"/>
    <w:rsid w:val="00F865CA"/>
    <w:rsid w:val="00F8672C"/>
    <w:rsid w:val="00F8684F"/>
    <w:rsid w:val="00F86895"/>
    <w:rsid w:val="00F86AD9"/>
    <w:rsid w:val="00F86BFA"/>
    <w:rsid w:val="00F8701A"/>
    <w:rsid w:val="00F870AE"/>
    <w:rsid w:val="00F87183"/>
    <w:rsid w:val="00F87270"/>
    <w:rsid w:val="00F87563"/>
    <w:rsid w:val="00F8759D"/>
    <w:rsid w:val="00F875F3"/>
    <w:rsid w:val="00F87732"/>
    <w:rsid w:val="00F8779E"/>
    <w:rsid w:val="00F878DA"/>
    <w:rsid w:val="00F878F4"/>
    <w:rsid w:val="00F87AA5"/>
    <w:rsid w:val="00F87E2A"/>
    <w:rsid w:val="00F87F07"/>
    <w:rsid w:val="00F87F72"/>
    <w:rsid w:val="00F87FC6"/>
    <w:rsid w:val="00F87FDB"/>
    <w:rsid w:val="00F90234"/>
    <w:rsid w:val="00F90240"/>
    <w:rsid w:val="00F9028D"/>
    <w:rsid w:val="00F90292"/>
    <w:rsid w:val="00F9035C"/>
    <w:rsid w:val="00F906B4"/>
    <w:rsid w:val="00F9071D"/>
    <w:rsid w:val="00F909EC"/>
    <w:rsid w:val="00F90F99"/>
    <w:rsid w:val="00F91097"/>
    <w:rsid w:val="00F91327"/>
    <w:rsid w:val="00F9134B"/>
    <w:rsid w:val="00F91399"/>
    <w:rsid w:val="00F913AC"/>
    <w:rsid w:val="00F91499"/>
    <w:rsid w:val="00F917D1"/>
    <w:rsid w:val="00F918C5"/>
    <w:rsid w:val="00F918EB"/>
    <w:rsid w:val="00F91A16"/>
    <w:rsid w:val="00F91FDC"/>
    <w:rsid w:val="00F9217C"/>
    <w:rsid w:val="00F9221F"/>
    <w:rsid w:val="00F9226D"/>
    <w:rsid w:val="00F92762"/>
    <w:rsid w:val="00F927E7"/>
    <w:rsid w:val="00F92966"/>
    <w:rsid w:val="00F92B88"/>
    <w:rsid w:val="00F92C76"/>
    <w:rsid w:val="00F92DF6"/>
    <w:rsid w:val="00F92F63"/>
    <w:rsid w:val="00F92F83"/>
    <w:rsid w:val="00F93111"/>
    <w:rsid w:val="00F931E9"/>
    <w:rsid w:val="00F935C9"/>
    <w:rsid w:val="00F9393C"/>
    <w:rsid w:val="00F93DDA"/>
    <w:rsid w:val="00F93DE0"/>
    <w:rsid w:val="00F93FF6"/>
    <w:rsid w:val="00F94251"/>
    <w:rsid w:val="00F94430"/>
    <w:rsid w:val="00F946F0"/>
    <w:rsid w:val="00F948B0"/>
    <w:rsid w:val="00F94B38"/>
    <w:rsid w:val="00F94BC6"/>
    <w:rsid w:val="00F94BE1"/>
    <w:rsid w:val="00F95087"/>
    <w:rsid w:val="00F951DF"/>
    <w:rsid w:val="00F95395"/>
    <w:rsid w:val="00F95633"/>
    <w:rsid w:val="00F956B3"/>
    <w:rsid w:val="00F958EA"/>
    <w:rsid w:val="00F958EB"/>
    <w:rsid w:val="00F9590F"/>
    <w:rsid w:val="00F95C4A"/>
    <w:rsid w:val="00F96109"/>
    <w:rsid w:val="00F961BE"/>
    <w:rsid w:val="00F96204"/>
    <w:rsid w:val="00F96550"/>
    <w:rsid w:val="00F9676E"/>
    <w:rsid w:val="00F9679C"/>
    <w:rsid w:val="00F96817"/>
    <w:rsid w:val="00F96B4B"/>
    <w:rsid w:val="00F97102"/>
    <w:rsid w:val="00F971BC"/>
    <w:rsid w:val="00F9720F"/>
    <w:rsid w:val="00F972F1"/>
    <w:rsid w:val="00F977F1"/>
    <w:rsid w:val="00F97890"/>
    <w:rsid w:val="00F979C7"/>
    <w:rsid w:val="00F97B94"/>
    <w:rsid w:val="00F97C80"/>
    <w:rsid w:val="00F97FD8"/>
    <w:rsid w:val="00FA034F"/>
    <w:rsid w:val="00FA05BD"/>
    <w:rsid w:val="00FA07DA"/>
    <w:rsid w:val="00FA080A"/>
    <w:rsid w:val="00FA09EC"/>
    <w:rsid w:val="00FA0A9A"/>
    <w:rsid w:val="00FA0ABB"/>
    <w:rsid w:val="00FA0D47"/>
    <w:rsid w:val="00FA0EB7"/>
    <w:rsid w:val="00FA1316"/>
    <w:rsid w:val="00FA1473"/>
    <w:rsid w:val="00FA1B4A"/>
    <w:rsid w:val="00FA1C27"/>
    <w:rsid w:val="00FA1D1D"/>
    <w:rsid w:val="00FA1E33"/>
    <w:rsid w:val="00FA2338"/>
    <w:rsid w:val="00FA2457"/>
    <w:rsid w:val="00FA2790"/>
    <w:rsid w:val="00FA2793"/>
    <w:rsid w:val="00FA2970"/>
    <w:rsid w:val="00FA2974"/>
    <w:rsid w:val="00FA2A7E"/>
    <w:rsid w:val="00FA2B99"/>
    <w:rsid w:val="00FA2C3E"/>
    <w:rsid w:val="00FA2CC8"/>
    <w:rsid w:val="00FA2DE9"/>
    <w:rsid w:val="00FA2F7D"/>
    <w:rsid w:val="00FA3246"/>
    <w:rsid w:val="00FA335F"/>
    <w:rsid w:val="00FA33B9"/>
    <w:rsid w:val="00FA344C"/>
    <w:rsid w:val="00FA3470"/>
    <w:rsid w:val="00FA36E6"/>
    <w:rsid w:val="00FA3770"/>
    <w:rsid w:val="00FA3798"/>
    <w:rsid w:val="00FA3A50"/>
    <w:rsid w:val="00FA3EF2"/>
    <w:rsid w:val="00FA40BF"/>
    <w:rsid w:val="00FA427D"/>
    <w:rsid w:val="00FA4409"/>
    <w:rsid w:val="00FA450F"/>
    <w:rsid w:val="00FA467B"/>
    <w:rsid w:val="00FA4A96"/>
    <w:rsid w:val="00FA4B74"/>
    <w:rsid w:val="00FA4C08"/>
    <w:rsid w:val="00FA4C40"/>
    <w:rsid w:val="00FA4CC6"/>
    <w:rsid w:val="00FA4D52"/>
    <w:rsid w:val="00FA4EE8"/>
    <w:rsid w:val="00FA4FCF"/>
    <w:rsid w:val="00FA5051"/>
    <w:rsid w:val="00FA54B0"/>
    <w:rsid w:val="00FA55C5"/>
    <w:rsid w:val="00FA579E"/>
    <w:rsid w:val="00FA5833"/>
    <w:rsid w:val="00FA5907"/>
    <w:rsid w:val="00FA6242"/>
    <w:rsid w:val="00FA641E"/>
    <w:rsid w:val="00FA64FD"/>
    <w:rsid w:val="00FA6545"/>
    <w:rsid w:val="00FA6657"/>
    <w:rsid w:val="00FA6659"/>
    <w:rsid w:val="00FA680B"/>
    <w:rsid w:val="00FA6AFF"/>
    <w:rsid w:val="00FA6B23"/>
    <w:rsid w:val="00FA6BD0"/>
    <w:rsid w:val="00FA6E72"/>
    <w:rsid w:val="00FA6EAF"/>
    <w:rsid w:val="00FA7315"/>
    <w:rsid w:val="00FA78C1"/>
    <w:rsid w:val="00FA7B86"/>
    <w:rsid w:val="00FA7B8F"/>
    <w:rsid w:val="00FA7C7D"/>
    <w:rsid w:val="00FA7E1F"/>
    <w:rsid w:val="00FA7EE7"/>
    <w:rsid w:val="00FB0308"/>
    <w:rsid w:val="00FB0A3F"/>
    <w:rsid w:val="00FB0B28"/>
    <w:rsid w:val="00FB0DFB"/>
    <w:rsid w:val="00FB0E21"/>
    <w:rsid w:val="00FB1413"/>
    <w:rsid w:val="00FB1416"/>
    <w:rsid w:val="00FB1452"/>
    <w:rsid w:val="00FB1576"/>
    <w:rsid w:val="00FB15C3"/>
    <w:rsid w:val="00FB1839"/>
    <w:rsid w:val="00FB1AEB"/>
    <w:rsid w:val="00FB1B0F"/>
    <w:rsid w:val="00FB1CD2"/>
    <w:rsid w:val="00FB1F0E"/>
    <w:rsid w:val="00FB1F78"/>
    <w:rsid w:val="00FB230D"/>
    <w:rsid w:val="00FB2317"/>
    <w:rsid w:val="00FB236C"/>
    <w:rsid w:val="00FB244B"/>
    <w:rsid w:val="00FB2770"/>
    <w:rsid w:val="00FB287F"/>
    <w:rsid w:val="00FB289C"/>
    <w:rsid w:val="00FB2954"/>
    <w:rsid w:val="00FB2A0A"/>
    <w:rsid w:val="00FB2B13"/>
    <w:rsid w:val="00FB2F33"/>
    <w:rsid w:val="00FB2F43"/>
    <w:rsid w:val="00FB2FA0"/>
    <w:rsid w:val="00FB34E0"/>
    <w:rsid w:val="00FB35B1"/>
    <w:rsid w:val="00FB386E"/>
    <w:rsid w:val="00FB3899"/>
    <w:rsid w:val="00FB3A34"/>
    <w:rsid w:val="00FB3E77"/>
    <w:rsid w:val="00FB4026"/>
    <w:rsid w:val="00FB41F5"/>
    <w:rsid w:val="00FB460A"/>
    <w:rsid w:val="00FB464E"/>
    <w:rsid w:val="00FB4C51"/>
    <w:rsid w:val="00FB4E37"/>
    <w:rsid w:val="00FB4E69"/>
    <w:rsid w:val="00FB4EF9"/>
    <w:rsid w:val="00FB5289"/>
    <w:rsid w:val="00FB5401"/>
    <w:rsid w:val="00FB5483"/>
    <w:rsid w:val="00FB54E9"/>
    <w:rsid w:val="00FB57CD"/>
    <w:rsid w:val="00FB580A"/>
    <w:rsid w:val="00FB5CB0"/>
    <w:rsid w:val="00FB6186"/>
    <w:rsid w:val="00FB62B4"/>
    <w:rsid w:val="00FB6386"/>
    <w:rsid w:val="00FB65FE"/>
    <w:rsid w:val="00FB6638"/>
    <w:rsid w:val="00FB6CF7"/>
    <w:rsid w:val="00FB7058"/>
    <w:rsid w:val="00FB71A3"/>
    <w:rsid w:val="00FB7363"/>
    <w:rsid w:val="00FB7524"/>
    <w:rsid w:val="00FB75C5"/>
    <w:rsid w:val="00FB75CA"/>
    <w:rsid w:val="00FB7802"/>
    <w:rsid w:val="00FB7A78"/>
    <w:rsid w:val="00FB7B0C"/>
    <w:rsid w:val="00FB7CE0"/>
    <w:rsid w:val="00FB7D0C"/>
    <w:rsid w:val="00FC006B"/>
    <w:rsid w:val="00FC0363"/>
    <w:rsid w:val="00FC0598"/>
    <w:rsid w:val="00FC0744"/>
    <w:rsid w:val="00FC08FB"/>
    <w:rsid w:val="00FC0DF7"/>
    <w:rsid w:val="00FC117D"/>
    <w:rsid w:val="00FC14FF"/>
    <w:rsid w:val="00FC16BF"/>
    <w:rsid w:val="00FC1702"/>
    <w:rsid w:val="00FC1767"/>
    <w:rsid w:val="00FC1BC0"/>
    <w:rsid w:val="00FC1C5D"/>
    <w:rsid w:val="00FC208B"/>
    <w:rsid w:val="00FC2207"/>
    <w:rsid w:val="00FC228E"/>
    <w:rsid w:val="00FC23ED"/>
    <w:rsid w:val="00FC24C4"/>
    <w:rsid w:val="00FC2B33"/>
    <w:rsid w:val="00FC3FC6"/>
    <w:rsid w:val="00FC402E"/>
    <w:rsid w:val="00FC4086"/>
    <w:rsid w:val="00FC415C"/>
    <w:rsid w:val="00FC431B"/>
    <w:rsid w:val="00FC4466"/>
    <w:rsid w:val="00FC48AD"/>
    <w:rsid w:val="00FC4987"/>
    <w:rsid w:val="00FC4CF9"/>
    <w:rsid w:val="00FC4D93"/>
    <w:rsid w:val="00FC51F1"/>
    <w:rsid w:val="00FC54B5"/>
    <w:rsid w:val="00FC5645"/>
    <w:rsid w:val="00FC566C"/>
    <w:rsid w:val="00FC57DD"/>
    <w:rsid w:val="00FC58A2"/>
    <w:rsid w:val="00FC59F6"/>
    <w:rsid w:val="00FC5C91"/>
    <w:rsid w:val="00FC5CD4"/>
    <w:rsid w:val="00FC5D9B"/>
    <w:rsid w:val="00FC5F81"/>
    <w:rsid w:val="00FC6089"/>
    <w:rsid w:val="00FC6183"/>
    <w:rsid w:val="00FC63EF"/>
    <w:rsid w:val="00FC64DD"/>
    <w:rsid w:val="00FC6A6E"/>
    <w:rsid w:val="00FC6C5F"/>
    <w:rsid w:val="00FC6F63"/>
    <w:rsid w:val="00FC722F"/>
    <w:rsid w:val="00FC7249"/>
    <w:rsid w:val="00FC7323"/>
    <w:rsid w:val="00FC7A00"/>
    <w:rsid w:val="00FC7FCF"/>
    <w:rsid w:val="00FD033E"/>
    <w:rsid w:val="00FD05A3"/>
    <w:rsid w:val="00FD05AF"/>
    <w:rsid w:val="00FD084B"/>
    <w:rsid w:val="00FD0889"/>
    <w:rsid w:val="00FD0B5C"/>
    <w:rsid w:val="00FD0BEB"/>
    <w:rsid w:val="00FD0D0B"/>
    <w:rsid w:val="00FD0E98"/>
    <w:rsid w:val="00FD0EEF"/>
    <w:rsid w:val="00FD0F90"/>
    <w:rsid w:val="00FD1310"/>
    <w:rsid w:val="00FD16FA"/>
    <w:rsid w:val="00FD1838"/>
    <w:rsid w:val="00FD19E4"/>
    <w:rsid w:val="00FD19FF"/>
    <w:rsid w:val="00FD1AE5"/>
    <w:rsid w:val="00FD1DBC"/>
    <w:rsid w:val="00FD1DC8"/>
    <w:rsid w:val="00FD1EB1"/>
    <w:rsid w:val="00FD2809"/>
    <w:rsid w:val="00FD2926"/>
    <w:rsid w:val="00FD33E1"/>
    <w:rsid w:val="00FD346D"/>
    <w:rsid w:val="00FD37FB"/>
    <w:rsid w:val="00FD3A86"/>
    <w:rsid w:val="00FD3D28"/>
    <w:rsid w:val="00FD41BF"/>
    <w:rsid w:val="00FD4425"/>
    <w:rsid w:val="00FD4469"/>
    <w:rsid w:val="00FD4592"/>
    <w:rsid w:val="00FD49F2"/>
    <w:rsid w:val="00FD4A3E"/>
    <w:rsid w:val="00FD4C20"/>
    <w:rsid w:val="00FD4C72"/>
    <w:rsid w:val="00FD4D0C"/>
    <w:rsid w:val="00FD4D9A"/>
    <w:rsid w:val="00FD4E4A"/>
    <w:rsid w:val="00FD4FCE"/>
    <w:rsid w:val="00FD5118"/>
    <w:rsid w:val="00FD5344"/>
    <w:rsid w:val="00FD54D9"/>
    <w:rsid w:val="00FD562E"/>
    <w:rsid w:val="00FD5EDA"/>
    <w:rsid w:val="00FD5F8B"/>
    <w:rsid w:val="00FD6115"/>
    <w:rsid w:val="00FD61F1"/>
    <w:rsid w:val="00FD65B0"/>
    <w:rsid w:val="00FD6788"/>
    <w:rsid w:val="00FD6B58"/>
    <w:rsid w:val="00FD6C5D"/>
    <w:rsid w:val="00FD6E9A"/>
    <w:rsid w:val="00FD7028"/>
    <w:rsid w:val="00FD761E"/>
    <w:rsid w:val="00FD7656"/>
    <w:rsid w:val="00FD77CD"/>
    <w:rsid w:val="00FD7D1F"/>
    <w:rsid w:val="00FD7D60"/>
    <w:rsid w:val="00FD7DDE"/>
    <w:rsid w:val="00FD7DF7"/>
    <w:rsid w:val="00FD7E55"/>
    <w:rsid w:val="00FE0120"/>
    <w:rsid w:val="00FE040D"/>
    <w:rsid w:val="00FE0649"/>
    <w:rsid w:val="00FE08AD"/>
    <w:rsid w:val="00FE09E0"/>
    <w:rsid w:val="00FE0A4B"/>
    <w:rsid w:val="00FE0C76"/>
    <w:rsid w:val="00FE0C7B"/>
    <w:rsid w:val="00FE0C99"/>
    <w:rsid w:val="00FE0F4D"/>
    <w:rsid w:val="00FE0F83"/>
    <w:rsid w:val="00FE0FDC"/>
    <w:rsid w:val="00FE16DE"/>
    <w:rsid w:val="00FE1AC4"/>
    <w:rsid w:val="00FE1EF9"/>
    <w:rsid w:val="00FE1F2E"/>
    <w:rsid w:val="00FE22B4"/>
    <w:rsid w:val="00FE2794"/>
    <w:rsid w:val="00FE2A6E"/>
    <w:rsid w:val="00FE2C7F"/>
    <w:rsid w:val="00FE3128"/>
    <w:rsid w:val="00FE314A"/>
    <w:rsid w:val="00FE3602"/>
    <w:rsid w:val="00FE3689"/>
    <w:rsid w:val="00FE36C6"/>
    <w:rsid w:val="00FE3726"/>
    <w:rsid w:val="00FE38EE"/>
    <w:rsid w:val="00FE39FF"/>
    <w:rsid w:val="00FE3D7A"/>
    <w:rsid w:val="00FE3DC0"/>
    <w:rsid w:val="00FE4077"/>
    <w:rsid w:val="00FE413B"/>
    <w:rsid w:val="00FE4424"/>
    <w:rsid w:val="00FE45F0"/>
    <w:rsid w:val="00FE467B"/>
    <w:rsid w:val="00FE472E"/>
    <w:rsid w:val="00FE4806"/>
    <w:rsid w:val="00FE4809"/>
    <w:rsid w:val="00FE48A8"/>
    <w:rsid w:val="00FE4902"/>
    <w:rsid w:val="00FE4B06"/>
    <w:rsid w:val="00FE4B93"/>
    <w:rsid w:val="00FE4DC8"/>
    <w:rsid w:val="00FE4EF8"/>
    <w:rsid w:val="00FE4F2E"/>
    <w:rsid w:val="00FE51F6"/>
    <w:rsid w:val="00FE5629"/>
    <w:rsid w:val="00FE587A"/>
    <w:rsid w:val="00FE58FC"/>
    <w:rsid w:val="00FE5AA7"/>
    <w:rsid w:val="00FE5AED"/>
    <w:rsid w:val="00FE5B1F"/>
    <w:rsid w:val="00FE5C79"/>
    <w:rsid w:val="00FE5CFE"/>
    <w:rsid w:val="00FE5D3C"/>
    <w:rsid w:val="00FE5DE3"/>
    <w:rsid w:val="00FE5E94"/>
    <w:rsid w:val="00FE5F1C"/>
    <w:rsid w:val="00FE62FB"/>
    <w:rsid w:val="00FE639F"/>
    <w:rsid w:val="00FE65FC"/>
    <w:rsid w:val="00FE662D"/>
    <w:rsid w:val="00FE6834"/>
    <w:rsid w:val="00FE6C33"/>
    <w:rsid w:val="00FE6D2A"/>
    <w:rsid w:val="00FE6DAC"/>
    <w:rsid w:val="00FE6DBE"/>
    <w:rsid w:val="00FE6DBF"/>
    <w:rsid w:val="00FE6F74"/>
    <w:rsid w:val="00FE7028"/>
    <w:rsid w:val="00FE7230"/>
    <w:rsid w:val="00FE74D1"/>
    <w:rsid w:val="00FE76AB"/>
    <w:rsid w:val="00FE77DC"/>
    <w:rsid w:val="00FE780E"/>
    <w:rsid w:val="00FE7D28"/>
    <w:rsid w:val="00FE7F17"/>
    <w:rsid w:val="00FE7F58"/>
    <w:rsid w:val="00FF0A24"/>
    <w:rsid w:val="00FF0C51"/>
    <w:rsid w:val="00FF100D"/>
    <w:rsid w:val="00FF1075"/>
    <w:rsid w:val="00FF136F"/>
    <w:rsid w:val="00FF174C"/>
    <w:rsid w:val="00FF1A6E"/>
    <w:rsid w:val="00FF1A9F"/>
    <w:rsid w:val="00FF2123"/>
    <w:rsid w:val="00FF21AC"/>
    <w:rsid w:val="00FF2470"/>
    <w:rsid w:val="00FF2599"/>
    <w:rsid w:val="00FF26B2"/>
    <w:rsid w:val="00FF26BE"/>
    <w:rsid w:val="00FF272A"/>
    <w:rsid w:val="00FF2817"/>
    <w:rsid w:val="00FF28F6"/>
    <w:rsid w:val="00FF2A01"/>
    <w:rsid w:val="00FF2BB9"/>
    <w:rsid w:val="00FF2BDA"/>
    <w:rsid w:val="00FF2D1D"/>
    <w:rsid w:val="00FF32FF"/>
    <w:rsid w:val="00FF37DA"/>
    <w:rsid w:val="00FF3A2F"/>
    <w:rsid w:val="00FF3B41"/>
    <w:rsid w:val="00FF426B"/>
    <w:rsid w:val="00FF45D1"/>
    <w:rsid w:val="00FF4AEF"/>
    <w:rsid w:val="00FF4B0A"/>
    <w:rsid w:val="00FF4CC2"/>
    <w:rsid w:val="00FF4E35"/>
    <w:rsid w:val="00FF5370"/>
    <w:rsid w:val="00FF53D6"/>
    <w:rsid w:val="00FF55A3"/>
    <w:rsid w:val="00FF5694"/>
    <w:rsid w:val="00FF57D3"/>
    <w:rsid w:val="00FF5BC0"/>
    <w:rsid w:val="00FF5C14"/>
    <w:rsid w:val="00FF5DE2"/>
    <w:rsid w:val="00FF5FD9"/>
    <w:rsid w:val="00FF6173"/>
    <w:rsid w:val="00FF619E"/>
    <w:rsid w:val="00FF6477"/>
    <w:rsid w:val="00FF67F8"/>
    <w:rsid w:val="00FF6892"/>
    <w:rsid w:val="00FF6B8B"/>
    <w:rsid w:val="00FF6BB3"/>
    <w:rsid w:val="00FF70CF"/>
    <w:rsid w:val="00FF743F"/>
    <w:rsid w:val="00FF74BF"/>
    <w:rsid w:val="00FF75B9"/>
    <w:rsid w:val="00FF79FA"/>
    <w:rsid w:val="00FF7D01"/>
    <w:rsid w:val="0103009C"/>
    <w:rsid w:val="010914E1"/>
    <w:rsid w:val="0127B2A2"/>
    <w:rsid w:val="01401833"/>
    <w:rsid w:val="01523355"/>
    <w:rsid w:val="015BB105"/>
    <w:rsid w:val="015D3264"/>
    <w:rsid w:val="01767B2F"/>
    <w:rsid w:val="018183B5"/>
    <w:rsid w:val="01853856"/>
    <w:rsid w:val="018CD248"/>
    <w:rsid w:val="019B5924"/>
    <w:rsid w:val="019ED92C"/>
    <w:rsid w:val="01A7EA90"/>
    <w:rsid w:val="01A7EEC2"/>
    <w:rsid w:val="01A7FA78"/>
    <w:rsid w:val="01B36235"/>
    <w:rsid w:val="01D9CA92"/>
    <w:rsid w:val="01DB6139"/>
    <w:rsid w:val="01DBEA97"/>
    <w:rsid w:val="01DD5849"/>
    <w:rsid w:val="01DE16AB"/>
    <w:rsid w:val="01DF4DCB"/>
    <w:rsid w:val="01E0FF02"/>
    <w:rsid w:val="01E72B1E"/>
    <w:rsid w:val="01ED4BE2"/>
    <w:rsid w:val="01F8CBD9"/>
    <w:rsid w:val="01FA8A3E"/>
    <w:rsid w:val="01FDC10A"/>
    <w:rsid w:val="01FDCA82"/>
    <w:rsid w:val="01FE2D51"/>
    <w:rsid w:val="021309CB"/>
    <w:rsid w:val="021FA7C0"/>
    <w:rsid w:val="022A1250"/>
    <w:rsid w:val="022CD2DA"/>
    <w:rsid w:val="02404D66"/>
    <w:rsid w:val="02451886"/>
    <w:rsid w:val="0263D2C4"/>
    <w:rsid w:val="026E2D01"/>
    <w:rsid w:val="026EDDDE"/>
    <w:rsid w:val="027584C5"/>
    <w:rsid w:val="02759D38"/>
    <w:rsid w:val="02844CCB"/>
    <w:rsid w:val="0294A218"/>
    <w:rsid w:val="0297A5F6"/>
    <w:rsid w:val="029AEA26"/>
    <w:rsid w:val="029B9772"/>
    <w:rsid w:val="02A9CF00"/>
    <w:rsid w:val="02C31CC3"/>
    <w:rsid w:val="02CB5E1B"/>
    <w:rsid w:val="02D288B5"/>
    <w:rsid w:val="02D42892"/>
    <w:rsid w:val="02D5508A"/>
    <w:rsid w:val="02E1E59C"/>
    <w:rsid w:val="02EAD1BB"/>
    <w:rsid w:val="030DD6DF"/>
    <w:rsid w:val="0322B149"/>
    <w:rsid w:val="03324D8F"/>
    <w:rsid w:val="03359CA7"/>
    <w:rsid w:val="0338981C"/>
    <w:rsid w:val="033A4C43"/>
    <w:rsid w:val="033B64D9"/>
    <w:rsid w:val="033ED0A7"/>
    <w:rsid w:val="0340F2D5"/>
    <w:rsid w:val="03485E42"/>
    <w:rsid w:val="034EEF12"/>
    <w:rsid w:val="03610914"/>
    <w:rsid w:val="0365C019"/>
    <w:rsid w:val="0369B900"/>
    <w:rsid w:val="036A14C8"/>
    <w:rsid w:val="036B23F6"/>
    <w:rsid w:val="036E3848"/>
    <w:rsid w:val="037EA72A"/>
    <w:rsid w:val="0385FA7B"/>
    <w:rsid w:val="03A0E386"/>
    <w:rsid w:val="03AEFB22"/>
    <w:rsid w:val="03CE0629"/>
    <w:rsid w:val="03E139EC"/>
    <w:rsid w:val="03E7B457"/>
    <w:rsid w:val="03F7378B"/>
    <w:rsid w:val="040195F2"/>
    <w:rsid w:val="04021529"/>
    <w:rsid w:val="0403A2F2"/>
    <w:rsid w:val="040E81E8"/>
    <w:rsid w:val="0413C6FE"/>
    <w:rsid w:val="0417392E"/>
    <w:rsid w:val="04180B4D"/>
    <w:rsid w:val="04371A02"/>
    <w:rsid w:val="0438E034"/>
    <w:rsid w:val="043C00E9"/>
    <w:rsid w:val="043DE657"/>
    <w:rsid w:val="044D9B5C"/>
    <w:rsid w:val="045034D9"/>
    <w:rsid w:val="04533B91"/>
    <w:rsid w:val="04596B88"/>
    <w:rsid w:val="045D604B"/>
    <w:rsid w:val="045E34A5"/>
    <w:rsid w:val="0463D094"/>
    <w:rsid w:val="04646FD4"/>
    <w:rsid w:val="04738FBC"/>
    <w:rsid w:val="04746173"/>
    <w:rsid w:val="047949AE"/>
    <w:rsid w:val="0482E255"/>
    <w:rsid w:val="0496606C"/>
    <w:rsid w:val="04B2C380"/>
    <w:rsid w:val="04B63286"/>
    <w:rsid w:val="04BFC566"/>
    <w:rsid w:val="04CF8364"/>
    <w:rsid w:val="04DD819F"/>
    <w:rsid w:val="04DFC995"/>
    <w:rsid w:val="04E3D199"/>
    <w:rsid w:val="04E52A11"/>
    <w:rsid w:val="04E921CA"/>
    <w:rsid w:val="04EAD03C"/>
    <w:rsid w:val="04EF5D2C"/>
    <w:rsid w:val="050BCB3F"/>
    <w:rsid w:val="05158FA1"/>
    <w:rsid w:val="05203349"/>
    <w:rsid w:val="052643BC"/>
    <w:rsid w:val="052A05C1"/>
    <w:rsid w:val="052A69F3"/>
    <w:rsid w:val="052BCB2B"/>
    <w:rsid w:val="052D09E4"/>
    <w:rsid w:val="05548927"/>
    <w:rsid w:val="055676B2"/>
    <w:rsid w:val="056DB897"/>
    <w:rsid w:val="056EF221"/>
    <w:rsid w:val="05795D7F"/>
    <w:rsid w:val="057D63FB"/>
    <w:rsid w:val="0583C5DA"/>
    <w:rsid w:val="0588C065"/>
    <w:rsid w:val="058E2539"/>
    <w:rsid w:val="058FD9D1"/>
    <w:rsid w:val="05A57D1F"/>
    <w:rsid w:val="05A891E0"/>
    <w:rsid w:val="05BAD278"/>
    <w:rsid w:val="05CA156D"/>
    <w:rsid w:val="05DB8D04"/>
    <w:rsid w:val="05FBA4E4"/>
    <w:rsid w:val="0602C276"/>
    <w:rsid w:val="061882AF"/>
    <w:rsid w:val="062346C8"/>
    <w:rsid w:val="063A864E"/>
    <w:rsid w:val="063A8E79"/>
    <w:rsid w:val="0643584B"/>
    <w:rsid w:val="065AADFB"/>
    <w:rsid w:val="066A6532"/>
    <w:rsid w:val="066E458D"/>
    <w:rsid w:val="0671ED1D"/>
    <w:rsid w:val="06990176"/>
    <w:rsid w:val="06995FFB"/>
    <w:rsid w:val="069F4864"/>
    <w:rsid w:val="069FE203"/>
    <w:rsid w:val="06AA2322"/>
    <w:rsid w:val="06AF2057"/>
    <w:rsid w:val="06BE7A2D"/>
    <w:rsid w:val="06C6DBB6"/>
    <w:rsid w:val="06EB75F0"/>
    <w:rsid w:val="06F17B15"/>
    <w:rsid w:val="070F65B9"/>
    <w:rsid w:val="071D2BE2"/>
    <w:rsid w:val="07200416"/>
    <w:rsid w:val="07236A08"/>
    <w:rsid w:val="0726A68F"/>
    <w:rsid w:val="07339811"/>
    <w:rsid w:val="07388557"/>
    <w:rsid w:val="073D11B8"/>
    <w:rsid w:val="0745B685"/>
    <w:rsid w:val="074B22A7"/>
    <w:rsid w:val="0760E04E"/>
    <w:rsid w:val="0768C84E"/>
    <w:rsid w:val="07751295"/>
    <w:rsid w:val="077D9C34"/>
    <w:rsid w:val="0788390F"/>
    <w:rsid w:val="078D3FFE"/>
    <w:rsid w:val="0791D38E"/>
    <w:rsid w:val="079264A4"/>
    <w:rsid w:val="079380BB"/>
    <w:rsid w:val="079390B0"/>
    <w:rsid w:val="07967FCD"/>
    <w:rsid w:val="079B6C8B"/>
    <w:rsid w:val="079F1FAB"/>
    <w:rsid w:val="07C000E0"/>
    <w:rsid w:val="07C2F71A"/>
    <w:rsid w:val="07CF0E3B"/>
    <w:rsid w:val="07D9A772"/>
    <w:rsid w:val="07EBE9BF"/>
    <w:rsid w:val="07EEB845"/>
    <w:rsid w:val="07EEF2B9"/>
    <w:rsid w:val="07F4E5FA"/>
    <w:rsid w:val="080157D6"/>
    <w:rsid w:val="08017E1E"/>
    <w:rsid w:val="081A79F7"/>
    <w:rsid w:val="083BBD80"/>
    <w:rsid w:val="083BC55C"/>
    <w:rsid w:val="083E9410"/>
    <w:rsid w:val="084087CB"/>
    <w:rsid w:val="084366F8"/>
    <w:rsid w:val="08531126"/>
    <w:rsid w:val="085C29A9"/>
    <w:rsid w:val="085CE86A"/>
    <w:rsid w:val="087BE14E"/>
    <w:rsid w:val="088037BE"/>
    <w:rsid w:val="0884385C"/>
    <w:rsid w:val="088B21B2"/>
    <w:rsid w:val="088BB6E1"/>
    <w:rsid w:val="089516F3"/>
    <w:rsid w:val="0898BBF0"/>
    <w:rsid w:val="089CA7A9"/>
    <w:rsid w:val="08ADCD3E"/>
    <w:rsid w:val="08B3CEF4"/>
    <w:rsid w:val="08B78932"/>
    <w:rsid w:val="08DFFABE"/>
    <w:rsid w:val="08E0E5AF"/>
    <w:rsid w:val="08E9B7A3"/>
    <w:rsid w:val="091BA448"/>
    <w:rsid w:val="093345A6"/>
    <w:rsid w:val="093B8F92"/>
    <w:rsid w:val="0942D29E"/>
    <w:rsid w:val="09447811"/>
    <w:rsid w:val="09543939"/>
    <w:rsid w:val="09564AA3"/>
    <w:rsid w:val="095DFDD1"/>
    <w:rsid w:val="095E6F6E"/>
    <w:rsid w:val="097CAFE7"/>
    <w:rsid w:val="097D7E74"/>
    <w:rsid w:val="0982DA42"/>
    <w:rsid w:val="0998D3C4"/>
    <w:rsid w:val="09B7B818"/>
    <w:rsid w:val="09CFCA9E"/>
    <w:rsid w:val="09D09F15"/>
    <w:rsid w:val="09D4D336"/>
    <w:rsid w:val="09D628A8"/>
    <w:rsid w:val="09EBFA63"/>
    <w:rsid w:val="09F43150"/>
    <w:rsid w:val="09FA9A23"/>
    <w:rsid w:val="0A0222DC"/>
    <w:rsid w:val="0A0EA9DE"/>
    <w:rsid w:val="0A17CA56"/>
    <w:rsid w:val="0A19E602"/>
    <w:rsid w:val="0A1EBAD0"/>
    <w:rsid w:val="0A242916"/>
    <w:rsid w:val="0A438030"/>
    <w:rsid w:val="0A465CE4"/>
    <w:rsid w:val="0A5EB0CA"/>
    <w:rsid w:val="0A666168"/>
    <w:rsid w:val="0A746E6C"/>
    <w:rsid w:val="0A8EC10E"/>
    <w:rsid w:val="0A980837"/>
    <w:rsid w:val="0A989FBC"/>
    <w:rsid w:val="0AA6A0E2"/>
    <w:rsid w:val="0AA93DC4"/>
    <w:rsid w:val="0AC9274D"/>
    <w:rsid w:val="0AD287D2"/>
    <w:rsid w:val="0AD992B1"/>
    <w:rsid w:val="0AE08E47"/>
    <w:rsid w:val="0AEBDCA7"/>
    <w:rsid w:val="0B010A03"/>
    <w:rsid w:val="0B083A61"/>
    <w:rsid w:val="0B172F26"/>
    <w:rsid w:val="0B3154BE"/>
    <w:rsid w:val="0B32091F"/>
    <w:rsid w:val="0B3522BA"/>
    <w:rsid w:val="0B389AF2"/>
    <w:rsid w:val="0B44504D"/>
    <w:rsid w:val="0B5D3CB9"/>
    <w:rsid w:val="0B6ACAA1"/>
    <w:rsid w:val="0B74BAC2"/>
    <w:rsid w:val="0B762472"/>
    <w:rsid w:val="0B7CEE73"/>
    <w:rsid w:val="0B84B1DE"/>
    <w:rsid w:val="0BAC92F4"/>
    <w:rsid w:val="0BAE1349"/>
    <w:rsid w:val="0BAE1B7B"/>
    <w:rsid w:val="0BBFEC8D"/>
    <w:rsid w:val="0BC8EEDF"/>
    <w:rsid w:val="0BD21212"/>
    <w:rsid w:val="0BD7D75D"/>
    <w:rsid w:val="0BEA31B7"/>
    <w:rsid w:val="0BF48852"/>
    <w:rsid w:val="0BFEB0CC"/>
    <w:rsid w:val="0C12B641"/>
    <w:rsid w:val="0C145C54"/>
    <w:rsid w:val="0C15B253"/>
    <w:rsid w:val="0C18BD90"/>
    <w:rsid w:val="0C2F1AA4"/>
    <w:rsid w:val="0C338823"/>
    <w:rsid w:val="0C415A23"/>
    <w:rsid w:val="0C50E2F2"/>
    <w:rsid w:val="0C538162"/>
    <w:rsid w:val="0C556269"/>
    <w:rsid w:val="0C58B333"/>
    <w:rsid w:val="0C6CB877"/>
    <w:rsid w:val="0C6F6F60"/>
    <w:rsid w:val="0C7BD9D0"/>
    <w:rsid w:val="0C944EF6"/>
    <w:rsid w:val="0C9AC030"/>
    <w:rsid w:val="0C9F78DF"/>
    <w:rsid w:val="0CB7E9D2"/>
    <w:rsid w:val="0CC012AD"/>
    <w:rsid w:val="0CC5FDA3"/>
    <w:rsid w:val="0CDA9339"/>
    <w:rsid w:val="0CE7C1A2"/>
    <w:rsid w:val="0CE9F5D6"/>
    <w:rsid w:val="0CEAFDEC"/>
    <w:rsid w:val="0CEB3613"/>
    <w:rsid w:val="0CEFE184"/>
    <w:rsid w:val="0D113796"/>
    <w:rsid w:val="0D19B653"/>
    <w:rsid w:val="0D1C33F9"/>
    <w:rsid w:val="0D2978B8"/>
    <w:rsid w:val="0D2B02FC"/>
    <w:rsid w:val="0D301D9B"/>
    <w:rsid w:val="0D33DD08"/>
    <w:rsid w:val="0D36E26F"/>
    <w:rsid w:val="0D3E5F53"/>
    <w:rsid w:val="0D4095DE"/>
    <w:rsid w:val="0D5C35AE"/>
    <w:rsid w:val="0D6B3E7A"/>
    <w:rsid w:val="0D6C0928"/>
    <w:rsid w:val="0D6DDB64"/>
    <w:rsid w:val="0D77D4A2"/>
    <w:rsid w:val="0D7F1CA7"/>
    <w:rsid w:val="0D7F7CC8"/>
    <w:rsid w:val="0D82FEA0"/>
    <w:rsid w:val="0D862D1C"/>
    <w:rsid w:val="0D883D81"/>
    <w:rsid w:val="0D95249D"/>
    <w:rsid w:val="0DA0C37A"/>
    <w:rsid w:val="0DB1B60F"/>
    <w:rsid w:val="0DBA84B5"/>
    <w:rsid w:val="0DD2812E"/>
    <w:rsid w:val="0DE4542D"/>
    <w:rsid w:val="0DF6F372"/>
    <w:rsid w:val="0E02A866"/>
    <w:rsid w:val="0E21E3FE"/>
    <w:rsid w:val="0E27028A"/>
    <w:rsid w:val="0E4263AE"/>
    <w:rsid w:val="0E429F80"/>
    <w:rsid w:val="0E4BEA41"/>
    <w:rsid w:val="0E4EB5BF"/>
    <w:rsid w:val="0E523054"/>
    <w:rsid w:val="0E66FC41"/>
    <w:rsid w:val="0E67097A"/>
    <w:rsid w:val="0E783D07"/>
    <w:rsid w:val="0E7906C2"/>
    <w:rsid w:val="0E8512D5"/>
    <w:rsid w:val="0E9546DD"/>
    <w:rsid w:val="0EBE9ED6"/>
    <w:rsid w:val="0EC7E428"/>
    <w:rsid w:val="0EC7EA89"/>
    <w:rsid w:val="0ECA5419"/>
    <w:rsid w:val="0ECA664D"/>
    <w:rsid w:val="0ED220F9"/>
    <w:rsid w:val="0ED6C784"/>
    <w:rsid w:val="0EF55DAF"/>
    <w:rsid w:val="0EF97383"/>
    <w:rsid w:val="0F085C96"/>
    <w:rsid w:val="0F192656"/>
    <w:rsid w:val="0F1B70BF"/>
    <w:rsid w:val="0F31BC2E"/>
    <w:rsid w:val="0F393DF7"/>
    <w:rsid w:val="0F41A0A0"/>
    <w:rsid w:val="0F4DEFED"/>
    <w:rsid w:val="0F54C2FB"/>
    <w:rsid w:val="0F568700"/>
    <w:rsid w:val="0F69DC2A"/>
    <w:rsid w:val="0F7AEA61"/>
    <w:rsid w:val="0F86821F"/>
    <w:rsid w:val="0F8995E3"/>
    <w:rsid w:val="0F98BF7A"/>
    <w:rsid w:val="0F9E5420"/>
    <w:rsid w:val="0F9FD920"/>
    <w:rsid w:val="0F9FE3A4"/>
    <w:rsid w:val="0FA0E04B"/>
    <w:rsid w:val="0FB3B995"/>
    <w:rsid w:val="0FB851A8"/>
    <w:rsid w:val="0FBA0523"/>
    <w:rsid w:val="0FC1959D"/>
    <w:rsid w:val="0FE4072E"/>
    <w:rsid w:val="0FE913EC"/>
    <w:rsid w:val="0FFC35D5"/>
    <w:rsid w:val="10046DD7"/>
    <w:rsid w:val="1008DED9"/>
    <w:rsid w:val="100D1A5F"/>
    <w:rsid w:val="101D21DE"/>
    <w:rsid w:val="102271C0"/>
    <w:rsid w:val="102D30D8"/>
    <w:rsid w:val="103D42D3"/>
    <w:rsid w:val="103FBA86"/>
    <w:rsid w:val="1057FF97"/>
    <w:rsid w:val="10586D09"/>
    <w:rsid w:val="105DEA88"/>
    <w:rsid w:val="107AE44E"/>
    <w:rsid w:val="1082A03A"/>
    <w:rsid w:val="108AA578"/>
    <w:rsid w:val="10912D63"/>
    <w:rsid w:val="109D7075"/>
    <w:rsid w:val="10ABD5A9"/>
    <w:rsid w:val="10AC035C"/>
    <w:rsid w:val="10B6D31B"/>
    <w:rsid w:val="10BE5C07"/>
    <w:rsid w:val="10C0517B"/>
    <w:rsid w:val="10C684B1"/>
    <w:rsid w:val="10E66747"/>
    <w:rsid w:val="10F1E469"/>
    <w:rsid w:val="10F8B0FD"/>
    <w:rsid w:val="11049508"/>
    <w:rsid w:val="11070490"/>
    <w:rsid w:val="110976AB"/>
    <w:rsid w:val="110BA8D9"/>
    <w:rsid w:val="110ED7E8"/>
    <w:rsid w:val="1123EEE2"/>
    <w:rsid w:val="11241128"/>
    <w:rsid w:val="113DAED1"/>
    <w:rsid w:val="1153B068"/>
    <w:rsid w:val="115B0DE9"/>
    <w:rsid w:val="1177FCE9"/>
    <w:rsid w:val="11821800"/>
    <w:rsid w:val="119E486E"/>
    <w:rsid w:val="11A93829"/>
    <w:rsid w:val="11B75676"/>
    <w:rsid w:val="11CF1446"/>
    <w:rsid w:val="11D37324"/>
    <w:rsid w:val="11D3F1D0"/>
    <w:rsid w:val="11D866A7"/>
    <w:rsid w:val="11DBFD78"/>
    <w:rsid w:val="11DE681F"/>
    <w:rsid w:val="11E85E1D"/>
    <w:rsid w:val="11EC1145"/>
    <w:rsid w:val="11F8AC0E"/>
    <w:rsid w:val="11FD15F2"/>
    <w:rsid w:val="11FF94F9"/>
    <w:rsid w:val="120860FA"/>
    <w:rsid w:val="120FECB6"/>
    <w:rsid w:val="121E0BF4"/>
    <w:rsid w:val="12208DCF"/>
    <w:rsid w:val="1221DCC8"/>
    <w:rsid w:val="1222275B"/>
    <w:rsid w:val="1227EB37"/>
    <w:rsid w:val="122B9B5C"/>
    <w:rsid w:val="123A6B2D"/>
    <w:rsid w:val="123A80D9"/>
    <w:rsid w:val="12508F63"/>
    <w:rsid w:val="1253EE6C"/>
    <w:rsid w:val="125945A0"/>
    <w:rsid w:val="125D3E67"/>
    <w:rsid w:val="12612A9A"/>
    <w:rsid w:val="1265AA1F"/>
    <w:rsid w:val="126E0A39"/>
    <w:rsid w:val="1274EE3C"/>
    <w:rsid w:val="1282C6C6"/>
    <w:rsid w:val="12906CB9"/>
    <w:rsid w:val="12911CC1"/>
    <w:rsid w:val="1294E201"/>
    <w:rsid w:val="12975C0C"/>
    <w:rsid w:val="12AFEEC3"/>
    <w:rsid w:val="12BCFAC9"/>
    <w:rsid w:val="12C9D458"/>
    <w:rsid w:val="12DBA27B"/>
    <w:rsid w:val="12E0E9EA"/>
    <w:rsid w:val="12E2C0D1"/>
    <w:rsid w:val="12E59A74"/>
    <w:rsid w:val="12EACA98"/>
    <w:rsid w:val="12ED1D6B"/>
    <w:rsid w:val="12EDA5E2"/>
    <w:rsid w:val="12EDC17F"/>
    <w:rsid w:val="12F4AC51"/>
    <w:rsid w:val="12FA9D6B"/>
    <w:rsid w:val="13029F60"/>
    <w:rsid w:val="130774C2"/>
    <w:rsid w:val="130DFE62"/>
    <w:rsid w:val="1312B739"/>
    <w:rsid w:val="131D73AE"/>
    <w:rsid w:val="1324479F"/>
    <w:rsid w:val="1341A15F"/>
    <w:rsid w:val="1342CF8A"/>
    <w:rsid w:val="1344A49D"/>
    <w:rsid w:val="134708D8"/>
    <w:rsid w:val="1348F463"/>
    <w:rsid w:val="1351C9F7"/>
    <w:rsid w:val="13542011"/>
    <w:rsid w:val="1358B93F"/>
    <w:rsid w:val="135C3B02"/>
    <w:rsid w:val="135D2447"/>
    <w:rsid w:val="13647899"/>
    <w:rsid w:val="136598D0"/>
    <w:rsid w:val="13675905"/>
    <w:rsid w:val="13846525"/>
    <w:rsid w:val="1391C078"/>
    <w:rsid w:val="13949ABE"/>
    <w:rsid w:val="139BC99A"/>
    <w:rsid w:val="139D7B15"/>
    <w:rsid w:val="13A8A4E7"/>
    <w:rsid w:val="13A9534F"/>
    <w:rsid w:val="13AAF1BA"/>
    <w:rsid w:val="13AE6F45"/>
    <w:rsid w:val="13AF87DB"/>
    <w:rsid w:val="13B94CEA"/>
    <w:rsid w:val="13BDC5E6"/>
    <w:rsid w:val="13BE1F13"/>
    <w:rsid w:val="13C53AA5"/>
    <w:rsid w:val="13C76DCF"/>
    <w:rsid w:val="13C8C3C6"/>
    <w:rsid w:val="13D00447"/>
    <w:rsid w:val="13F5A100"/>
    <w:rsid w:val="140622CE"/>
    <w:rsid w:val="1407497F"/>
    <w:rsid w:val="1407CA33"/>
    <w:rsid w:val="140BD6BB"/>
    <w:rsid w:val="14116714"/>
    <w:rsid w:val="141C6BA9"/>
    <w:rsid w:val="142E526A"/>
    <w:rsid w:val="142F576F"/>
    <w:rsid w:val="143479E9"/>
    <w:rsid w:val="1445A0A9"/>
    <w:rsid w:val="1454AECD"/>
    <w:rsid w:val="1456151F"/>
    <w:rsid w:val="1456A482"/>
    <w:rsid w:val="145B37F7"/>
    <w:rsid w:val="145B3C87"/>
    <w:rsid w:val="145B94DA"/>
    <w:rsid w:val="145CCB85"/>
    <w:rsid w:val="145D4EF5"/>
    <w:rsid w:val="1461821C"/>
    <w:rsid w:val="1463CF3A"/>
    <w:rsid w:val="1466BA1D"/>
    <w:rsid w:val="1468DA41"/>
    <w:rsid w:val="146CE8E3"/>
    <w:rsid w:val="146F43DF"/>
    <w:rsid w:val="1470CFA0"/>
    <w:rsid w:val="14724E67"/>
    <w:rsid w:val="147E573B"/>
    <w:rsid w:val="148B3F7A"/>
    <w:rsid w:val="148F183E"/>
    <w:rsid w:val="14955FC3"/>
    <w:rsid w:val="149C6B83"/>
    <w:rsid w:val="149CF5BE"/>
    <w:rsid w:val="14A4F1FD"/>
    <w:rsid w:val="14B63496"/>
    <w:rsid w:val="14CE03C6"/>
    <w:rsid w:val="14D6C6A7"/>
    <w:rsid w:val="14D76721"/>
    <w:rsid w:val="14F0B435"/>
    <w:rsid w:val="14F717D3"/>
    <w:rsid w:val="150699CE"/>
    <w:rsid w:val="151402B7"/>
    <w:rsid w:val="15216133"/>
    <w:rsid w:val="152B7C17"/>
    <w:rsid w:val="15436B3E"/>
    <w:rsid w:val="154B7D19"/>
    <w:rsid w:val="1553731C"/>
    <w:rsid w:val="155422A8"/>
    <w:rsid w:val="155873D9"/>
    <w:rsid w:val="155AADE3"/>
    <w:rsid w:val="155C641D"/>
    <w:rsid w:val="15621703"/>
    <w:rsid w:val="156747C5"/>
    <w:rsid w:val="15695E01"/>
    <w:rsid w:val="156BB864"/>
    <w:rsid w:val="15786D35"/>
    <w:rsid w:val="157E9179"/>
    <w:rsid w:val="15860DA7"/>
    <w:rsid w:val="158B010B"/>
    <w:rsid w:val="158D917D"/>
    <w:rsid w:val="159822AF"/>
    <w:rsid w:val="15A8680B"/>
    <w:rsid w:val="15B52D35"/>
    <w:rsid w:val="15BFEFFB"/>
    <w:rsid w:val="15C17BB8"/>
    <w:rsid w:val="15C379C3"/>
    <w:rsid w:val="15EC617F"/>
    <w:rsid w:val="15F908CE"/>
    <w:rsid w:val="15FA6415"/>
    <w:rsid w:val="15FAD7D8"/>
    <w:rsid w:val="16001411"/>
    <w:rsid w:val="160674A5"/>
    <w:rsid w:val="162BC640"/>
    <w:rsid w:val="16335C3F"/>
    <w:rsid w:val="1663DF11"/>
    <w:rsid w:val="16684222"/>
    <w:rsid w:val="1671AA80"/>
    <w:rsid w:val="167C035D"/>
    <w:rsid w:val="167F614F"/>
    <w:rsid w:val="167FB92A"/>
    <w:rsid w:val="16A66DD8"/>
    <w:rsid w:val="16AD1F76"/>
    <w:rsid w:val="16B4346B"/>
    <w:rsid w:val="16BBE870"/>
    <w:rsid w:val="16D10782"/>
    <w:rsid w:val="16D25D4D"/>
    <w:rsid w:val="16D4F71E"/>
    <w:rsid w:val="16DC3439"/>
    <w:rsid w:val="16DD1C70"/>
    <w:rsid w:val="16DED3F6"/>
    <w:rsid w:val="16E81CD6"/>
    <w:rsid w:val="16EAF1D8"/>
    <w:rsid w:val="16EC8A56"/>
    <w:rsid w:val="16F9CDFA"/>
    <w:rsid w:val="170938AC"/>
    <w:rsid w:val="170C6E8E"/>
    <w:rsid w:val="171262DB"/>
    <w:rsid w:val="1718B441"/>
    <w:rsid w:val="171E7257"/>
    <w:rsid w:val="171F3F6E"/>
    <w:rsid w:val="171F4794"/>
    <w:rsid w:val="1727CD4A"/>
    <w:rsid w:val="172F7EEF"/>
    <w:rsid w:val="1739968E"/>
    <w:rsid w:val="173B0BD1"/>
    <w:rsid w:val="174054F5"/>
    <w:rsid w:val="176641D5"/>
    <w:rsid w:val="176AE3C3"/>
    <w:rsid w:val="176D5AED"/>
    <w:rsid w:val="176F1D9A"/>
    <w:rsid w:val="1771B4EC"/>
    <w:rsid w:val="1777EA9E"/>
    <w:rsid w:val="177A892F"/>
    <w:rsid w:val="17866212"/>
    <w:rsid w:val="17890D7F"/>
    <w:rsid w:val="178CE823"/>
    <w:rsid w:val="17979AEC"/>
    <w:rsid w:val="17A61FCA"/>
    <w:rsid w:val="17A69A6C"/>
    <w:rsid w:val="17A98E5C"/>
    <w:rsid w:val="17AC44E1"/>
    <w:rsid w:val="17B2FBF2"/>
    <w:rsid w:val="17B54146"/>
    <w:rsid w:val="17B68B8F"/>
    <w:rsid w:val="17D0CA8C"/>
    <w:rsid w:val="17D2494A"/>
    <w:rsid w:val="17D42E6A"/>
    <w:rsid w:val="17E02DEF"/>
    <w:rsid w:val="17E99B9A"/>
    <w:rsid w:val="17F04A08"/>
    <w:rsid w:val="17F2B88E"/>
    <w:rsid w:val="17F634AE"/>
    <w:rsid w:val="17FDADA3"/>
    <w:rsid w:val="17FEE251"/>
    <w:rsid w:val="1802C39C"/>
    <w:rsid w:val="1806D24C"/>
    <w:rsid w:val="18076B04"/>
    <w:rsid w:val="180781E4"/>
    <w:rsid w:val="1808765A"/>
    <w:rsid w:val="180CC699"/>
    <w:rsid w:val="1814B9FF"/>
    <w:rsid w:val="1815F935"/>
    <w:rsid w:val="181A5E05"/>
    <w:rsid w:val="18324E56"/>
    <w:rsid w:val="18386215"/>
    <w:rsid w:val="183CCAC9"/>
    <w:rsid w:val="183E17D5"/>
    <w:rsid w:val="183E8F83"/>
    <w:rsid w:val="1840324A"/>
    <w:rsid w:val="1845DC1C"/>
    <w:rsid w:val="18518423"/>
    <w:rsid w:val="1851CE9B"/>
    <w:rsid w:val="18559A50"/>
    <w:rsid w:val="1865FCAF"/>
    <w:rsid w:val="18689D78"/>
    <w:rsid w:val="186A7210"/>
    <w:rsid w:val="186B226C"/>
    <w:rsid w:val="1878A542"/>
    <w:rsid w:val="188CC783"/>
    <w:rsid w:val="189F83FA"/>
    <w:rsid w:val="18AAB37B"/>
    <w:rsid w:val="18B1E972"/>
    <w:rsid w:val="18BBF1BF"/>
    <w:rsid w:val="18BCBBD9"/>
    <w:rsid w:val="18CB6A56"/>
    <w:rsid w:val="18CEB1E5"/>
    <w:rsid w:val="18D0BC9C"/>
    <w:rsid w:val="18DAB256"/>
    <w:rsid w:val="18DC0D59"/>
    <w:rsid w:val="18E17F5D"/>
    <w:rsid w:val="18E2C62A"/>
    <w:rsid w:val="18F109CE"/>
    <w:rsid w:val="191993F3"/>
    <w:rsid w:val="19264DD0"/>
    <w:rsid w:val="192E9876"/>
    <w:rsid w:val="19312BD9"/>
    <w:rsid w:val="19437D70"/>
    <w:rsid w:val="194DB798"/>
    <w:rsid w:val="194E17B0"/>
    <w:rsid w:val="194E2C9E"/>
    <w:rsid w:val="19570271"/>
    <w:rsid w:val="195AC6C9"/>
    <w:rsid w:val="1964A633"/>
    <w:rsid w:val="19653389"/>
    <w:rsid w:val="1973F5E4"/>
    <w:rsid w:val="1981FC76"/>
    <w:rsid w:val="1990B6D1"/>
    <w:rsid w:val="19AC87E5"/>
    <w:rsid w:val="19AFDE47"/>
    <w:rsid w:val="19C9447D"/>
    <w:rsid w:val="19CD0851"/>
    <w:rsid w:val="19D81ECD"/>
    <w:rsid w:val="19F07051"/>
    <w:rsid w:val="19F3AAAC"/>
    <w:rsid w:val="19F77AD8"/>
    <w:rsid w:val="1A0D5C0B"/>
    <w:rsid w:val="1A125B69"/>
    <w:rsid w:val="1A1F753D"/>
    <w:rsid w:val="1A20809B"/>
    <w:rsid w:val="1A288661"/>
    <w:rsid w:val="1A33FBB0"/>
    <w:rsid w:val="1A44F818"/>
    <w:rsid w:val="1A4F4A8A"/>
    <w:rsid w:val="1A5324A0"/>
    <w:rsid w:val="1A5608DD"/>
    <w:rsid w:val="1A5F2D1B"/>
    <w:rsid w:val="1A66C31A"/>
    <w:rsid w:val="1A6D10E8"/>
    <w:rsid w:val="1A74805C"/>
    <w:rsid w:val="1A8E9358"/>
    <w:rsid w:val="1A92C153"/>
    <w:rsid w:val="1A9751FA"/>
    <w:rsid w:val="1AA0ABA8"/>
    <w:rsid w:val="1AA3CC3F"/>
    <w:rsid w:val="1AB066B3"/>
    <w:rsid w:val="1AB14DE5"/>
    <w:rsid w:val="1AB4A9AD"/>
    <w:rsid w:val="1AB5260C"/>
    <w:rsid w:val="1AB9F38D"/>
    <w:rsid w:val="1ABB9AE0"/>
    <w:rsid w:val="1AC5249C"/>
    <w:rsid w:val="1ACF8532"/>
    <w:rsid w:val="1AD6EE87"/>
    <w:rsid w:val="1AEC5DF0"/>
    <w:rsid w:val="1AF88FC1"/>
    <w:rsid w:val="1AFEBB15"/>
    <w:rsid w:val="1B020B59"/>
    <w:rsid w:val="1B04342D"/>
    <w:rsid w:val="1B0C4B2C"/>
    <w:rsid w:val="1B115A16"/>
    <w:rsid w:val="1B118CCF"/>
    <w:rsid w:val="1B124DEB"/>
    <w:rsid w:val="1B284747"/>
    <w:rsid w:val="1B2C00B1"/>
    <w:rsid w:val="1B3B3F83"/>
    <w:rsid w:val="1B3C7014"/>
    <w:rsid w:val="1B47624D"/>
    <w:rsid w:val="1B5211B0"/>
    <w:rsid w:val="1B5F2D05"/>
    <w:rsid w:val="1B69666E"/>
    <w:rsid w:val="1B6B70D2"/>
    <w:rsid w:val="1B72F176"/>
    <w:rsid w:val="1B788F5A"/>
    <w:rsid w:val="1B79E43A"/>
    <w:rsid w:val="1B843771"/>
    <w:rsid w:val="1B8C5C8C"/>
    <w:rsid w:val="1B961E90"/>
    <w:rsid w:val="1BA19C97"/>
    <w:rsid w:val="1BAAFB3D"/>
    <w:rsid w:val="1BB96FBA"/>
    <w:rsid w:val="1BC05632"/>
    <w:rsid w:val="1BCB9FEB"/>
    <w:rsid w:val="1BCDB360"/>
    <w:rsid w:val="1BD6BFB4"/>
    <w:rsid w:val="1BDB7413"/>
    <w:rsid w:val="1C19EFE5"/>
    <w:rsid w:val="1C1A490D"/>
    <w:rsid w:val="1C3377D9"/>
    <w:rsid w:val="1C3436CF"/>
    <w:rsid w:val="1C36B4AD"/>
    <w:rsid w:val="1C376FA3"/>
    <w:rsid w:val="1C465130"/>
    <w:rsid w:val="1C4D2513"/>
    <w:rsid w:val="1C563AB4"/>
    <w:rsid w:val="1C5FD375"/>
    <w:rsid w:val="1C64A53F"/>
    <w:rsid w:val="1C67C489"/>
    <w:rsid w:val="1C6A1C4E"/>
    <w:rsid w:val="1C6CC6BC"/>
    <w:rsid w:val="1C7E2444"/>
    <w:rsid w:val="1C7EB1C1"/>
    <w:rsid w:val="1C8101C6"/>
    <w:rsid w:val="1C93F3FC"/>
    <w:rsid w:val="1C9FE35E"/>
    <w:rsid w:val="1CA071E2"/>
    <w:rsid w:val="1CA23BF9"/>
    <w:rsid w:val="1CA349B1"/>
    <w:rsid w:val="1CA59F34"/>
    <w:rsid w:val="1CB174D8"/>
    <w:rsid w:val="1CBCC484"/>
    <w:rsid w:val="1CCA32DD"/>
    <w:rsid w:val="1CD5F802"/>
    <w:rsid w:val="1CE8632C"/>
    <w:rsid w:val="1CEAF771"/>
    <w:rsid w:val="1CF5E0A3"/>
    <w:rsid w:val="1D103BEC"/>
    <w:rsid w:val="1D15B278"/>
    <w:rsid w:val="1D2B8183"/>
    <w:rsid w:val="1D2CE270"/>
    <w:rsid w:val="1D59F679"/>
    <w:rsid w:val="1D7ABC60"/>
    <w:rsid w:val="1D7D04AB"/>
    <w:rsid w:val="1D97FD6C"/>
    <w:rsid w:val="1D99E518"/>
    <w:rsid w:val="1DA11F5F"/>
    <w:rsid w:val="1DA29D2A"/>
    <w:rsid w:val="1DC3EFA1"/>
    <w:rsid w:val="1DEB1559"/>
    <w:rsid w:val="1DEC7939"/>
    <w:rsid w:val="1DEDB6E8"/>
    <w:rsid w:val="1E08AEEF"/>
    <w:rsid w:val="1E152CB5"/>
    <w:rsid w:val="1E2064A9"/>
    <w:rsid w:val="1E24FAF3"/>
    <w:rsid w:val="1E2BEF0D"/>
    <w:rsid w:val="1E33536F"/>
    <w:rsid w:val="1E3361EE"/>
    <w:rsid w:val="1E3C2AA5"/>
    <w:rsid w:val="1E3C67CB"/>
    <w:rsid w:val="1E45B617"/>
    <w:rsid w:val="1E4BD1E5"/>
    <w:rsid w:val="1E52B35E"/>
    <w:rsid w:val="1E5D38F1"/>
    <w:rsid w:val="1E6552D0"/>
    <w:rsid w:val="1E680358"/>
    <w:rsid w:val="1E6E3B93"/>
    <w:rsid w:val="1E755452"/>
    <w:rsid w:val="1E7E3F64"/>
    <w:rsid w:val="1E808D46"/>
    <w:rsid w:val="1E809163"/>
    <w:rsid w:val="1E8C6B5D"/>
    <w:rsid w:val="1E921D70"/>
    <w:rsid w:val="1E9BEA65"/>
    <w:rsid w:val="1EA10582"/>
    <w:rsid w:val="1EA3A1DA"/>
    <w:rsid w:val="1EA7CDC1"/>
    <w:rsid w:val="1EA95B1C"/>
    <w:rsid w:val="1EB1DDA3"/>
    <w:rsid w:val="1EBC7DB1"/>
    <w:rsid w:val="1EC0D4FF"/>
    <w:rsid w:val="1EC875D4"/>
    <w:rsid w:val="1EE05FAF"/>
    <w:rsid w:val="1EE43BEB"/>
    <w:rsid w:val="1EFA01F5"/>
    <w:rsid w:val="1EFA65D7"/>
    <w:rsid w:val="1EFBD1FE"/>
    <w:rsid w:val="1EFC8217"/>
    <w:rsid w:val="1F04DF88"/>
    <w:rsid w:val="1F2012DD"/>
    <w:rsid w:val="1F307BF2"/>
    <w:rsid w:val="1F3B147F"/>
    <w:rsid w:val="1F466319"/>
    <w:rsid w:val="1F4EAEF5"/>
    <w:rsid w:val="1F504617"/>
    <w:rsid w:val="1F67DFFE"/>
    <w:rsid w:val="1F69A8C9"/>
    <w:rsid w:val="1F714441"/>
    <w:rsid w:val="1F7EC3AE"/>
    <w:rsid w:val="1F8BB53C"/>
    <w:rsid w:val="1F9A9A65"/>
    <w:rsid w:val="1FAC85AE"/>
    <w:rsid w:val="1FAC90BF"/>
    <w:rsid w:val="1FB310AF"/>
    <w:rsid w:val="1FC4B40B"/>
    <w:rsid w:val="1FCB357B"/>
    <w:rsid w:val="1FCFC106"/>
    <w:rsid w:val="1FD95771"/>
    <w:rsid w:val="1FDEC487"/>
    <w:rsid w:val="1FE8D2FB"/>
    <w:rsid w:val="1FE90170"/>
    <w:rsid w:val="1FF58979"/>
    <w:rsid w:val="20050F8E"/>
    <w:rsid w:val="20106F83"/>
    <w:rsid w:val="2010D211"/>
    <w:rsid w:val="202861C4"/>
    <w:rsid w:val="20316C6A"/>
    <w:rsid w:val="203842A1"/>
    <w:rsid w:val="204A694E"/>
    <w:rsid w:val="2050FD0E"/>
    <w:rsid w:val="205CB572"/>
    <w:rsid w:val="20617059"/>
    <w:rsid w:val="20679D27"/>
    <w:rsid w:val="2069DE05"/>
    <w:rsid w:val="206EFFA4"/>
    <w:rsid w:val="207053E3"/>
    <w:rsid w:val="207E5816"/>
    <w:rsid w:val="208E655F"/>
    <w:rsid w:val="2097FB18"/>
    <w:rsid w:val="20B85356"/>
    <w:rsid w:val="20C5AF4B"/>
    <w:rsid w:val="20C8B050"/>
    <w:rsid w:val="20CA1D1E"/>
    <w:rsid w:val="20CC4C47"/>
    <w:rsid w:val="20D0C38D"/>
    <w:rsid w:val="20D10170"/>
    <w:rsid w:val="20D4D14A"/>
    <w:rsid w:val="20DB0B9A"/>
    <w:rsid w:val="20E7373B"/>
    <w:rsid w:val="20FC94EF"/>
    <w:rsid w:val="20FD58DA"/>
    <w:rsid w:val="21003437"/>
    <w:rsid w:val="2105A908"/>
    <w:rsid w:val="2114F112"/>
    <w:rsid w:val="211A90AE"/>
    <w:rsid w:val="2129B46D"/>
    <w:rsid w:val="212EC324"/>
    <w:rsid w:val="2132B5B9"/>
    <w:rsid w:val="21383028"/>
    <w:rsid w:val="213959C3"/>
    <w:rsid w:val="213CC36E"/>
    <w:rsid w:val="21412424"/>
    <w:rsid w:val="2144AD2B"/>
    <w:rsid w:val="2151ABE1"/>
    <w:rsid w:val="2165AF76"/>
    <w:rsid w:val="2171751E"/>
    <w:rsid w:val="2181A289"/>
    <w:rsid w:val="218E9517"/>
    <w:rsid w:val="2195B71A"/>
    <w:rsid w:val="2199B0F5"/>
    <w:rsid w:val="21A3CBCA"/>
    <w:rsid w:val="21A3F034"/>
    <w:rsid w:val="21A6230F"/>
    <w:rsid w:val="21AB7F42"/>
    <w:rsid w:val="21C600B1"/>
    <w:rsid w:val="21CA84B2"/>
    <w:rsid w:val="21D9329A"/>
    <w:rsid w:val="22071299"/>
    <w:rsid w:val="221CC0E4"/>
    <w:rsid w:val="22380027"/>
    <w:rsid w:val="22437564"/>
    <w:rsid w:val="22470192"/>
    <w:rsid w:val="22493DDE"/>
    <w:rsid w:val="225DC757"/>
    <w:rsid w:val="22733972"/>
    <w:rsid w:val="2290A363"/>
    <w:rsid w:val="2299C498"/>
    <w:rsid w:val="22A084F6"/>
    <w:rsid w:val="22AE8A53"/>
    <w:rsid w:val="22B67615"/>
    <w:rsid w:val="22BEAD3F"/>
    <w:rsid w:val="22CA6BBA"/>
    <w:rsid w:val="22D95D16"/>
    <w:rsid w:val="22E4E5B4"/>
    <w:rsid w:val="22E84C5F"/>
    <w:rsid w:val="22F1CB88"/>
    <w:rsid w:val="23038BAD"/>
    <w:rsid w:val="2309BAA9"/>
    <w:rsid w:val="231372DE"/>
    <w:rsid w:val="2326CA86"/>
    <w:rsid w:val="232C9E11"/>
    <w:rsid w:val="2339EEF5"/>
    <w:rsid w:val="23413AA9"/>
    <w:rsid w:val="2347092E"/>
    <w:rsid w:val="23483434"/>
    <w:rsid w:val="2348983C"/>
    <w:rsid w:val="2348EE70"/>
    <w:rsid w:val="234AB935"/>
    <w:rsid w:val="2350549C"/>
    <w:rsid w:val="235627B5"/>
    <w:rsid w:val="235D83F7"/>
    <w:rsid w:val="23621B37"/>
    <w:rsid w:val="236860A8"/>
    <w:rsid w:val="23720B7D"/>
    <w:rsid w:val="23732E41"/>
    <w:rsid w:val="23747C8D"/>
    <w:rsid w:val="2374F3A6"/>
    <w:rsid w:val="2376773F"/>
    <w:rsid w:val="2376F226"/>
    <w:rsid w:val="23791A29"/>
    <w:rsid w:val="237C0C94"/>
    <w:rsid w:val="23852E02"/>
    <w:rsid w:val="238FF77D"/>
    <w:rsid w:val="23910AD1"/>
    <w:rsid w:val="23914F67"/>
    <w:rsid w:val="2399F2F3"/>
    <w:rsid w:val="239A8DFF"/>
    <w:rsid w:val="239C42B8"/>
    <w:rsid w:val="23A06957"/>
    <w:rsid w:val="23A79E9D"/>
    <w:rsid w:val="23AD1B13"/>
    <w:rsid w:val="23B1A92C"/>
    <w:rsid w:val="23B5A370"/>
    <w:rsid w:val="23C87A48"/>
    <w:rsid w:val="23CDA8EE"/>
    <w:rsid w:val="23D82C9B"/>
    <w:rsid w:val="23F02BB7"/>
    <w:rsid w:val="23F100DE"/>
    <w:rsid w:val="23F46A5D"/>
    <w:rsid w:val="23F786F1"/>
    <w:rsid w:val="240121BA"/>
    <w:rsid w:val="240229D6"/>
    <w:rsid w:val="24163752"/>
    <w:rsid w:val="24182755"/>
    <w:rsid w:val="241AACA0"/>
    <w:rsid w:val="241D7F19"/>
    <w:rsid w:val="2427CE3C"/>
    <w:rsid w:val="24288405"/>
    <w:rsid w:val="242A1186"/>
    <w:rsid w:val="24322BC2"/>
    <w:rsid w:val="24475CDF"/>
    <w:rsid w:val="244C78F7"/>
    <w:rsid w:val="244FF4F5"/>
    <w:rsid w:val="2458CAC3"/>
    <w:rsid w:val="2471DF28"/>
    <w:rsid w:val="247833F2"/>
    <w:rsid w:val="247F487C"/>
    <w:rsid w:val="2481D668"/>
    <w:rsid w:val="2488FB24"/>
    <w:rsid w:val="248F2327"/>
    <w:rsid w:val="24916DEB"/>
    <w:rsid w:val="2498D108"/>
    <w:rsid w:val="24BA4F15"/>
    <w:rsid w:val="24C4ED45"/>
    <w:rsid w:val="24C79D03"/>
    <w:rsid w:val="24D55055"/>
    <w:rsid w:val="24EBBB80"/>
    <w:rsid w:val="24F82475"/>
    <w:rsid w:val="25134DD7"/>
    <w:rsid w:val="25196448"/>
    <w:rsid w:val="251BDADB"/>
    <w:rsid w:val="252F4930"/>
    <w:rsid w:val="253519E4"/>
    <w:rsid w:val="25388739"/>
    <w:rsid w:val="253A93E5"/>
    <w:rsid w:val="2541A651"/>
    <w:rsid w:val="255322C8"/>
    <w:rsid w:val="2556E02C"/>
    <w:rsid w:val="2570D18E"/>
    <w:rsid w:val="2572A247"/>
    <w:rsid w:val="2573E45F"/>
    <w:rsid w:val="2583B61F"/>
    <w:rsid w:val="258642FC"/>
    <w:rsid w:val="2589586B"/>
    <w:rsid w:val="258B77E7"/>
    <w:rsid w:val="25A610A6"/>
    <w:rsid w:val="25AAABCB"/>
    <w:rsid w:val="25BAF5AD"/>
    <w:rsid w:val="25DD2B88"/>
    <w:rsid w:val="25E3FD8F"/>
    <w:rsid w:val="25E9F90F"/>
    <w:rsid w:val="25F7AC5E"/>
    <w:rsid w:val="26162263"/>
    <w:rsid w:val="263C05DB"/>
    <w:rsid w:val="264993E1"/>
    <w:rsid w:val="265A7134"/>
    <w:rsid w:val="265C91AB"/>
    <w:rsid w:val="2666D18F"/>
    <w:rsid w:val="2669A6F2"/>
    <w:rsid w:val="268134AD"/>
    <w:rsid w:val="2684D468"/>
    <w:rsid w:val="268577C7"/>
    <w:rsid w:val="268A4C1E"/>
    <w:rsid w:val="268FD560"/>
    <w:rsid w:val="26A4628B"/>
    <w:rsid w:val="26B365B2"/>
    <w:rsid w:val="26B5D6DB"/>
    <w:rsid w:val="26BBC193"/>
    <w:rsid w:val="26CA1C00"/>
    <w:rsid w:val="26CE1F7E"/>
    <w:rsid w:val="26EAED31"/>
    <w:rsid w:val="26EB996B"/>
    <w:rsid w:val="26F78EC1"/>
    <w:rsid w:val="26FF130D"/>
    <w:rsid w:val="270952B2"/>
    <w:rsid w:val="270E5791"/>
    <w:rsid w:val="2719C5E2"/>
    <w:rsid w:val="271FFF62"/>
    <w:rsid w:val="27220D45"/>
    <w:rsid w:val="2731CAAD"/>
    <w:rsid w:val="2735762C"/>
    <w:rsid w:val="27444B3C"/>
    <w:rsid w:val="27541D10"/>
    <w:rsid w:val="277514C4"/>
    <w:rsid w:val="278347FF"/>
    <w:rsid w:val="27864B56"/>
    <w:rsid w:val="27B327E2"/>
    <w:rsid w:val="27BB39C9"/>
    <w:rsid w:val="27CBE1A1"/>
    <w:rsid w:val="27D7CD44"/>
    <w:rsid w:val="27E7216A"/>
    <w:rsid w:val="28091049"/>
    <w:rsid w:val="28160F91"/>
    <w:rsid w:val="28315A43"/>
    <w:rsid w:val="2832D4A5"/>
    <w:rsid w:val="284EF822"/>
    <w:rsid w:val="28583672"/>
    <w:rsid w:val="28601313"/>
    <w:rsid w:val="28709F0E"/>
    <w:rsid w:val="287D342D"/>
    <w:rsid w:val="288395EC"/>
    <w:rsid w:val="2886F269"/>
    <w:rsid w:val="2893FC55"/>
    <w:rsid w:val="28A584D4"/>
    <w:rsid w:val="28B00DF7"/>
    <w:rsid w:val="28C4271C"/>
    <w:rsid w:val="28CB8DED"/>
    <w:rsid w:val="28D30731"/>
    <w:rsid w:val="28D6C5F0"/>
    <w:rsid w:val="28E1DA94"/>
    <w:rsid w:val="28F40DC2"/>
    <w:rsid w:val="28F8E357"/>
    <w:rsid w:val="290BAB8D"/>
    <w:rsid w:val="290CF171"/>
    <w:rsid w:val="291A70ED"/>
    <w:rsid w:val="291AD172"/>
    <w:rsid w:val="291CA88B"/>
    <w:rsid w:val="2926DB89"/>
    <w:rsid w:val="292E8BC3"/>
    <w:rsid w:val="292ED90B"/>
    <w:rsid w:val="29377F0E"/>
    <w:rsid w:val="293B6F97"/>
    <w:rsid w:val="293C279F"/>
    <w:rsid w:val="29415024"/>
    <w:rsid w:val="2946A0E0"/>
    <w:rsid w:val="295F8079"/>
    <w:rsid w:val="2961675F"/>
    <w:rsid w:val="2964BAEC"/>
    <w:rsid w:val="2964E0F0"/>
    <w:rsid w:val="296F6C31"/>
    <w:rsid w:val="2982E3CA"/>
    <w:rsid w:val="298E0023"/>
    <w:rsid w:val="2990D260"/>
    <w:rsid w:val="29A43E87"/>
    <w:rsid w:val="29AD78FD"/>
    <w:rsid w:val="29B9AD08"/>
    <w:rsid w:val="29C188A5"/>
    <w:rsid w:val="29C3AF55"/>
    <w:rsid w:val="29C59BF0"/>
    <w:rsid w:val="29CBA223"/>
    <w:rsid w:val="29D776EB"/>
    <w:rsid w:val="29DE9A44"/>
    <w:rsid w:val="29DEDBAE"/>
    <w:rsid w:val="29EAB752"/>
    <w:rsid w:val="29EBEC08"/>
    <w:rsid w:val="29EDF2BE"/>
    <w:rsid w:val="29FF0451"/>
    <w:rsid w:val="2A05EF3A"/>
    <w:rsid w:val="2A1478B0"/>
    <w:rsid w:val="2A277C3D"/>
    <w:rsid w:val="2A342D1C"/>
    <w:rsid w:val="2A3741E2"/>
    <w:rsid w:val="2A4521DD"/>
    <w:rsid w:val="2A45BED7"/>
    <w:rsid w:val="2A4D6793"/>
    <w:rsid w:val="2A5C8A34"/>
    <w:rsid w:val="2A6804CF"/>
    <w:rsid w:val="2A718BBA"/>
    <w:rsid w:val="2A775D76"/>
    <w:rsid w:val="2A7CD5CE"/>
    <w:rsid w:val="2A81122F"/>
    <w:rsid w:val="2A9127B6"/>
    <w:rsid w:val="2A9F9A11"/>
    <w:rsid w:val="2AA48CE4"/>
    <w:rsid w:val="2AABC23E"/>
    <w:rsid w:val="2AB0D898"/>
    <w:rsid w:val="2AB4F2C9"/>
    <w:rsid w:val="2AB768EA"/>
    <w:rsid w:val="2AC97CBE"/>
    <w:rsid w:val="2AD2E687"/>
    <w:rsid w:val="2AD4342E"/>
    <w:rsid w:val="2AD7188D"/>
    <w:rsid w:val="2AD99E69"/>
    <w:rsid w:val="2ADA0757"/>
    <w:rsid w:val="2AEFC3A7"/>
    <w:rsid w:val="2AFA8DFC"/>
    <w:rsid w:val="2AFCE41E"/>
    <w:rsid w:val="2B08CF5E"/>
    <w:rsid w:val="2B0C19E9"/>
    <w:rsid w:val="2B2456E5"/>
    <w:rsid w:val="2B29D0BF"/>
    <w:rsid w:val="2B2CD3D3"/>
    <w:rsid w:val="2B2EF5BF"/>
    <w:rsid w:val="2B3093E0"/>
    <w:rsid w:val="2B342E0C"/>
    <w:rsid w:val="2B4EE19A"/>
    <w:rsid w:val="2B4EEDD5"/>
    <w:rsid w:val="2B5EE1AA"/>
    <w:rsid w:val="2B63E72E"/>
    <w:rsid w:val="2B686628"/>
    <w:rsid w:val="2B699A3A"/>
    <w:rsid w:val="2B6A1AD4"/>
    <w:rsid w:val="2B72676C"/>
    <w:rsid w:val="2B8ACAD0"/>
    <w:rsid w:val="2B8DB008"/>
    <w:rsid w:val="2BA0F555"/>
    <w:rsid w:val="2BA8BB2B"/>
    <w:rsid w:val="2BB120C9"/>
    <w:rsid w:val="2BB58E05"/>
    <w:rsid w:val="2BBCDEA6"/>
    <w:rsid w:val="2BC752D8"/>
    <w:rsid w:val="2BD0D64D"/>
    <w:rsid w:val="2BD95E89"/>
    <w:rsid w:val="2BE5BA5F"/>
    <w:rsid w:val="2BE71E02"/>
    <w:rsid w:val="2BEF5C8C"/>
    <w:rsid w:val="2BF43126"/>
    <w:rsid w:val="2C006B69"/>
    <w:rsid w:val="2C0FF526"/>
    <w:rsid w:val="2C11003D"/>
    <w:rsid w:val="2C1270B8"/>
    <w:rsid w:val="2C20EBA7"/>
    <w:rsid w:val="2C218A30"/>
    <w:rsid w:val="2C251624"/>
    <w:rsid w:val="2C278BD8"/>
    <w:rsid w:val="2C2D4B3E"/>
    <w:rsid w:val="2C2DD95F"/>
    <w:rsid w:val="2C44C02F"/>
    <w:rsid w:val="2C5569B1"/>
    <w:rsid w:val="2C56DF54"/>
    <w:rsid w:val="2C58DCD4"/>
    <w:rsid w:val="2C5CFE03"/>
    <w:rsid w:val="2C5E5153"/>
    <w:rsid w:val="2C6D8FB3"/>
    <w:rsid w:val="2C6FC5A9"/>
    <w:rsid w:val="2C754AA9"/>
    <w:rsid w:val="2C7B7D70"/>
    <w:rsid w:val="2CACF3AF"/>
    <w:rsid w:val="2CB07FB0"/>
    <w:rsid w:val="2CB24902"/>
    <w:rsid w:val="2CC155D4"/>
    <w:rsid w:val="2CCE54BB"/>
    <w:rsid w:val="2CD4C9D8"/>
    <w:rsid w:val="2CD94671"/>
    <w:rsid w:val="2CE1F466"/>
    <w:rsid w:val="2CE7D810"/>
    <w:rsid w:val="2CFB89F8"/>
    <w:rsid w:val="2D063E41"/>
    <w:rsid w:val="2D0A6597"/>
    <w:rsid w:val="2D0FC772"/>
    <w:rsid w:val="2D1AAA6F"/>
    <w:rsid w:val="2D1EBA90"/>
    <w:rsid w:val="2D357B7E"/>
    <w:rsid w:val="2D37F044"/>
    <w:rsid w:val="2D433D5A"/>
    <w:rsid w:val="2D49556E"/>
    <w:rsid w:val="2D55DA6D"/>
    <w:rsid w:val="2D7018DC"/>
    <w:rsid w:val="2D7A02D2"/>
    <w:rsid w:val="2D7B4C87"/>
    <w:rsid w:val="2D800FFF"/>
    <w:rsid w:val="2D845E66"/>
    <w:rsid w:val="2D87DB80"/>
    <w:rsid w:val="2D8E6C86"/>
    <w:rsid w:val="2D96E881"/>
    <w:rsid w:val="2D98618D"/>
    <w:rsid w:val="2D99F47C"/>
    <w:rsid w:val="2D9C94CB"/>
    <w:rsid w:val="2DA26DC0"/>
    <w:rsid w:val="2DA6BBFE"/>
    <w:rsid w:val="2DB1FB9D"/>
    <w:rsid w:val="2DB2D8DD"/>
    <w:rsid w:val="2DB5C115"/>
    <w:rsid w:val="2DB708EA"/>
    <w:rsid w:val="2DBCC198"/>
    <w:rsid w:val="2DBF6698"/>
    <w:rsid w:val="2DEEE54D"/>
    <w:rsid w:val="2DEFCD9C"/>
    <w:rsid w:val="2DF42FB1"/>
    <w:rsid w:val="2DF88B36"/>
    <w:rsid w:val="2DFB46A3"/>
    <w:rsid w:val="2E0D2555"/>
    <w:rsid w:val="2E1F157C"/>
    <w:rsid w:val="2E210FCA"/>
    <w:rsid w:val="2E247131"/>
    <w:rsid w:val="2E2CB801"/>
    <w:rsid w:val="2E32F5F1"/>
    <w:rsid w:val="2E3FB066"/>
    <w:rsid w:val="2E4AA1B2"/>
    <w:rsid w:val="2E4B8276"/>
    <w:rsid w:val="2E5D5CE4"/>
    <w:rsid w:val="2E6DFA35"/>
    <w:rsid w:val="2E6F9A70"/>
    <w:rsid w:val="2E7BDA08"/>
    <w:rsid w:val="2E918757"/>
    <w:rsid w:val="2EAE4459"/>
    <w:rsid w:val="2EAF3D52"/>
    <w:rsid w:val="2EBDA46B"/>
    <w:rsid w:val="2ECD9847"/>
    <w:rsid w:val="2ECEFDCD"/>
    <w:rsid w:val="2EE2BD80"/>
    <w:rsid w:val="2EE50444"/>
    <w:rsid w:val="2EE83A69"/>
    <w:rsid w:val="2EE9B378"/>
    <w:rsid w:val="2EEBA1AB"/>
    <w:rsid w:val="2EF47096"/>
    <w:rsid w:val="2EF57C1F"/>
    <w:rsid w:val="2F04058A"/>
    <w:rsid w:val="2F066769"/>
    <w:rsid w:val="2F177321"/>
    <w:rsid w:val="2F1BFD1F"/>
    <w:rsid w:val="2F1F0814"/>
    <w:rsid w:val="2F1F750E"/>
    <w:rsid w:val="2F230667"/>
    <w:rsid w:val="2F26F2B6"/>
    <w:rsid w:val="2F4398F7"/>
    <w:rsid w:val="2F4D1240"/>
    <w:rsid w:val="2F51554F"/>
    <w:rsid w:val="2F5835B0"/>
    <w:rsid w:val="2F618B2F"/>
    <w:rsid w:val="2F661A1F"/>
    <w:rsid w:val="2F67CFCC"/>
    <w:rsid w:val="2F73419C"/>
    <w:rsid w:val="2F7A5CCD"/>
    <w:rsid w:val="2F7F4B3F"/>
    <w:rsid w:val="2F92FF07"/>
    <w:rsid w:val="2FAD2744"/>
    <w:rsid w:val="2FD27495"/>
    <w:rsid w:val="2FD508A9"/>
    <w:rsid w:val="2FD541B4"/>
    <w:rsid w:val="2FEB8EAA"/>
    <w:rsid w:val="2FF6318C"/>
    <w:rsid w:val="3010206A"/>
    <w:rsid w:val="301725CA"/>
    <w:rsid w:val="301A6444"/>
    <w:rsid w:val="3022C017"/>
    <w:rsid w:val="302DAEAA"/>
    <w:rsid w:val="30332E22"/>
    <w:rsid w:val="30373AA1"/>
    <w:rsid w:val="30437D48"/>
    <w:rsid w:val="3045FFF3"/>
    <w:rsid w:val="304CB369"/>
    <w:rsid w:val="305023CA"/>
    <w:rsid w:val="305B84B4"/>
    <w:rsid w:val="306517CA"/>
    <w:rsid w:val="3065D1E1"/>
    <w:rsid w:val="307462BC"/>
    <w:rsid w:val="307AE3A1"/>
    <w:rsid w:val="308A24FC"/>
    <w:rsid w:val="30959C8E"/>
    <w:rsid w:val="309E4A96"/>
    <w:rsid w:val="30B7DC0B"/>
    <w:rsid w:val="30BE4735"/>
    <w:rsid w:val="30C5138C"/>
    <w:rsid w:val="30C9490C"/>
    <w:rsid w:val="30D9F7E6"/>
    <w:rsid w:val="30DE9E2F"/>
    <w:rsid w:val="30F35542"/>
    <w:rsid w:val="30FB264C"/>
    <w:rsid w:val="31138E63"/>
    <w:rsid w:val="31213D0C"/>
    <w:rsid w:val="31516021"/>
    <w:rsid w:val="315981AA"/>
    <w:rsid w:val="315FC8D2"/>
    <w:rsid w:val="3163B558"/>
    <w:rsid w:val="316B4B48"/>
    <w:rsid w:val="319E1235"/>
    <w:rsid w:val="319E5AAB"/>
    <w:rsid w:val="31B5BBC4"/>
    <w:rsid w:val="31B9FD49"/>
    <w:rsid w:val="31BC74E2"/>
    <w:rsid w:val="31CA6B97"/>
    <w:rsid w:val="31CC4F83"/>
    <w:rsid w:val="31D7D817"/>
    <w:rsid w:val="31D84CDC"/>
    <w:rsid w:val="31D8F143"/>
    <w:rsid w:val="31E8C689"/>
    <w:rsid w:val="31F46100"/>
    <w:rsid w:val="31F4FEBE"/>
    <w:rsid w:val="32084D1C"/>
    <w:rsid w:val="32091C37"/>
    <w:rsid w:val="32096010"/>
    <w:rsid w:val="32154477"/>
    <w:rsid w:val="3222C608"/>
    <w:rsid w:val="3229975D"/>
    <w:rsid w:val="3232F9A0"/>
    <w:rsid w:val="3238D21D"/>
    <w:rsid w:val="324057BC"/>
    <w:rsid w:val="325222E4"/>
    <w:rsid w:val="3254B18B"/>
    <w:rsid w:val="32648A1E"/>
    <w:rsid w:val="327A515F"/>
    <w:rsid w:val="328E6034"/>
    <w:rsid w:val="329B592F"/>
    <w:rsid w:val="329C32A2"/>
    <w:rsid w:val="329C3F0A"/>
    <w:rsid w:val="32ABF794"/>
    <w:rsid w:val="32B9EF90"/>
    <w:rsid w:val="32BCC0AD"/>
    <w:rsid w:val="32DC5C0E"/>
    <w:rsid w:val="32E61F56"/>
    <w:rsid w:val="32F5C1AC"/>
    <w:rsid w:val="32FBB237"/>
    <w:rsid w:val="33075699"/>
    <w:rsid w:val="3308C537"/>
    <w:rsid w:val="33103A07"/>
    <w:rsid w:val="33123CB8"/>
    <w:rsid w:val="33194A74"/>
    <w:rsid w:val="331AD886"/>
    <w:rsid w:val="331DA82D"/>
    <w:rsid w:val="3321D9EF"/>
    <w:rsid w:val="33221FD5"/>
    <w:rsid w:val="333DC28B"/>
    <w:rsid w:val="3349421B"/>
    <w:rsid w:val="334CC44E"/>
    <w:rsid w:val="335A3776"/>
    <w:rsid w:val="335DC294"/>
    <w:rsid w:val="336AC440"/>
    <w:rsid w:val="337093D0"/>
    <w:rsid w:val="33886028"/>
    <w:rsid w:val="33897187"/>
    <w:rsid w:val="33984676"/>
    <w:rsid w:val="33BA6CD5"/>
    <w:rsid w:val="33BDD946"/>
    <w:rsid w:val="33BE3D4A"/>
    <w:rsid w:val="33CBC8D4"/>
    <w:rsid w:val="3400F7D4"/>
    <w:rsid w:val="3411DEC9"/>
    <w:rsid w:val="34184FE1"/>
    <w:rsid w:val="3423FE1C"/>
    <w:rsid w:val="3425C8D3"/>
    <w:rsid w:val="34281E23"/>
    <w:rsid w:val="342A9A8E"/>
    <w:rsid w:val="34333E96"/>
    <w:rsid w:val="343DFD9E"/>
    <w:rsid w:val="3445640F"/>
    <w:rsid w:val="344B6723"/>
    <w:rsid w:val="344F8A6F"/>
    <w:rsid w:val="344FA8ED"/>
    <w:rsid w:val="3451ED49"/>
    <w:rsid w:val="346A157E"/>
    <w:rsid w:val="346C0277"/>
    <w:rsid w:val="3474A69A"/>
    <w:rsid w:val="347CAB40"/>
    <w:rsid w:val="3495E092"/>
    <w:rsid w:val="349E9373"/>
    <w:rsid w:val="34AFE069"/>
    <w:rsid w:val="34C84F48"/>
    <w:rsid w:val="34CB9852"/>
    <w:rsid w:val="34D8EBDD"/>
    <w:rsid w:val="34E83044"/>
    <w:rsid w:val="34E8A387"/>
    <w:rsid w:val="34EEE27C"/>
    <w:rsid w:val="34F425AE"/>
    <w:rsid w:val="34F99DB0"/>
    <w:rsid w:val="34FA8A38"/>
    <w:rsid w:val="3507E103"/>
    <w:rsid w:val="350A7A8B"/>
    <w:rsid w:val="351425AE"/>
    <w:rsid w:val="351585D8"/>
    <w:rsid w:val="3525A684"/>
    <w:rsid w:val="35311A50"/>
    <w:rsid w:val="353A76A9"/>
    <w:rsid w:val="3549065D"/>
    <w:rsid w:val="356CE522"/>
    <w:rsid w:val="35755425"/>
    <w:rsid w:val="357928D4"/>
    <w:rsid w:val="35814CF5"/>
    <w:rsid w:val="35816867"/>
    <w:rsid w:val="3583BA07"/>
    <w:rsid w:val="35883AC4"/>
    <w:rsid w:val="358A68E0"/>
    <w:rsid w:val="358DCE9C"/>
    <w:rsid w:val="359895C1"/>
    <w:rsid w:val="35A0093B"/>
    <w:rsid w:val="35A3913D"/>
    <w:rsid w:val="35B6FB8A"/>
    <w:rsid w:val="35C96223"/>
    <w:rsid w:val="35CB6F9A"/>
    <w:rsid w:val="35D6EC68"/>
    <w:rsid w:val="35D717B6"/>
    <w:rsid w:val="35DFF5F9"/>
    <w:rsid w:val="35E31638"/>
    <w:rsid w:val="35E9A50B"/>
    <w:rsid w:val="35EBD414"/>
    <w:rsid w:val="35F4DCCA"/>
    <w:rsid w:val="35FEF8C4"/>
    <w:rsid w:val="3603F87C"/>
    <w:rsid w:val="36095190"/>
    <w:rsid w:val="360E4962"/>
    <w:rsid w:val="362BB0A3"/>
    <w:rsid w:val="362DB90C"/>
    <w:rsid w:val="3634CB59"/>
    <w:rsid w:val="366E8F01"/>
    <w:rsid w:val="3683B7C9"/>
    <w:rsid w:val="3689558D"/>
    <w:rsid w:val="368B8099"/>
    <w:rsid w:val="368C916D"/>
    <w:rsid w:val="3692580F"/>
    <w:rsid w:val="36961A9C"/>
    <w:rsid w:val="3696F4D5"/>
    <w:rsid w:val="36A15384"/>
    <w:rsid w:val="36A5B129"/>
    <w:rsid w:val="36A64789"/>
    <w:rsid w:val="36AF6D3B"/>
    <w:rsid w:val="36B9C47F"/>
    <w:rsid w:val="36BB6C0E"/>
    <w:rsid w:val="36C5E43A"/>
    <w:rsid w:val="36DC19C4"/>
    <w:rsid w:val="36DC2B4F"/>
    <w:rsid w:val="36DDD5C9"/>
    <w:rsid w:val="36EB0102"/>
    <w:rsid w:val="36ED44A7"/>
    <w:rsid w:val="36F8761D"/>
    <w:rsid w:val="36F8CFDA"/>
    <w:rsid w:val="36FAFBD6"/>
    <w:rsid w:val="36FC10DA"/>
    <w:rsid w:val="370737AD"/>
    <w:rsid w:val="370C15C0"/>
    <w:rsid w:val="37164D47"/>
    <w:rsid w:val="372ACF50"/>
    <w:rsid w:val="3731A31C"/>
    <w:rsid w:val="37417031"/>
    <w:rsid w:val="3754A5CB"/>
    <w:rsid w:val="3754D1FA"/>
    <w:rsid w:val="375D71F3"/>
    <w:rsid w:val="3761D733"/>
    <w:rsid w:val="376FAEC5"/>
    <w:rsid w:val="37762D4E"/>
    <w:rsid w:val="377EE699"/>
    <w:rsid w:val="3784AC8E"/>
    <w:rsid w:val="37970DE9"/>
    <w:rsid w:val="37A99F9F"/>
    <w:rsid w:val="37AA27C7"/>
    <w:rsid w:val="37AC4576"/>
    <w:rsid w:val="37BFAEA8"/>
    <w:rsid w:val="37C37A5D"/>
    <w:rsid w:val="37C9BC73"/>
    <w:rsid w:val="37CC4C13"/>
    <w:rsid w:val="37D0D204"/>
    <w:rsid w:val="37DCC2DB"/>
    <w:rsid w:val="37DCF75E"/>
    <w:rsid w:val="37E5B087"/>
    <w:rsid w:val="380CB48E"/>
    <w:rsid w:val="38143009"/>
    <w:rsid w:val="381D939C"/>
    <w:rsid w:val="381F264F"/>
    <w:rsid w:val="3822F7F8"/>
    <w:rsid w:val="383EE83C"/>
    <w:rsid w:val="384C3293"/>
    <w:rsid w:val="385CD73B"/>
    <w:rsid w:val="385E17B8"/>
    <w:rsid w:val="3867CB27"/>
    <w:rsid w:val="386832F8"/>
    <w:rsid w:val="38711973"/>
    <w:rsid w:val="387A2D7E"/>
    <w:rsid w:val="38813EE4"/>
    <w:rsid w:val="3889679A"/>
    <w:rsid w:val="38991CC5"/>
    <w:rsid w:val="389E4D90"/>
    <w:rsid w:val="38A971EB"/>
    <w:rsid w:val="38AF155B"/>
    <w:rsid w:val="38B0EAEA"/>
    <w:rsid w:val="38BC6290"/>
    <w:rsid w:val="38C51378"/>
    <w:rsid w:val="38DE03AF"/>
    <w:rsid w:val="38E401F6"/>
    <w:rsid w:val="38F37AB4"/>
    <w:rsid w:val="39125BE8"/>
    <w:rsid w:val="39292C9C"/>
    <w:rsid w:val="392F4C8F"/>
    <w:rsid w:val="39357E07"/>
    <w:rsid w:val="3939030A"/>
    <w:rsid w:val="394C0449"/>
    <w:rsid w:val="394C32AC"/>
    <w:rsid w:val="39566BB1"/>
    <w:rsid w:val="39615D4F"/>
    <w:rsid w:val="396BC320"/>
    <w:rsid w:val="397B4320"/>
    <w:rsid w:val="39859F87"/>
    <w:rsid w:val="398618E2"/>
    <w:rsid w:val="398F15CF"/>
    <w:rsid w:val="39A835C0"/>
    <w:rsid w:val="39B4CB90"/>
    <w:rsid w:val="39B664AF"/>
    <w:rsid w:val="39DA78BC"/>
    <w:rsid w:val="39DC089B"/>
    <w:rsid w:val="39E50CA0"/>
    <w:rsid w:val="39EF80A7"/>
    <w:rsid w:val="39F66202"/>
    <w:rsid w:val="39FF6EC6"/>
    <w:rsid w:val="3A067B22"/>
    <w:rsid w:val="3A115E3F"/>
    <w:rsid w:val="3A26ACFD"/>
    <w:rsid w:val="3A4C7A76"/>
    <w:rsid w:val="3A50FCA0"/>
    <w:rsid w:val="3A519932"/>
    <w:rsid w:val="3A54FA9F"/>
    <w:rsid w:val="3A56FC93"/>
    <w:rsid w:val="3A60FEA9"/>
    <w:rsid w:val="3A65E363"/>
    <w:rsid w:val="3A70A62C"/>
    <w:rsid w:val="3A71D886"/>
    <w:rsid w:val="3A896F4E"/>
    <w:rsid w:val="3A964B71"/>
    <w:rsid w:val="3A97C0E6"/>
    <w:rsid w:val="3AA48C77"/>
    <w:rsid w:val="3AB343B6"/>
    <w:rsid w:val="3AB48E66"/>
    <w:rsid w:val="3ABA4AEC"/>
    <w:rsid w:val="3AC2D8C9"/>
    <w:rsid w:val="3AC49F64"/>
    <w:rsid w:val="3AD5D117"/>
    <w:rsid w:val="3ADA6D71"/>
    <w:rsid w:val="3AE4228A"/>
    <w:rsid w:val="3AFEDC44"/>
    <w:rsid w:val="3B105269"/>
    <w:rsid w:val="3B18D9D6"/>
    <w:rsid w:val="3B58863A"/>
    <w:rsid w:val="3B58C0A3"/>
    <w:rsid w:val="3B62D7CD"/>
    <w:rsid w:val="3B679C6A"/>
    <w:rsid w:val="3B7ED7E1"/>
    <w:rsid w:val="3B81D5C6"/>
    <w:rsid w:val="3B8713D8"/>
    <w:rsid w:val="3B878555"/>
    <w:rsid w:val="3B90C517"/>
    <w:rsid w:val="3B94A7D7"/>
    <w:rsid w:val="3B96708C"/>
    <w:rsid w:val="3B97CC7D"/>
    <w:rsid w:val="3B9D805E"/>
    <w:rsid w:val="3BA4EFCD"/>
    <w:rsid w:val="3BB85405"/>
    <w:rsid w:val="3BD65207"/>
    <w:rsid w:val="3BF4DCF7"/>
    <w:rsid w:val="3BF8BD5A"/>
    <w:rsid w:val="3BF9AA64"/>
    <w:rsid w:val="3BFAFD81"/>
    <w:rsid w:val="3BFBDC5C"/>
    <w:rsid w:val="3C09A629"/>
    <w:rsid w:val="3C1203A4"/>
    <w:rsid w:val="3C17EC21"/>
    <w:rsid w:val="3C239F08"/>
    <w:rsid w:val="3C29D60F"/>
    <w:rsid w:val="3C2F0005"/>
    <w:rsid w:val="3C3049F0"/>
    <w:rsid w:val="3C316B4E"/>
    <w:rsid w:val="3C3E1E27"/>
    <w:rsid w:val="3C3E5B05"/>
    <w:rsid w:val="3C49E7AE"/>
    <w:rsid w:val="3C4C5935"/>
    <w:rsid w:val="3C54BF96"/>
    <w:rsid w:val="3C5BFE05"/>
    <w:rsid w:val="3C621C89"/>
    <w:rsid w:val="3C64822A"/>
    <w:rsid w:val="3C6C28FB"/>
    <w:rsid w:val="3C7366FD"/>
    <w:rsid w:val="3C927BE3"/>
    <w:rsid w:val="3C9307A8"/>
    <w:rsid w:val="3C938301"/>
    <w:rsid w:val="3C98EFCF"/>
    <w:rsid w:val="3C9DD0C7"/>
    <w:rsid w:val="3CA2F255"/>
    <w:rsid w:val="3CB0864C"/>
    <w:rsid w:val="3CB7FF4A"/>
    <w:rsid w:val="3CB827FC"/>
    <w:rsid w:val="3CB95E39"/>
    <w:rsid w:val="3CBAC375"/>
    <w:rsid w:val="3CBC0911"/>
    <w:rsid w:val="3CC671B7"/>
    <w:rsid w:val="3CC8FF95"/>
    <w:rsid w:val="3CDBA576"/>
    <w:rsid w:val="3CE04F7C"/>
    <w:rsid w:val="3CE17D24"/>
    <w:rsid w:val="3CE5434A"/>
    <w:rsid w:val="3CE7A821"/>
    <w:rsid w:val="3CFF3A37"/>
    <w:rsid w:val="3D04105D"/>
    <w:rsid w:val="3D12204C"/>
    <w:rsid w:val="3D22F27B"/>
    <w:rsid w:val="3D246033"/>
    <w:rsid w:val="3D27D7FD"/>
    <w:rsid w:val="3D316247"/>
    <w:rsid w:val="3D3397DB"/>
    <w:rsid w:val="3D33AD24"/>
    <w:rsid w:val="3D3651F4"/>
    <w:rsid w:val="3D365D06"/>
    <w:rsid w:val="3D392214"/>
    <w:rsid w:val="3D53429E"/>
    <w:rsid w:val="3D56DE0A"/>
    <w:rsid w:val="3D6CA413"/>
    <w:rsid w:val="3D955D8F"/>
    <w:rsid w:val="3D994950"/>
    <w:rsid w:val="3DC00EB8"/>
    <w:rsid w:val="3DD3A9FC"/>
    <w:rsid w:val="3DE9EF0D"/>
    <w:rsid w:val="3DEB486A"/>
    <w:rsid w:val="3DF31283"/>
    <w:rsid w:val="3DF88E76"/>
    <w:rsid w:val="3DFE0DCC"/>
    <w:rsid w:val="3E1ADF44"/>
    <w:rsid w:val="3E252751"/>
    <w:rsid w:val="3E515D69"/>
    <w:rsid w:val="3E595FE3"/>
    <w:rsid w:val="3E625A61"/>
    <w:rsid w:val="3E65F6DC"/>
    <w:rsid w:val="3E7AC49F"/>
    <w:rsid w:val="3E7BFF1A"/>
    <w:rsid w:val="3E7C5BB6"/>
    <w:rsid w:val="3E7D2747"/>
    <w:rsid w:val="3E839E7D"/>
    <w:rsid w:val="3E8FD7FE"/>
    <w:rsid w:val="3EA07463"/>
    <w:rsid w:val="3EAD418A"/>
    <w:rsid w:val="3EB0178D"/>
    <w:rsid w:val="3EB65FAA"/>
    <w:rsid w:val="3EC7190A"/>
    <w:rsid w:val="3ECC817E"/>
    <w:rsid w:val="3ECDFF08"/>
    <w:rsid w:val="3ED4665D"/>
    <w:rsid w:val="3ED7137E"/>
    <w:rsid w:val="3EEA3F02"/>
    <w:rsid w:val="3EF1B92B"/>
    <w:rsid w:val="3EFF6DBC"/>
    <w:rsid w:val="3F0B2831"/>
    <w:rsid w:val="3F0CE52E"/>
    <w:rsid w:val="3F1D7F98"/>
    <w:rsid w:val="3F1E183B"/>
    <w:rsid w:val="3F21E44F"/>
    <w:rsid w:val="3F22D523"/>
    <w:rsid w:val="3F30AE7F"/>
    <w:rsid w:val="3F4FDE14"/>
    <w:rsid w:val="3F5A5370"/>
    <w:rsid w:val="3F67B696"/>
    <w:rsid w:val="3F69FD03"/>
    <w:rsid w:val="3F86ABDD"/>
    <w:rsid w:val="3F891399"/>
    <w:rsid w:val="3F8C7CA1"/>
    <w:rsid w:val="3F98980C"/>
    <w:rsid w:val="3F9A5975"/>
    <w:rsid w:val="3FA32A4E"/>
    <w:rsid w:val="3FABBAA5"/>
    <w:rsid w:val="3FB75052"/>
    <w:rsid w:val="3FBC0F27"/>
    <w:rsid w:val="3FCF0714"/>
    <w:rsid w:val="3FCFE799"/>
    <w:rsid w:val="3FD242EE"/>
    <w:rsid w:val="3FD40963"/>
    <w:rsid w:val="3FE2EC5E"/>
    <w:rsid w:val="3FEA364B"/>
    <w:rsid w:val="3FEC8438"/>
    <w:rsid w:val="3FEF03D9"/>
    <w:rsid w:val="3FF340E0"/>
    <w:rsid w:val="3FF64C8D"/>
    <w:rsid w:val="3FF97091"/>
    <w:rsid w:val="3FFB14CE"/>
    <w:rsid w:val="400BCC8B"/>
    <w:rsid w:val="4019C89F"/>
    <w:rsid w:val="404A9075"/>
    <w:rsid w:val="40570359"/>
    <w:rsid w:val="406297E5"/>
    <w:rsid w:val="406BA8BA"/>
    <w:rsid w:val="407987CD"/>
    <w:rsid w:val="4084F55F"/>
    <w:rsid w:val="409266F3"/>
    <w:rsid w:val="409D1E8A"/>
    <w:rsid w:val="40A73BD4"/>
    <w:rsid w:val="40A7F858"/>
    <w:rsid w:val="40B4F526"/>
    <w:rsid w:val="40B5EEEB"/>
    <w:rsid w:val="40BA31F1"/>
    <w:rsid w:val="40BFE513"/>
    <w:rsid w:val="40C37201"/>
    <w:rsid w:val="40C3FD0C"/>
    <w:rsid w:val="40CBF4BE"/>
    <w:rsid w:val="40CDFC68"/>
    <w:rsid w:val="40CE2D0E"/>
    <w:rsid w:val="40CEABEA"/>
    <w:rsid w:val="40D26B01"/>
    <w:rsid w:val="40D46CD9"/>
    <w:rsid w:val="40EAADE0"/>
    <w:rsid w:val="40EAEE76"/>
    <w:rsid w:val="40FBE348"/>
    <w:rsid w:val="40FF02DD"/>
    <w:rsid w:val="410174C6"/>
    <w:rsid w:val="4107C53D"/>
    <w:rsid w:val="410D2BB9"/>
    <w:rsid w:val="411EEF1F"/>
    <w:rsid w:val="41276874"/>
    <w:rsid w:val="412EB9BE"/>
    <w:rsid w:val="41312FA3"/>
    <w:rsid w:val="413AB4E4"/>
    <w:rsid w:val="413C9647"/>
    <w:rsid w:val="413EFAAF"/>
    <w:rsid w:val="414DF7CF"/>
    <w:rsid w:val="414EBD89"/>
    <w:rsid w:val="41543D94"/>
    <w:rsid w:val="415D78D0"/>
    <w:rsid w:val="415F8B66"/>
    <w:rsid w:val="4176596F"/>
    <w:rsid w:val="418009B0"/>
    <w:rsid w:val="41849461"/>
    <w:rsid w:val="418592DE"/>
    <w:rsid w:val="41926776"/>
    <w:rsid w:val="41987F17"/>
    <w:rsid w:val="419C2BC9"/>
    <w:rsid w:val="419E59DE"/>
    <w:rsid w:val="41A1C16F"/>
    <w:rsid w:val="41AE07FC"/>
    <w:rsid w:val="41B14921"/>
    <w:rsid w:val="41B57839"/>
    <w:rsid w:val="41CF4216"/>
    <w:rsid w:val="41D2C5A6"/>
    <w:rsid w:val="41E83EF0"/>
    <w:rsid w:val="41FD21DB"/>
    <w:rsid w:val="41FFBBA1"/>
    <w:rsid w:val="4215A010"/>
    <w:rsid w:val="4232F232"/>
    <w:rsid w:val="4235FC60"/>
    <w:rsid w:val="423AD7A3"/>
    <w:rsid w:val="4248C34F"/>
    <w:rsid w:val="424A9E15"/>
    <w:rsid w:val="424FB792"/>
    <w:rsid w:val="4272D694"/>
    <w:rsid w:val="427E63A7"/>
    <w:rsid w:val="42814248"/>
    <w:rsid w:val="428D315D"/>
    <w:rsid w:val="42988348"/>
    <w:rsid w:val="42A06B6C"/>
    <w:rsid w:val="42A1FD08"/>
    <w:rsid w:val="42B5E995"/>
    <w:rsid w:val="42BA82F8"/>
    <w:rsid w:val="42BAEA72"/>
    <w:rsid w:val="42BB84DD"/>
    <w:rsid w:val="42BD2A2A"/>
    <w:rsid w:val="42BF486F"/>
    <w:rsid w:val="42C033A5"/>
    <w:rsid w:val="42C4DA85"/>
    <w:rsid w:val="42CFED16"/>
    <w:rsid w:val="42DFA963"/>
    <w:rsid w:val="42E7CB09"/>
    <w:rsid w:val="42E9A42D"/>
    <w:rsid w:val="42EC38E2"/>
    <w:rsid w:val="42F049DB"/>
    <w:rsid w:val="42F4227F"/>
    <w:rsid w:val="42F4FE84"/>
    <w:rsid w:val="42F70B9E"/>
    <w:rsid w:val="4302D831"/>
    <w:rsid w:val="4308E3B4"/>
    <w:rsid w:val="431DF800"/>
    <w:rsid w:val="4326C27F"/>
    <w:rsid w:val="4337D87F"/>
    <w:rsid w:val="434F6E71"/>
    <w:rsid w:val="43504DD8"/>
    <w:rsid w:val="4350BBF0"/>
    <w:rsid w:val="4351F7FC"/>
    <w:rsid w:val="4359D85D"/>
    <w:rsid w:val="43621E70"/>
    <w:rsid w:val="4387C63E"/>
    <w:rsid w:val="439A844C"/>
    <w:rsid w:val="439A863A"/>
    <w:rsid w:val="43A03BF9"/>
    <w:rsid w:val="43B0E43C"/>
    <w:rsid w:val="43B2E2D1"/>
    <w:rsid w:val="43B32D34"/>
    <w:rsid w:val="43B3DC24"/>
    <w:rsid w:val="43B3FBC5"/>
    <w:rsid w:val="43B5BBDB"/>
    <w:rsid w:val="43B5FFBF"/>
    <w:rsid w:val="43BB065E"/>
    <w:rsid w:val="43C29FE5"/>
    <w:rsid w:val="43C88454"/>
    <w:rsid w:val="43CC8FB7"/>
    <w:rsid w:val="43D1E82C"/>
    <w:rsid w:val="43EA6C88"/>
    <w:rsid w:val="43F43CD0"/>
    <w:rsid w:val="43FF12FA"/>
    <w:rsid w:val="440102E5"/>
    <w:rsid w:val="44045961"/>
    <w:rsid w:val="440CB64D"/>
    <w:rsid w:val="440F64B6"/>
    <w:rsid w:val="44102FBE"/>
    <w:rsid w:val="44130A4A"/>
    <w:rsid w:val="44214FDC"/>
    <w:rsid w:val="4423933E"/>
    <w:rsid w:val="442397DC"/>
    <w:rsid w:val="44254318"/>
    <w:rsid w:val="442FC415"/>
    <w:rsid w:val="442FD99B"/>
    <w:rsid w:val="443D7C38"/>
    <w:rsid w:val="444B9DCA"/>
    <w:rsid w:val="444FD59A"/>
    <w:rsid w:val="4450F599"/>
    <w:rsid w:val="4453DE9F"/>
    <w:rsid w:val="445B9057"/>
    <w:rsid w:val="446CF734"/>
    <w:rsid w:val="4477F1FA"/>
    <w:rsid w:val="447B3655"/>
    <w:rsid w:val="447DDA48"/>
    <w:rsid w:val="44873A7D"/>
    <w:rsid w:val="448F940E"/>
    <w:rsid w:val="449D1D8C"/>
    <w:rsid w:val="44A52695"/>
    <w:rsid w:val="44AC0332"/>
    <w:rsid w:val="44BF022E"/>
    <w:rsid w:val="44C85A6E"/>
    <w:rsid w:val="44DE76E0"/>
    <w:rsid w:val="44E18DAB"/>
    <w:rsid w:val="44F9BFC4"/>
    <w:rsid w:val="44FF32E6"/>
    <w:rsid w:val="450773E2"/>
    <w:rsid w:val="450DE754"/>
    <w:rsid w:val="452048BC"/>
    <w:rsid w:val="4529B325"/>
    <w:rsid w:val="4531A3A3"/>
    <w:rsid w:val="45347264"/>
    <w:rsid w:val="453E0A20"/>
    <w:rsid w:val="4545A97E"/>
    <w:rsid w:val="455C74C2"/>
    <w:rsid w:val="456E21A7"/>
    <w:rsid w:val="4572F61B"/>
    <w:rsid w:val="457F1560"/>
    <w:rsid w:val="4588E7F2"/>
    <w:rsid w:val="4591E3AD"/>
    <w:rsid w:val="4592F5D5"/>
    <w:rsid w:val="459927BA"/>
    <w:rsid w:val="45A43884"/>
    <w:rsid w:val="45AB683C"/>
    <w:rsid w:val="45BB9A75"/>
    <w:rsid w:val="45C4479D"/>
    <w:rsid w:val="45CBBCF2"/>
    <w:rsid w:val="45D04829"/>
    <w:rsid w:val="45D74E64"/>
    <w:rsid w:val="45DB1DD7"/>
    <w:rsid w:val="45DBFE33"/>
    <w:rsid w:val="461466B1"/>
    <w:rsid w:val="4622D819"/>
    <w:rsid w:val="4632EB15"/>
    <w:rsid w:val="46344F63"/>
    <w:rsid w:val="463A5A82"/>
    <w:rsid w:val="46492F81"/>
    <w:rsid w:val="46542C26"/>
    <w:rsid w:val="466091F8"/>
    <w:rsid w:val="4664C143"/>
    <w:rsid w:val="466D2C6C"/>
    <w:rsid w:val="467360B7"/>
    <w:rsid w:val="4686CB5C"/>
    <w:rsid w:val="4686E57B"/>
    <w:rsid w:val="4697F39F"/>
    <w:rsid w:val="4699F9A0"/>
    <w:rsid w:val="469E34DB"/>
    <w:rsid w:val="46A881FE"/>
    <w:rsid w:val="46AEF7A5"/>
    <w:rsid w:val="46AF8224"/>
    <w:rsid w:val="46B4990B"/>
    <w:rsid w:val="46BDABC0"/>
    <w:rsid w:val="46BEA630"/>
    <w:rsid w:val="46C35FC9"/>
    <w:rsid w:val="46CA4484"/>
    <w:rsid w:val="46CA7F55"/>
    <w:rsid w:val="46DBAF04"/>
    <w:rsid w:val="46EE6AAF"/>
    <w:rsid w:val="46FDB178"/>
    <w:rsid w:val="46FF1199"/>
    <w:rsid w:val="4702F85D"/>
    <w:rsid w:val="470DA1A3"/>
    <w:rsid w:val="471270DA"/>
    <w:rsid w:val="47143EEB"/>
    <w:rsid w:val="47168490"/>
    <w:rsid w:val="472E51A4"/>
    <w:rsid w:val="4736E4DE"/>
    <w:rsid w:val="473A1D95"/>
    <w:rsid w:val="475D8EF6"/>
    <w:rsid w:val="4768B43D"/>
    <w:rsid w:val="4769F8FB"/>
    <w:rsid w:val="47771509"/>
    <w:rsid w:val="47847DC5"/>
    <w:rsid w:val="4792EBD0"/>
    <w:rsid w:val="47944A73"/>
    <w:rsid w:val="4798ABF1"/>
    <w:rsid w:val="47A65B6B"/>
    <w:rsid w:val="47ABF8E3"/>
    <w:rsid w:val="47AD91D1"/>
    <w:rsid w:val="47AF7D9E"/>
    <w:rsid w:val="47BBFF43"/>
    <w:rsid w:val="47CC2A22"/>
    <w:rsid w:val="47DD2443"/>
    <w:rsid w:val="47E5D169"/>
    <w:rsid w:val="47E6803D"/>
    <w:rsid w:val="47E6998D"/>
    <w:rsid w:val="47EC77BF"/>
    <w:rsid w:val="47F2CA54"/>
    <w:rsid w:val="47FDA1F7"/>
    <w:rsid w:val="47FFC60A"/>
    <w:rsid w:val="480E1FD7"/>
    <w:rsid w:val="4813BA8B"/>
    <w:rsid w:val="48163B3F"/>
    <w:rsid w:val="481734B3"/>
    <w:rsid w:val="48179D5F"/>
    <w:rsid w:val="4825FC8C"/>
    <w:rsid w:val="482833F0"/>
    <w:rsid w:val="483BB720"/>
    <w:rsid w:val="4849E19F"/>
    <w:rsid w:val="484BAF52"/>
    <w:rsid w:val="484D32F8"/>
    <w:rsid w:val="484DF577"/>
    <w:rsid w:val="485E99DD"/>
    <w:rsid w:val="48620934"/>
    <w:rsid w:val="486468C4"/>
    <w:rsid w:val="486CBC18"/>
    <w:rsid w:val="486E3EAE"/>
    <w:rsid w:val="4875D2D1"/>
    <w:rsid w:val="4875F3D1"/>
    <w:rsid w:val="4876D539"/>
    <w:rsid w:val="487FAD46"/>
    <w:rsid w:val="48813CF0"/>
    <w:rsid w:val="488958DF"/>
    <w:rsid w:val="488C5B2B"/>
    <w:rsid w:val="489CEACB"/>
    <w:rsid w:val="48A95A02"/>
    <w:rsid w:val="48AD563A"/>
    <w:rsid w:val="48B04A43"/>
    <w:rsid w:val="48B29090"/>
    <w:rsid w:val="48B37A07"/>
    <w:rsid w:val="48B87589"/>
    <w:rsid w:val="48B96C59"/>
    <w:rsid w:val="48BEA2A1"/>
    <w:rsid w:val="48DF3584"/>
    <w:rsid w:val="48E7D41C"/>
    <w:rsid w:val="48F14E84"/>
    <w:rsid w:val="48F90A7C"/>
    <w:rsid w:val="4907E105"/>
    <w:rsid w:val="49160F39"/>
    <w:rsid w:val="4916B080"/>
    <w:rsid w:val="491D2AA0"/>
    <w:rsid w:val="491D4DCD"/>
    <w:rsid w:val="4924D637"/>
    <w:rsid w:val="49299076"/>
    <w:rsid w:val="49301101"/>
    <w:rsid w:val="493BFB8C"/>
    <w:rsid w:val="493F8AA8"/>
    <w:rsid w:val="4941B5E4"/>
    <w:rsid w:val="49480798"/>
    <w:rsid w:val="4954DAA3"/>
    <w:rsid w:val="49555FBA"/>
    <w:rsid w:val="495BDDB8"/>
    <w:rsid w:val="4963F45C"/>
    <w:rsid w:val="496A2587"/>
    <w:rsid w:val="4971453D"/>
    <w:rsid w:val="49753675"/>
    <w:rsid w:val="49819413"/>
    <w:rsid w:val="4982D31E"/>
    <w:rsid w:val="498E6D14"/>
    <w:rsid w:val="49910CEF"/>
    <w:rsid w:val="499B3B1F"/>
    <w:rsid w:val="49A0F0CD"/>
    <w:rsid w:val="49A63A7C"/>
    <w:rsid w:val="49A9E768"/>
    <w:rsid w:val="49B210D3"/>
    <w:rsid w:val="49CC234E"/>
    <w:rsid w:val="49CEDD20"/>
    <w:rsid w:val="49CFD276"/>
    <w:rsid w:val="49E24393"/>
    <w:rsid w:val="49E44514"/>
    <w:rsid w:val="49E84272"/>
    <w:rsid w:val="49F3FD7D"/>
    <w:rsid w:val="49F6B8E7"/>
    <w:rsid w:val="49F92DD2"/>
    <w:rsid w:val="49F98BAA"/>
    <w:rsid w:val="4A2C43D3"/>
    <w:rsid w:val="4A50139A"/>
    <w:rsid w:val="4A540B09"/>
    <w:rsid w:val="4A5BF8AA"/>
    <w:rsid w:val="4A5FE7E6"/>
    <w:rsid w:val="4A65D739"/>
    <w:rsid w:val="4A6E2A19"/>
    <w:rsid w:val="4A7FF972"/>
    <w:rsid w:val="4A863B86"/>
    <w:rsid w:val="4A86FB7C"/>
    <w:rsid w:val="4A8FFDE1"/>
    <w:rsid w:val="4A920195"/>
    <w:rsid w:val="4AA09DDE"/>
    <w:rsid w:val="4AC3FF72"/>
    <w:rsid w:val="4AF430A8"/>
    <w:rsid w:val="4AFB9716"/>
    <w:rsid w:val="4AFE727D"/>
    <w:rsid w:val="4B223259"/>
    <w:rsid w:val="4B279CC3"/>
    <w:rsid w:val="4B2B6FFF"/>
    <w:rsid w:val="4B2F8A49"/>
    <w:rsid w:val="4B380221"/>
    <w:rsid w:val="4B447F47"/>
    <w:rsid w:val="4B4F1DA4"/>
    <w:rsid w:val="4B613BB9"/>
    <w:rsid w:val="4B7212B2"/>
    <w:rsid w:val="4B7BD2F5"/>
    <w:rsid w:val="4B7FCC58"/>
    <w:rsid w:val="4B839161"/>
    <w:rsid w:val="4B8712C3"/>
    <w:rsid w:val="4B8CE53B"/>
    <w:rsid w:val="4B8E9F6C"/>
    <w:rsid w:val="4B90D675"/>
    <w:rsid w:val="4B936939"/>
    <w:rsid w:val="4B93E047"/>
    <w:rsid w:val="4B9ADD2B"/>
    <w:rsid w:val="4B9E0C08"/>
    <w:rsid w:val="4B9FC982"/>
    <w:rsid w:val="4BB544A4"/>
    <w:rsid w:val="4BC8ECA1"/>
    <w:rsid w:val="4BC98536"/>
    <w:rsid w:val="4BCDB01B"/>
    <w:rsid w:val="4BD0C7B1"/>
    <w:rsid w:val="4BE38353"/>
    <w:rsid w:val="4BECEBC9"/>
    <w:rsid w:val="4BED8E36"/>
    <w:rsid w:val="4BFFF14F"/>
    <w:rsid w:val="4C0D340A"/>
    <w:rsid w:val="4C1998BD"/>
    <w:rsid w:val="4C1A1E4B"/>
    <w:rsid w:val="4C1B5FB6"/>
    <w:rsid w:val="4C1B8FF4"/>
    <w:rsid w:val="4C2437FD"/>
    <w:rsid w:val="4C3D6F3E"/>
    <w:rsid w:val="4C559CE2"/>
    <w:rsid w:val="4C59D8C2"/>
    <w:rsid w:val="4C647DA2"/>
    <w:rsid w:val="4C74940A"/>
    <w:rsid w:val="4C7E2390"/>
    <w:rsid w:val="4C8374C3"/>
    <w:rsid w:val="4C8843A6"/>
    <w:rsid w:val="4C95FFEE"/>
    <w:rsid w:val="4CA8E34E"/>
    <w:rsid w:val="4CC65597"/>
    <w:rsid w:val="4CCBB136"/>
    <w:rsid w:val="4CCEEB65"/>
    <w:rsid w:val="4CD83551"/>
    <w:rsid w:val="4CE0110A"/>
    <w:rsid w:val="4CEB8FE6"/>
    <w:rsid w:val="4CED717C"/>
    <w:rsid w:val="4CEF538C"/>
    <w:rsid w:val="4CF25C70"/>
    <w:rsid w:val="4CFB5A94"/>
    <w:rsid w:val="4D06AA2C"/>
    <w:rsid w:val="4D11418C"/>
    <w:rsid w:val="4D186F1D"/>
    <w:rsid w:val="4D1F4A95"/>
    <w:rsid w:val="4D4B262F"/>
    <w:rsid w:val="4D4D6B62"/>
    <w:rsid w:val="4D4DFC90"/>
    <w:rsid w:val="4D4E4A55"/>
    <w:rsid w:val="4D4F22FC"/>
    <w:rsid w:val="4D54846C"/>
    <w:rsid w:val="4D5AFF53"/>
    <w:rsid w:val="4D6E60BC"/>
    <w:rsid w:val="4D709DC7"/>
    <w:rsid w:val="4D71333A"/>
    <w:rsid w:val="4D72F79F"/>
    <w:rsid w:val="4D74892B"/>
    <w:rsid w:val="4D7B68EC"/>
    <w:rsid w:val="4D81227B"/>
    <w:rsid w:val="4D85CB15"/>
    <w:rsid w:val="4D888133"/>
    <w:rsid w:val="4D8FFE02"/>
    <w:rsid w:val="4DAAB58A"/>
    <w:rsid w:val="4DAE966F"/>
    <w:rsid w:val="4DBE685A"/>
    <w:rsid w:val="4DC57178"/>
    <w:rsid w:val="4DE60E8C"/>
    <w:rsid w:val="4DE7AF5C"/>
    <w:rsid w:val="4DEFA6DB"/>
    <w:rsid w:val="4DF29641"/>
    <w:rsid w:val="4DF8D5E6"/>
    <w:rsid w:val="4DFD0199"/>
    <w:rsid w:val="4DFFACA3"/>
    <w:rsid w:val="4E094BE7"/>
    <w:rsid w:val="4E24D3D8"/>
    <w:rsid w:val="4E2B76A0"/>
    <w:rsid w:val="4E2F4DE7"/>
    <w:rsid w:val="4E3112A5"/>
    <w:rsid w:val="4E5039FA"/>
    <w:rsid w:val="4E6BBF05"/>
    <w:rsid w:val="4E7F9E25"/>
    <w:rsid w:val="4EA8731C"/>
    <w:rsid w:val="4EB10C84"/>
    <w:rsid w:val="4EB7325F"/>
    <w:rsid w:val="4EBC3477"/>
    <w:rsid w:val="4EBE188A"/>
    <w:rsid w:val="4EC60610"/>
    <w:rsid w:val="4EC96329"/>
    <w:rsid w:val="4ED356F7"/>
    <w:rsid w:val="4ED36E4A"/>
    <w:rsid w:val="4EE4DD0B"/>
    <w:rsid w:val="4EEC74FF"/>
    <w:rsid w:val="4EEE38FC"/>
    <w:rsid w:val="4EF82FF4"/>
    <w:rsid w:val="4EF91F07"/>
    <w:rsid w:val="4F0030D6"/>
    <w:rsid w:val="4F03CB61"/>
    <w:rsid w:val="4F06B433"/>
    <w:rsid w:val="4F0A4147"/>
    <w:rsid w:val="4F0AFE84"/>
    <w:rsid w:val="4F16CDAD"/>
    <w:rsid w:val="4F1D143E"/>
    <w:rsid w:val="4F1D89F6"/>
    <w:rsid w:val="4F24F328"/>
    <w:rsid w:val="4F27D0CF"/>
    <w:rsid w:val="4F294750"/>
    <w:rsid w:val="4F2AE6A4"/>
    <w:rsid w:val="4F3E2B03"/>
    <w:rsid w:val="4F3ECA75"/>
    <w:rsid w:val="4F4E29D6"/>
    <w:rsid w:val="4F5F99D2"/>
    <w:rsid w:val="4F622FF4"/>
    <w:rsid w:val="4F6B5646"/>
    <w:rsid w:val="4F70FFCB"/>
    <w:rsid w:val="4F802819"/>
    <w:rsid w:val="4F89878D"/>
    <w:rsid w:val="4F8CFFDF"/>
    <w:rsid w:val="4F8E02D2"/>
    <w:rsid w:val="4F8F7300"/>
    <w:rsid w:val="4F9A3FA2"/>
    <w:rsid w:val="4F9CB054"/>
    <w:rsid w:val="4F9D7492"/>
    <w:rsid w:val="4FA2FABD"/>
    <w:rsid w:val="4FA84CFA"/>
    <w:rsid w:val="4FAE8D11"/>
    <w:rsid w:val="4FAFE9E4"/>
    <w:rsid w:val="4FB57A6C"/>
    <w:rsid w:val="4FDD817F"/>
    <w:rsid w:val="4FDEB1DA"/>
    <w:rsid w:val="4FE42E1A"/>
    <w:rsid w:val="4FFB0DE6"/>
    <w:rsid w:val="5011F2EE"/>
    <w:rsid w:val="5013DBB6"/>
    <w:rsid w:val="5017B226"/>
    <w:rsid w:val="501F186B"/>
    <w:rsid w:val="50293C53"/>
    <w:rsid w:val="5029D362"/>
    <w:rsid w:val="502FC50C"/>
    <w:rsid w:val="5030FB8E"/>
    <w:rsid w:val="50353E1C"/>
    <w:rsid w:val="503AFAA2"/>
    <w:rsid w:val="504467E9"/>
    <w:rsid w:val="5044D4E0"/>
    <w:rsid w:val="5044F77E"/>
    <w:rsid w:val="505620F0"/>
    <w:rsid w:val="50603F90"/>
    <w:rsid w:val="50609AC6"/>
    <w:rsid w:val="5066F661"/>
    <w:rsid w:val="506C0EF8"/>
    <w:rsid w:val="508C731F"/>
    <w:rsid w:val="508D6D32"/>
    <w:rsid w:val="509B69C7"/>
    <w:rsid w:val="509ED997"/>
    <w:rsid w:val="50AA8747"/>
    <w:rsid w:val="50B57F19"/>
    <w:rsid w:val="50C00159"/>
    <w:rsid w:val="50CD4F04"/>
    <w:rsid w:val="50D96173"/>
    <w:rsid w:val="50DBEAD2"/>
    <w:rsid w:val="50E4468E"/>
    <w:rsid w:val="50F2E144"/>
    <w:rsid w:val="5104FA39"/>
    <w:rsid w:val="510CF18D"/>
    <w:rsid w:val="51277D3C"/>
    <w:rsid w:val="513AB2B4"/>
    <w:rsid w:val="513CD931"/>
    <w:rsid w:val="514A5D72"/>
    <w:rsid w:val="514B3AA6"/>
    <w:rsid w:val="514FBCCF"/>
    <w:rsid w:val="5151C343"/>
    <w:rsid w:val="51549BC1"/>
    <w:rsid w:val="515716B5"/>
    <w:rsid w:val="516CA850"/>
    <w:rsid w:val="51713108"/>
    <w:rsid w:val="5178E3F0"/>
    <w:rsid w:val="5184A155"/>
    <w:rsid w:val="51872283"/>
    <w:rsid w:val="519001D2"/>
    <w:rsid w:val="5192F7A7"/>
    <w:rsid w:val="5196CDE4"/>
    <w:rsid w:val="51A03678"/>
    <w:rsid w:val="51B17E7A"/>
    <w:rsid w:val="51B6EF6D"/>
    <w:rsid w:val="51BE45C1"/>
    <w:rsid w:val="51D40E0D"/>
    <w:rsid w:val="51DF0FA3"/>
    <w:rsid w:val="51E67679"/>
    <w:rsid w:val="51E9F2C4"/>
    <w:rsid w:val="51F69C36"/>
    <w:rsid w:val="51F9D8D5"/>
    <w:rsid w:val="51FE8E31"/>
    <w:rsid w:val="52052BE8"/>
    <w:rsid w:val="520C2768"/>
    <w:rsid w:val="520F7ED3"/>
    <w:rsid w:val="520F9887"/>
    <w:rsid w:val="5222667E"/>
    <w:rsid w:val="5227C8ED"/>
    <w:rsid w:val="522B2AFD"/>
    <w:rsid w:val="522B9FA7"/>
    <w:rsid w:val="523CA783"/>
    <w:rsid w:val="523DDAEC"/>
    <w:rsid w:val="52433FFD"/>
    <w:rsid w:val="52481E1D"/>
    <w:rsid w:val="52542083"/>
    <w:rsid w:val="52601C7A"/>
    <w:rsid w:val="526208CE"/>
    <w:rsid w:val="526B5277"/>
    <w:rsid w:val="52738829"/>
    <w:rsid w:val="52769FA1"/>
    <w:rsid w:val="52809262"/>
    <w:rsid w:val="528285E0"/>
    <w:rsid w:val="5282DE32"/>
    <w:rsid w:val="528D5377"/>
    <w:rsid w:val="52AA0C1D"/>
    <w:rsid w:val="52ADCD4B"/>
    <w:rsid w:val="52B79FE1"/>
    <w:rsid w:val="52C7F119"/>
    <w:rsid w:val="52D07EA3"/>
    <w:rsid w:val="52E28582"/>
    <w:rsid w:val="52ED1A11"/>
    <w:rsid w:val="5306F8BF"/>
    <w:rsid w:val="5314060D"/>
    <w:rsid w:val="531498DF"/>
    <w:rsid w:val="53164A73"/>
    <w:rsid w:val="532607A9"/>
    <w:rsid w:val="532E47E4"/>
    <w:rsid w:val="5353B75F"/>
    <w:rsid w:val="535A263F"/>
    <w:rsid w:val="536599CA"/>
    <w:rsid w:val="536BF534"/>
    <w:rsid w:val="53731038"/>
    <w:rsid w:val="537D3301"/>
    <w:rsid w:val="537EF797"/>
    <w:rsid w:val="53852C42"/>
    <w:rsid w:val="538A9769"/>
    <w:rsid w:val="538E5FA7"/>
    <w:rsid w:val="53925938"/>
    <w:rsid w:val="53ADDF87"/>
    <w:rsid w:val="53B08C55"/>
    <w:rsid w:val="53B66B56"/>
    <w:rsid w:val="53C2EB03"/>
    <w:rsid w:val="53C2ED6D"/>
    <w:rsid w:val="53CB2A21"/>
    <w:rsid w:val="53D13794"/>
    <w:rsid w:val="53D4BAC5"/>
    <w:rsid w:val="53E5A1BB"/>
    <w:rsid w:val="53E778F7"/>
    <w:rsid w:val="53EA7C94"/>
    <w:rsid w:val="53EFC8DE"/>
    <w:rsid w:val="5403AD70"/>
    <w:rsid w:val="540A128F"/>
    <w:rsid w:val="540D493E"/>
    <w:rsid w:val="54130C62"/>
    <w:rsid w:val="541DCB75"/>
    <w:rsid w:val="54257748"/>
    <w:rsid w:val="542665EF"/>
    <w:rsid w:val="54391E47"/>
    <w:rsid w:val="543B7DF2"/>
    <w:rsid w:val="5445FD5C"/>
    <w:rsid w:val="54474D50"/>
    <w:rsid w:val="544E42FE"/>
    <w:rsid w:val="5452D17B"/>
    <w:rsid w:val="545BDEB9"/>
    <w:rsid w:val="5466DADE"/>
    <w:rsid w:val="546A5B23"/>
    <w:rsid w:val="547DF2C0"/>
    <w:rsid w:val="54844DB3"/>
    <w:rsid w:val="549F06D7"/>
    <w:rsid w:val="54B22A6B"/>
    <w:rsid w:val="54B5AF1A"/>
    <w:rsid w:val="54C39A3A"/>
    <w:rsid w:val="54C3B25B"/>
    <w:rsid w:val="54C742CC"/>
    <w:rsid w:val="54CB89B3"/>
    <w:rsid w:val="54D885B2"/>
    <w:rsid w:val="54E39AD7"/>
    <w:rsid w:val="54E949E6"/>
    <w:rsid w:val="54E9DED8"/>
    <w:rsid w:val="54EFE3EE"/>
    <w:rsid w:val="54F6AD1C"/>
    <w:rsid w:val="54FFE95D"/>
    <w:rsid w:val="5508836F"/>
    <w:rsid w:val="550B5348"/>
    <w:rsid w:val="550E7232"/>
    <w:rsid w:val="5524F52F"/>
    <w:rsid w:val="55276844"/>
    <w:rsid w:val="5529D6BA"/>
    <w:rsid w:val="5533BD80"/>
    <w:rsid w:val="5533EAC7"/>
    <w:rsid w:val="5547B426"/>
    <w:rsid w:val="554B8CA9"/>
    <w:rsid w:val="5550A49D"/>
    <w:rsid w:val="5552CEC6"/>
    <w:rsid w:val="555A979D"/>
    <w:rsid w:val="5579797C"/>
    <w:rsid w:val="557A15B7"/>
    <w:rsid w:val="5582C50E"/>
    <w:rsid w:val="55841E37"/>
    <w:rsid w:val="558702BD"/>
    <w:rsid w:val="559912CB"/>
    <w:rsid w:val="559B3467"/>
    <w:rsid w:val="55A02B2B"/>
    <w:rsid w:val="55A26CD5"/>
    <w:rsid w:val="55ABAE67"/>
    <w:rsid w:val="55ABFDAD"/>
    <w:rsid w:val="55B35EF7"/>
    <w:rsid w:val="55B7297D"/>
    <w:rsid w:val="55F44B05"/>
    <w:rsid w:val="55F69B82"/>
    <w:rsid w:val="55F6B07A"/>
    <w:rsid w:val="5621875A"/>
    <w:rsid w:val="5630E410"/>
    <w:rsid w:val="563EFF02"/>
    <w:rsid w:val="5649FEBD"/>
    <w:rsid w:val="564CBDB0"/>
    <w:rsid w:val="565424B9"/>
    <w:rsid w:val="5660509C"/>
    <w:rsid w:val="56631491"/>
    <w:rsid w:val="56723CF0"/>
    <w:rsid w:val="567B8D81"/>
    <w:rsid w:val="56829786"/>
    <w:rsid w:val="56860DC8"/>
    <w:rsid w:val="5687C5CC"/>
    <w:rsid w:val="5690385B"/>
    <w:rsid w:val="56A1562E"/>
    <w:rsid w:val="56A1E626"/>
    <w:rsid w:val="56A42E51"/>
    <w:rsid w:val="56A5B7DF"/>
    <w:rsid w:val="56AA7367"/>
    <w:rsid w:val="56AA7D96"/>
    <w:rsid w:val="56C4C06C"/>
    <w:rsid w:val="56C94606"/>
    <w:rsid w:val="56C9F740"/>
    <w:rsid w:val="56D1D668"/>
    <w:rsid w:val="56D29FBC"/>
    <w:rsid w:val="56DA74C9"/>
    <w:rsid w:val="56DCB3BC"/>
    <w:rsid w:val="56E5F20A"/>
    <w:rsid w:val="56E78635"/>
    <w:rsid w:val="56FD0093"/>
    <w:rsid w:val="570CC5B0"/>
    <w:rsid w:val="570CE78E"/>
    <w:rsid w:val="57285278"/>
    <w:rsid w:val="57291BBE"/>
    <w:rsid w:val="5734E39E"/>
    <w:rsid w:val="573B593D"/>
    <w:rsid w:val="57447FD4"/>
    <w:rsid w:val="5748071C"/>
    <w:rsid w:val="574A34AF"/>
    <w:rsid w:val="574B5E1C"/>
    <w:rsid w:val="574F7640"/>
    <w:rsid w:val="574FDB58"/>
    <w:rsid w:val="57500D15"/>
    <w:rsid w:val="57548A6A"/>
    <w:rsid w:val="57554143"/>
    <w:rsid w:val="5757376D"/>
    <w:rsid w:val="575A984E"/>
    <w:rsid w:val="575B27C1"/>
    <w:rsid w:val="576051D9"/>
    <w:rsid w:val="5760F1AB"/>
    <w:rsid w:val="57651B95"/>
    <w:rsid w:val="5784243B"/>
    <w:rsid w:val="57A23BAF"/>
    <w:rsid w:val="57A6131A"/>
    <w:rsid w:val="57B11DD4"/>
    <w:rsid w:val="57BBA4C9"/>
    <w:rsid w:val="57BCFB7D"/>
    <w:rsid w:val="57BD523F"/>
    <w:rsid w:val="57C2378F"/>
    <w:rsid w:val="57C29E4E"/>
    <w:rsid w:val="57C960F8"/>
    <w:rsid w:val="57CFD94F"/>
    <w:rsid w:val="57D19457"/>
    <w:rsid w:val="57E1BE51"/>
    <w:rsid w:val="57F80A07"/>
    <w:rsid w:val="57F92177"/>
    <w:rsid w:val="57FB91E2"/>
    <w:rsid w:val="581150C6"/>
    <w:rsid w:val="58170DE5"/>
    <w:rsid w:val="581EEF2E"/>
    <w:rsid w:val="582C1011"/>
    <w:rsid w:val="582D8D09"/>
    <w:rsid w:val="5830DAA0"/>
    <w:rsid w:val="583D5213"/>
    <w:rsid w:val="583D888B"/>
    <w:rsid w:val="58447C4F"/>
    <w:rsid w:val="584BB7A7"/>
    <w:rsid w:val="58573EC4"/>
    <w:rsid w:val="585B9B61"/>
    <w:rsid w:val="5864EDF5"/>
    <w:rsid w:val="5867066B"/>
    <w:rsid w:val="586C46D7"/>
    <w:rsid w:val="5877C38C"/>
    <w:rsid w:val="5883D9A7"/>
    <w:rsid w:val="588B27CC"/>
    <w:rsid w:val="588D0634"/>
    <w:rsid w:val="588F9DF5"/>
    <w:rsid w:val="5895542E"/>
    <w:rsid w:val="5897DBC0"/>
    <w:rsid w:val="589A18C7"/>
    <w:rsid w:val="589A32A7"/>
    <w:rsid w:val="589CCC0C"/>
    <w:rsid w:val="58A7A69C"/>
    <w:rsid w:val="58ACF78D"/>
    <w:rsid w:val="58BD6A63"/>
    <w:rsid w:val="58C30B39"/>
    <w:rsid w:val="58D63921"/>
    <w:rsid w:val="58DA1B5E"/>
    <w:rsid w:val="58DB8919"/>
    <w:rsid w:val="58F29235"/>
    <w:rsid w:val="58FBE14D"/>
    <w:rsid w:val="58FEFF89"/>
    <w:rsid w:val="590567A7"/>
    <w:rsid w:val="5906EC5F"/>
    <w:rsid w:val="59095D94"/>
    <w:rsid w:val="590B4D69"/>
    <w:rsid w:val="590D1CD7"/>
    <w:rsid w:val="59252C10"/>
    <w:rsid w:val="592A50CB"/>
    <w:rsid w:val="5931825C"/>
    <w:rsid w:val="59477D0F"/>
    <w:rsid w:val="59498C6F"/>
    <w:rsid w:val="594ACC2C"/>
    <w:rsid w:val="5952A109"/>
    <w:rsid w:val="5953C18F"/>
    <w:rsid w:val="595A1958"/>
    <w:rsid w:val="595A7DDA"/>
    <w:rsid w:val="59601525"/>
    <w:rsid w:val="5964325F"/>
    <w:rsid w:val="5979EB5E"/>
    <w:rsid w:val="59851AF4"/>
    <w:rsid w:val="59873B0B"/>
    <w:rsid w:val="5987457D"/>
    <w:rsid w:val="5987B340"/>
    <w:rsid w:val="598C198E"/>
    <w:rsid w:val="598C48D7"/>
    <w:rsid w:val="598DE341"/>
    <w:rsid w:val="59993259"/>
    <w:rsid w:val="599A83BD"/>
    <w:rsid w:val="599C3825"/>
    <w:rsid w:val="59A052AD"/>
    <w:rsid w:val="59B5D79A"/>
    <w:rsid w:val="59BBEA43"/>
    <w:rsid w:val="59BFA3A0"/>
    <w:rsid w:val="59C3212A"/>
    <w:rsid w:val="59C3BDD5"/>
    <w:rsid w:val="59CE3205"/>
    <w:rsid w:val="59D26520"/>
    <w:rsid w:val="59E13C2E"/>
    <w:rsid w:val="59E2B8C1"/>
    <w:rsid w:val="59E49B56"/>
    <w:rsid w:val="59F4900F"/>
    <w:rsid w:val="5A085730"/>
    <w:rsid w:val="5A0EC4A1"/>
    <w:rsid w:val="5A2D5366"/>
    <w:rsid w:val="5A3188EB"/>
    <w:rsid w:val="5A38697D"/>
    <w:rsid w:val="5A4FF06C"/>
    <w:rsid w:val="5A67883F"/>
    <w:rsid w:val="5A72C9CA"/>
    <w:rsid w:val="5A81CE80"/>
    <w:rsid w:val="5A83CB28"/>
    <w:rsid w:val="5A8767D5"/>
    <w:rsid w:val="5A8B632F"/>
    <w:rsid w:val="5A935CDF"/>
    <w:rsid w:val="5A9A7969"/>
    <w:rsid w:val="5A9B2288"/>
    <w:rsid w:val="5AA7E02D"/>
    <w:rsid w:val="5AA83CC5"/>
    <w:rsid w:val="5AAFA730"/>
    <w:rsid w:val="5AB5CBFF"/>
    <w:rsid w:val="5AC032E5"/>
    <w:rsid w:val="5AD21F1B"/>
    <w:rsid w:val="5AD39B52"/>
    <w:rsid w:val="5AD3A961"/>
    <w:rsid w:val="5AD73C84"/>
    <w:rsid w:val="5ADD3D1A"/>
    <w:rsid w:val="5AE4DAE8"/>
    <w:rsid w:val="5AE583AE"/>
    <w:rsid w:val="5AF03630"/>
    <w:rsid w:val="5AF26775"/>
    <w:rsid w:val="5AFEAB1C"/>
    <w:rsid w:val="5B058D2B"/>
    <w:rsid w:val="5B08FB0F"/>
    <w:rsid w:val="5B1AD0A8"/>
    <w:rsid w:val="5B1B935A"/>
    <w:rsid w:val="5B2BC7FC"/>
    <w:rsid w:val="5B535E7F"/>
    <w:rsid w:val="5B53D833"/>
    <w:rsid w:val="5B574C58"/>
    <w:rsid w:val="5B6AE110"/>
    <w:rsid w:val="5B844F4E"/>
    <w:rsid w:val="5B85B203"/>
    <w:rsid w:val="5B9EA515"/>
    <w:rsid w:val="5BA0A172"/>
    <w:rsid w:val="5BB2922B"/>
    <w:rsid w:val="5BB37566"/>
    <w:rsid w:val="5BBB197C"/>
    <w:rsid w:val="5BC15F19"/>
    <w:rsid w:val="5BC214DD"/>
    <w:rsid w:val="5BE3035F"/>
    <w:rsid w:val="5BED6AAC"/>
    <w:rsid w:val="5BEE4D04"/>
    <w:rsid w:val="5BEE5C15"/>
    <w:rsid w:val="5BF3C77E"/>
    <w:rsid w:val="5C04A089"/>
    <w:rsid w:val="5C071B1C"/>
    <w:rsid w:val="5C0B0C25"/>
    <w:rsid w:val="5C19D3F5"/>
    <w:rsid w:val="5C1E3328"/>
    <w:rsid w:val="5C2924B9"/>
    <w:rsid w:val="5C2EC536"/>
    <w:rsid w:val="5C2F2712"/>
    <w:rsid w:val="5C2FEFEE"/>
    <w:rsid w:val="5C30ADB1"/>
    <w:rsid w:val="5C31B202"/>
    <w:rsid w:val="5C339101"/>
    <w:rsid w:val="5C3612E9"/>
    <w:rsid w:val="5C52A3FB"/>
    <w:rsid w:val="5C6B0AAB"/>
    <w:rsid w:val="5C74E2D7"/>
    <w:rsid w:val="5C7F7658"/>
    <w:rsid w:val="5C882866"/>
    <w:rsid w:val="5C8CA333"/>
    <w:rsid w:val="5C8F1816"/>
    <w:rsid w:val="5C921CDD"/>
    <w:rsid w:val="5C94E554"/>
    <w:rsid w:val="5C97D4B2"/>
    <w:rsid w:val="5CC74453"/>
    <w:rsid w:val="5CCC3DFD"/>
    <w:rsid w:val="5CE24C65"/>
    <w:rsid w:val="5CEA3C4D"/>
    <w:rsid w:val="5CEBF380"/>
    <w:rsid w:val="5CFBB077"/>
    <w:rsid w:val="5D005843"/>
    <w:rsid w:val="5D0EF300"/>
    <w:rsid w:val="5D21CD97"/>
    <w:rsid w:val="5D290558"/>
    <w:rsid w:val="5D29A81F"/>
    <w:rsid w:val="5D392C7E"/>
    <w:rsid w:val="5D39883B"/>
    <w:rsid w:val="5D39BB7C"/>
    <w:rsid w:val="5D471C30"/>
    <w:rsid w:val="5D610E61"/>
    <w:rsid w:val="5D62179C"/>
    <w:rsid w:val="5D6635C0"/>
    <w:rsid w:val="5D6E9171"/>
    <w:rsid w:val="5D7F71D6"/>
    <w:rsid w:val="5D843397"/>
    <w:rsid w:val="5D8E0B07"/>
    <w:rsid w:val="5D9FB234"/>
    <w:rsid w:val="5DAAF168"/>
    <w:rsid w:val="5DABAB34"/>
    <w:rsid w:val="5DACDCF8"/>
    <w:rsid w:val="5DAE18D1"/>
    <w:rsid w:val="5DC25E78"/>
    <w:rsid w:val="5DCD8716"/>
    <w:rsid w:val="5DE68E47"/>
    <w:rsid w:val="5DEC4E98"/>
    <w:rsid w:val="5E0E9B21"/>
    <w:rsid w:val="5E183A65"/>
    <w:rsid w:val="5E18E917"/>
    <w:rsid w:val="5E1FAA42"/>
    <w:rsid w:val="5E326E31"/>
    <w:rsid w:val="5E469595"/>
    <w:rsid w:val="5E58C66F"/>
    <w:rsid w:val="5E5C3F54"/>
    <w:rsid w:val="5E5C9EF7"/>
    <w:rsid w:val="5E63E03D"/>
    <w:rsid w:val="5E6979D5"/>
    <w:rsid w:val="5E72D066"/>
    <w:rsid w:val="5E77C622"/>
    <w:rsid w:val="5E784644"/>
    <w:rsid w:val="5E951511"/>
    <w:rsid w:val="5E96B3A0"/>
    <w:rsid w:val="5E97A22A"/>
    <w:rsid w:val="5E9C0732"/>
    <w:rsid w:val="5EA8E8A9"/>
    <w:rsid w:val="5EC8AC2F"/>
    <w:rsid w:val="5ECFF6C1"/>
    <w:rsid w:val="5EE131E2"/>
    <w:rsid w:val="5EEC504C"/>
    <w:rsid w:val="5F01EDD2"/>
    <w:rsid w:val="5F02FDB6"/>
    <w:rsid w:val="5F0436E2"/>
    <w:rsid w:val="5F07F668"/>
    <w:rsid w:val="5F0A94AF"/>
    <w:rsid w:val="5F1708BA"/>
    <w:rsid w:val="5F1B84EC"/>
    <w:rsid w:val="5F232CC1"/>
    <w:rsid w:val="5F24A7EF"/>
    <w:rsid w:val="5F27A5D6"/>
    <w:rsid w:val="5F2C7C83"/>
    <w:rsid w:val="5F2D90A5"/>
    <w:rsid w:val="5F319B7F"/>
    <w:rsid w:val="5F3B70E0"/>
    <w:rsid w:val="5F41C842"/>
    <w:rsid w:val="5F5131DC"/>
    <w:rsid w:val="5F644C9E"/>
    <w:rsid w:val="5F68A8CC"/>
    <w:rsid w:val="5F707D2C"/>
    <w:rsid w:val="5F761B8F"/>
    <w:rsid w:val="5F7AB889"/>
    <w:rsid w:val="5F821D63"/>
    <w:rsid w:val="5F8B93E8"/>
    <w:rsid w:val="5F8FD05C"/>
    <w:rsid w:val="5FA0932A"/>
    <w:rsid w:val="5FA15E3C"/>
    <w:rsid w:val="5FBD258A"/>
    <w:rsid w:val="5FBE4444"/>
    <w:rsid w:val="5FC23610"/>
    <w:rsid w:val="5FE5DDFE"/>
    <w:rsid w:val="5FF15BD5"/>
    <w:rsid w:val="5FF83F87"/>
    <w:rsid w:val="600D7903"/>
    <w:rsid w:val="6011C3B9"/>
    <w:rsid w:val="60242C73"/>
    <w:rsid w:val="602B12F8"/>
    <w:rsid w:val="604348C2"/>
    <w:rsid w:val="604521A6"/>
    <w:rsid w:val="60467EF6"/>
    <w:rsid w:val="6056EA13"/>
    <w:rsid w:val="606254F5"/>
    <w:rsid w:val="606343A7"/>
    <w:rsid w:val="6065E6D7"/>
    <w:rsid w:val="607C235F"/>
    <w:rsid w:val="608DF63A"/>
    <w:rsid w:val="60B4DC66"/>
    <w:rsid w:val="60CDAF14"/>
    <w:rsid w:val="60DE977C"/>
    <w:rsid w:val="60DF79D2"/>
    <w:rsid w:val="60E09A0F"/>
    <w:rsid w:val="60E1388C"/>
    <w:rsid w:val="60FAF0D8"/>
    <w:rsid w:val="6111E483"/>
    <w:rsid w:val="61162335"/>
    <w:rsid w:val="61289376"/>
    <w:rsid w:val="612ED73A"/>
    <w:rsid w:val="61357EEF"/>
    <w:rsid w:val="6141414D"/>
    <w:rsid w:val="614A4811"/>
    <w:rsid w:val="614D081B"/>
    <w:rsid w:val="614F0F5E"/>
    <w:rsid w:val="6151E738"/>
    <w:rsid w:val="6157F970"/>
    <w:rsid w:val="6161416E"/>
    <w:rsid w:val="61616242"/>
    <w:rsid w:val="6176E883"/>
    <w:rsid w:val="6177A9C8"/>
    <w:rsid w:val="6187C8E6"/>
    <w:rsid w:val="61894D03"/>
    <w:rsid w:val="61A3C63F"/>
    <w:rsid w:val="61AE73C5"/>
    <w:rsid w:val="61B93DD2"/>
    <w:rsid w:val="61BC0AF1"/>
    <w:rsid w:val="61BCAEAC"/>
    <w:rsid w:val="61BFA34B"/>
    <w:rsid w:val="61D41127"/>
    <w:rsid w:val="61D7646B"/>
    <w:rsid w:val="61E2C04C"/>
    <w:rsid w:val="61F6D0F1"/>
    <w:rsid w:val="61FBB7BA"/>
    <w:rsid w:val="620DF500"/>
    <w:rsid w:val="622B2CB8"/>
    <w:rsid w:val="622E32E3"/>
    <w:rsid w:val="62321A46"/>
    <w:rsid w:val="6249DD59"/>
    <w:rsid w:val="624ED0B0"/>
    <w:rsid w:val="62584AF6"/>
    <w:rsid w:val="625A24D9"/>
    <w:rsid w:val="626B2C0A"/>
    <w:rsid w:val="626D9355"/>
    <w:rsid w:val="62735571"/>
    <w:rsid w:val="6279E777"/>
    <w:rsid w:val="6284989D"/>
    <w:rsid w:val="6284A22E"/>
    <w:rsid w:val="628A0429"/>
    <w:rsid w:val="62947BEF"/>
    <w:rsid w:val="62AB3E2D"/>
    <w:rsid w:val="62B1C692"/>
    <w:rsid w:val="62B43516"/>
    <w:rsid w:val="62CEF051"/>
    <w:rsid w:val="62D3C818"/>
    <w:rsid w:val="62DBDB4D"/>
    <w:rsid w:val="62E0E9F2"/>
    <w:rsid w:val="62E34969"/>
    <w:rsid w:val="62E80E69"/>
    <w:rsid w:val="62ECB6F7"/>
    <w:rsid w:val="62F2043C"/>
    <w:rsid w:val="62F25E25"/>
    <w:rsid w:val="62F3D9F7"/>
    <w:rsid w:val="630D2C6A"/>
    <w:rsid w:val="631B6575"/>
    <w:rsid w:val="632E5D56"/>
    <w:rsid w:val="63390C75"/>
    <w:rsid w:val="6358E34B"/>
    <w:rsid w:val="637827CF"/>
    <w:rsid w:val="63889820"/>
    <w:rsid w:val="638C2AEC"/>
    <w:rsid w:val="63928F01"/>
    <w:rsid w:val="63A29879"/>
    <w:rsid w:val="63B1A385"/>
    <w:rsid w:val="63C21726"/>
    <w:rsid w:val="63E0EBB9"/>
    <w:rsid w:val="63E94DEA"/>
    <w:rsid w:val="63EFD6E3"/>
    <w:rsid w:val="6402D7D9"/>
    <w:rsid w:val="6417CE13"/>
    <w:rsid w:val="641EEAE5"/>
    <w:rsid w:val="64228D44"/>
    <w:rsid w:val="6422EB75"/>
    <w:rsid w:val="6429D72F"/>
    <w:rsid w:val="642A0602"/>
    <w:rsid w:val="642B7F78"/>
    <w:rsid w:val="6436FBAD"/>
    <w:rsid w:val="643FEB66"/>
    <w:rsid w:val="6440AFEF"/>
    <w:rsid w:val="6446E972"/>
    <w:rsid w:val="644FFEFB"/>
    <w:rsid w:val="645D8385"/>
    <w:rsid w:val="6462635C"/>
    <w:rsid w:val="6467EA5D"/>
    <w:rsid w:val="64711859"/>
    <w:rsid w:val="6471F8F5"/>
    <w:rsid w:val="6474A560"/>
    <w:rsid w:val="649B4CD0"/>
    <w:rsid w:val="64A64B10"/>
    <w:rsid w:val="64B74A4C"/>
    <w:rsid w:val="64BB13CD"/>
    <w:rsid w:val="64BEF987"/>
    <w:rsid w:val="64C194B7"/>
    <w:rsid w:val="64C2C1A0"/>
    <w:rsid w:val="64D11FAF"/>
    <w:rsid w:val="64D999AD"/>
    <w:rsid w:val="64D9B687"/>
    <w:rsid w:val="64E3F50E"/>
    <w:rsid w:val="64ECDCBA"/>
    <w:rsid w:val="64ED8774"/>
    <w:rsid w:val="64F1B0BB"/>
    <w:rsid w:val="64F42014"/>
    <w:rsid w:val="64FF9F89"/>
    <w:rsid w:val="6505F524"/>
    <w:rsid w:val="652A5DFD"/>
    <w:rsid w:val="652AAA76"/>
    <w:rsid w:val="652F6D3B"/>
    <w:rsid w:val="653A921B"/>
    <w:rsid w:val="654F440A"/>
    <w:rsid w:val="655A191F"/>
    <w:rsid w:val="655AEB60"/>
    <w:rsid w:val="6567380E"/>
    <w:rsid w:val="65708122"/>
    <w:rsid w:val="6570AEAF"/>
    <w:rsid w:val="6573509F"/>
    <w:rsid w:val="65742057"/>
    <w:rsid w:val="65866A2D"/>
    <w:rsid w:val="659578F0"/>
    <w:rsid w:val="65974187"/>
    <w:rsid w:val="65A00CEF"/>
    <w:rsid w:val="65A46E90"/>
    <w:rsid w:val="65A4FF48"/>
    <w:rsid w:val="65BB0D69"/>
    <w:rsid w:val="65CFBC4F"/>
    <w:rsid w:val="65D1D829"/>
    <w:rsid w:val="65DB8DA4"/>
    <w:rsid w:val="65EDEF69"/>
    <w:rsid w:val="65F64467"/>
    <w:rsid w:val="660A446A"/>
    <w:rsid w:val="66178E70"/>
    <w:rsid w:val="661D008D"/>
    <w:rsid w:val="66282705"/>
    <w:rsid w:val="664D2F9D"/>
    <w:rsid w:val="665A5069"/>
    <w:rsid w:val="6664B4A6"/>
    <w:rsid w:val="66697290"/>
    <w:rsid w:val="6677E923"/>
    <w:rsid w:val="667F3FFA"/>
    <w:rsid w:val="667F4553"/>
    <w:rsid w:val="6684C6C6"/>
    <w:rsid w:val="6695452F"/>
    <w:rsid w:val="669A1B76"/>
    <w:rsid w:val="669F45C2"/>
    <w:rsid w:val="66A8B581"/>
    <w:rsid w:val="66ACB2FF"/>
    <w:rsid w:val="66C2621C"/>
    <w:rsid w:val="66C71A1D"/>
    <w:rsid w:val="66D0C30C"/>
    <w:rsid w:val="66DB3AA5"/>
    <w:rsid w:val="66DF992C"/>
    <w:rsid w:val="66E8FC65"/>
    <w:rsid w:val="66F5370C"/>
    <w:rsid w:val="67060F79"/>
    <w:rsid w:val="671810C4"/>
    <w:rsid w:val="671962A8"/>
    <w:rsid w:val="6720D030"/>
    <w:rsid w:val="67364488"/>
    <w:rsid w:val="6738AF3D"/>
    <w:rsid w:val="673C1B04"/>
    <w:rsid w:val="673D8A12"/>
    <w:rsid w:val="67498E83"/>
    <w:rsid w:val="6753CEBE"/>
    <w:rsid w:val="675B3D2A"/>
    <w:rsid w:val="675E92B4"/>
    <w:rsid w:val="675FB39D"/>
    <w:rsid w:val="6766E128"/>
    <w:rsid w:val="677747B0"/>
    <w:rsid w:val="677D8826"/>
    <w:rsid w:val="6782CE98"/>
    <w:rsid w:val="6785DA05"/>
    <w:rsid w:val="6788C42F"/>
    <w:rsid w:val="6789D346"/>
    <w:rsid w:val="678A3307"/>
    <w:rsid w:val="6794F393"/>
    <w:rsid w:val="67B23507"/>
    <w:rsid w:val="67B731DB"/>
    <w:rsid w:val="67C73EDF"/>
    <w:rsid w:val="67DB9439"/>
    <w:rsid w:val="67DCFFCB"/>
    <w:rsid w:val="67F55E63"/>
    <w:rsid w:val="68048F6F"/>
    <w:rsid w:val="680DE189"/>
    <w:rsid w:val="6815C92C"/>
    <w:rsid w:val="68187E07"/>
    <w:rsid w:val="6822A614"/>
    <w:rsid w:val="68272F24"/>
    <w:rsid w:val="6847858F"/>
    <w:rsid w:val="685D2290"/>
    <w:rsid w:val="685F63BA"/>
    <w:rsid w:val="686140B0"/>
    <w:rsid w:val="6868CEB3"/>
    <w:rsid w:val="686957C9"/>
    <w:rsid w:val="68723156"/>
    <w:rsid w:val="68795F1F"/>
    <w:rsid w:val="687EBC14"/>
    <w:rsid w:val="689B8E5D"/>
    <w:rsid w:val="68ABDCAC"/>
    <w:rsid w:val="68AD1333"/>
    <w:rsid w:val="68B282BD"/>
    <w:rsid w:val="68C643A8"/>
    <w:rsid w:val="68D27BFB"/>
    <w:rsid w:val="68D28B1C"/>
    <w:rsid w:val="68E58224"/>
    <w:rsid w:val="68EF68B3"/>
    <w:rsid w:val="68F276C0"/>
    <w:rsid w:val="6908F374"/>
    <w:rsid w:val="690E02D3"/>
    <w:rsid w:val="69111D7D"/>
    <w:rsid w:val="69127C52"/>
    <w:rsid w:val="691C3D66"/>
    <w:rsid w:val="691FD0B4"/>
    <w:rsid w:val="692BDD6E"/>
    <w:rsid w:val="693158D9"/>
    <w:rsid w:val="6935EF70"/>
    <w:rsid w:val="693FEE69"/>
    <w:rsid w:val="6940674C"/>
    <w:rsid w:val="6945D769"/>
    <w:rsid w:val="694A095D"/>
    <w:rsid w:val="6959E48F"/>
    <w:rsid w:val="695BB51D"/>
    <w:rsid w:val="695E74AB"/>
    <w:rsid w:val="695ED868"/>
    <w:rsid w:val="69636E3D"/>
    <w:rsid w:val="69656B70"/>
    <w:rsid w:val="6969AFE9"/>
    <w:rsid w:val="6971E92E"/>
    <w:rsid w:val="697BA0C6"/>
    <w:rsid w:val="698300FD"/>
    <w:rsid w:val="698C3908"/>
    <w:rsid w:val="6992B133"/>
    <w:rsid w:val="699B5212"/>
    <w:rsid w:val="699B69C2"/>
    <w:rsid w:val="69AF0561"/>
    <w:rsid w:val="69AF7F90"/>
    <w:rsid w:val="69B1B2DC"/>
    <w:rsid w:val="69C5D24E"/>
    <w:rsid w:val="69D2C2F5"/>
    <w:rsid w:val="69D4F64D"/>
    <w:rsid w:val="69E72ACE"/>
    <w:rsid w:val="69F2835C"/>
    <w:rsid w:val="6A0FE565"/>
    <w:rsid w:val="6A148DA1"/>
    <w:rsid w:val="6A15210A"/>
    <w:rsid w:val="6A1CC678"/>
    <w:rsid w:val="6A210D3F"/>
    <w:rsid w:val="6A233A69"/>
    <w:rsid w:val="6A3598DD"/>
    <w:rsid w:val="6A383930"/>
    <w:rsid w:val="6A3B44E9"/>
    <w:rsid w:val="6A4B45F0"/>
    <w:rsid w:val="6A4BA8EC"/>
    <w:rsid w:val="6A52D4F3"/>
    <w:rsid w:val="6A58C9AB"/>
    <w:rsid w:val="6A62727B"/>
    <w:rsid w:val="6A84BAD9"/>
    <w:rsid w:val="6A864664"/>
    <w:rsid w:val="6A8DBB35"/>
    <w:rsid w:val="6A9471A0"/>
    <w:rsid w:val="6A9518A7"/>
    <w:rsid w:val="6A996D65"/>
    <w:rsid w:val="6A9A7967"/>
    <w:rsid w:val="6AA06667"/>
    <w:rsid w:val="6AA71FE7"/>
    <w:rsid w:val="6AD478F9"/>
    <w:rsid w:val="6ADC2EF0"/>
    <w:rsid w:val="6ADF38CC"/>
    <w:rsid w:val="6AF52B3A"/>
    <w:rsid w:val="6AF63F56"/>
    <w:rsid w:val="6B14B564"/>
    <w:rsid w:val="6B265506"/>
    <w:rsid w:val="6B2B6271"/>
    <w:rsid w:val="6B2CB636"/>
    <w:rsid w:val="6B2F8165"/>
    <w:rsid w:val="6B3038D1"/>
    <w:rsid w:val="6B342313"/>
    <w:rsid w:val="6B3F9C81"/>
    <w:rsid w:val="6B4925B0"/>
    <w:rsid w:val="6B4E4221"/>
    <w:rsid w:val="6B4F819F"/>
    <w:rsid w:val="6B52679B"/>
    <w:rsid w:val="6B598393"/>
    <w:rsid w:val="6B6C91C9"/>
    <w:rsid w:val="6B760ECD"/>
    <w:rsid w:val="6B81E1A8"/>
    <w:rsid w:val="6B87B1B1"/>
    <w:rsid w:val="6B8C2F7B"/>
    <w:rsid w:val="6B99D54A"/>
    <w:rsid w:val="6BA18560"/>
    <w:rsid w:val="6BA2E3D4"/>
    <w:rsid w:val="6BB30A73"/>
    <w:rsid w:val="6BB43456"/>
    <w:rsid w:val="6BB877D5"/>
    <w:rsid w:val="6BBB1394"/>
    <w:rsid w:val="6BC6BB29"/>
    <w:rsid w:val="6BCCF9EA"/>
    <w:rsid w:val="6BE1E641"/>
    <w:rsid w:val="6C18F80F"/>
    <w:rsid w:val="6C1E4DA8"/>
    <w:rsid w:val="6C26BFAB"/>
    <w:rsid w:val="6C29BF75"/>
    <w:rsid w:val="6C2E748F"/>
    <w:rsid w:val="6C2FF144"/>
    <w:rsid w:val="6C32ABCB"/>
    <w:rsid w:val="6C3F8D35"/>
    <w:rsid w:val="6C5010FA"/>
    <w:rsid w:val="6C58548E"/>
    <w:rsid w:val="6C5A8389"/>
    <w:rsid w:val="6C5B6A83"/>
    <w:rsid w:val="6C613058"/>
    <w:rsid w:val="6C64A953"/>
    <w:rsid w:val="6C677632"/>
    <w:rsid w:val="6C692248"/>
    <w:rsid w:val="6C71C4DC"/>
    <w:rsid w:val="6C746F93"/>
    <w:rsid w:val="6C920E12"/>
    <w:rsid w:val="6C9B4606"/>
    <w:rsid w:val="6CA070D6"/>
    <w:rsid w:val="6CA2351B"/>
    <w:rsid w:val="6CAEE387"/>
    <w:rsid w:val="6CB06DE3"/>
    <w:rsid w:val="6CB43D7D"/>
    <w:rsid w:val="6CC7AD8C"/>
    <w:rsid w:val="6CD0B81E"/>
    <w:rsid w:val="6CD3FFDA"/>
    <w:rsid w:val="6CD55683"/>
    <w:rsid w:val="6CE4327E"/>
    <w:rsid w:val="6CE94F11"/>
    <w:rsid w:val="6CE994E6"/>
    <w:rsid w:val="6CEF95D4"/>
    <w:rsid w:val="6CFBB528"/>
    <w:rsid w:val="6D11C1E6"/>
    <w:rsid w:val="6D224372"/>
    <w:rsid w:val="6D228012"/>
    <w:rsid w:val="6D28DFBA"/>
    <w:rsid w:val="6D543EDB"/>
    <w:rsid w:val="6D5E1DCD"/>
    <w:rsid w:val="6D63271B"/>
    <w:rsid w:val="6D6E3320"/>
    <w:rsid w:val="6D6ED1F8"/>
    <w:rsid w:val="6D874010"/>
    <w:rsid w:val="6D8C5B4D"/>
    <w:rsid w:val="6D917A53"/>
    <w:rsid w:val="6D93BF25"/>
    <w:rsid w:val="6DA1C856"/>
    <w:rsid w:val="6DC40AD7"/>
    <w:rsid w:val="6DC4DC0B"/>
    <w:rsid w:val="6DD95991"/>
    <w:rsid w:val="6DE53C3B"/>
    <w:rsid w:val="6DEFB30C"/>
    <w:rsid w:val="6DF21822"/>
    <w:rsid w:val="6DF46A81"/>
    <w:rsid w:val="6DFD8140"/>
    <w:rsid w:val="6E109A69"/>
    <w:rsid w:val="6E130C60"/>
    <w:rsid w:val="6E15B27F"/>
    <w:rsid w:val="6E222C30"/>
    <w:rsid w:val="6E2DEE44"/>
    <w:rsid w:val="6E2F742F"/>
    <w:rsid w:val="6E385AE1"/>
    <w:rsid w:val="6E3EC358"/>
    <w:rsid w:val="6E5FA3E6"/>
    <w:rsid w:val="6E640B80"/>
    <w:rsid w:val="6E6D6A29"/>
    <w:rsid w:val="6E70E0AD"/>
    <w:rsid w:val="6E82B175"/>
    <w:rsid w:val="6E8F3A43"/>
    <w:rsid w:val="6E93AB3C"/>
    <w:rsid w:val="6E93B316"/>
    <w:rsid w:val="6E973D72"/>
    <w:rsid w:val="6E9B81EA"/>
    <w:rsid w:val="6E9D4705"/>
    <w:rsid w:val="6EA368E1"/>
    <w:rsid w:val="6EACA15E"/>
    <w:rsid w:val="6EB14C48"/>
    <w:rsid w:val="6EB75057"/>
    <w:rsid w:val="6EBA63BE"/>
    <w:rsid w:val="6EC03A1B"/>
    <w:rsid w:val="6EC25E4D"/>
    <w:rsid w:val="6EC2944D"/>
    <w:rsid w:val="6EC4E287"/>
    <w:rsid w:val="6EC6213A"/>
    <w:rsid w:val="6EC7B4D1"/>
    <w:rsid w:val="6ED7D622"/>
    <w:rsid w:val="6EDE0F2E"/>
    <w:rsid w:val="6EE21FB9"/>
    <w:rsid w:val="6EFAA27C"/>
    <w:rsid w:val="6F0CA739"/>
    <w:rsid w:val="6F129D62"/>
    <w:rsid w:val="6F2D2012"/>
    <w:rsid w:val="6F2EA0B0"/>
    <w:rsid w:val="6F54FCD2"/>
    <w:rsid w:val="6F59B913"/>
    <w:rsid w:val="6F5F9DCF"/>
    <w:rsid w:val="6F60264F"/>
    <w:rsid w:val="6F66F634"/>
    <w:rsid w:val="6F8570BC"/>
    <w:rsid w:val="6F85B574"/>
    <w:rsid w:val="6F95E152"/>
    <w:rsid w:val="6F9797E9"/>
    <w:rsid w:val="6FB495A0"/>
    <w:rsid w:val="6FC39DDE"/>
    <w:rsid w:val="6FD4EE71"/>
    <w:rsid w:val="6FE1C37A"/>
    <w:rsid w:val="6FE4D0E8"/>
    <w:rsid w:val="6FECB709"/>
    <w:rsid w:val="6FFBD5EA"/>
    <w:rsid w:val="6FFE253F"/>
    <w:rsid w:val="6FFF15CB"/>
    <w:rsid w:val="7000120E"/>
    <w:rsid w:val="70005055"/>
    <w:rsid w:val="70042DE6"/>
    <w:rsid w:val="701070DE"/>
    <w:rsid w:val="702284F4"/>
    <w:rsid w:val="7026C8F7"/>
    <w:rsid w:val="702C7014"/>
    <w:rsid w:val="70305709"/>
    <w:rsid w:val="703CB966"/>
    <w:rsid w:val="70456274"/>
    <w:rsid w:val="70484A25"/>
    <w:rsid w:val="704F85FC"/>
    <w:rsid w:val="7068841E"/>
    <w:rsid w:val="70AEE62A"/>
    <w:rsid w:val="70C8B464"/>
    <w:rsid w:val="70CAD1F8"/>
    <w:rsid w:val="70CE32C6"/>
    <w:rsid w:val="70D9A13F"/>
    <w:rsid w:val="70E41546"/>
    <w:rsid w:val="70E93FE9"/>
    <w:rsid w:val="710940CE"/>
    <w:rsid w:val="71166AFA"/>
    <w:rsid w:val="7126AE34"/>
    <w:rsid w:val="71294FC3"/>
    <w:rsid w:val="712B49B3"/>
    <w:rsid w:val="712B9649"/>
    <w:rsid w:val="71348577"/>
    <w:rsid w:val="713F0026"/>
    <w:rsid w:val="7144705B"/>
    <w:rsid w:val="714565FC"/>
    <w:rsid w:val="714EE062"/>
    <w:rsid w:val="71518F26"/>
    <w:rsid w:val="71530C68"/>
    <w:rsid w:val="71587FD5"/>
    <w:rsid w:val="715F1BD9"/>
    <w:rsid w:val="7162BC3E"/>
    <w:rsid w:val="7169C1FA"/>
    <w:rsid w:val="718E2960"/>
    <w:rsid w:val="718EB4F2"/>
    <w:rsid w:val="71940719"/>
    <w:rsid w:val="719DFF84"/>
    <w:rsid w:val="71BB351A"/>
    <w:rsid w:val="71CFC3C8"/>
    <w:rsid w:val="71D4EC83"/>
    <w:rsid w:val="71D6FC81"/>
    <w:rsid w:val="71D87951"/>
    <w:rsid w:val="71E2DF51"/>
    <w:rsid w:val="71E3B93D"/>
    <w:rsid w:val="71E5EA34"/>
    <w:rsid w:val="71F3EF85"/>
    <w:rsid w:val="720185CE"/>
    <w:rsid w:val="720552B9"/>
    <w:rsid w:val="720BF35A"/>
    <w:rsid w:val="72127C97"/>
    <w:rsid w:val="721A690E"/>
    <w:rsid w:val="721EBC3F"/>
    <w:rsid w:val="721F3753"/>
    <w:rsid w:val="721FF8DD"/>
    <w:rsid w:val="7220B75B"/>
    <w:rsid w:val="723BB817"/>
    <w:rsid w:val="723BEB96"/>
    <w:rsid w:val="724D1A7A"/>
    <w:rsid w:val="72503F8A"/>
    <w:rsid w:val="7251F996"/>
    <w:rsid w:val="726F1846"/>
    <w:rsid w:val="7289F20A"/>
    <w:rsid w:val="729C241F"/>
    <w:rsid w:val="72A0438D"/>
    <w:rsid w:val="72A5ADF7"/>
    <w:rsid w:val="72A999A0"/>
    <w:rsid w:val="72AA81CD"/>
    <w:rsid w:val="72CA8695"/>
    <w:rsid w:val="72CB7D1B"/>
    <w:rsid w:val="72CCB7E6"/>
    <w:rsid w:val="72CE0762"/>
    <w:rsid w:val="72EC2A64"/>
    <w:rsid w:val="72ECA327"/>
    <w:rsid w:val="72ECF6F0"/>
    <w:rsid w:val="72F1CCAD"/>
    <w:rsid w:val="72FD943C"/>
    <w:rsid w:val="73097C58"/>
    <w:rsid w:val="731BAF1D"/>
    <w:rsid w:val="7320F126"/>
    <w:rsid w:val="7325753B"/>
    <w:rsid w:val="733550C8"/>
    <w:rsid w:val="733ABC20"/>
    <w:rsid w:val="734C8790"/>
    <w:rsid w:val="7361D0AD"/>
    <w:rsid w:val="736689B1"/>
    <w:rsid w:val="7372026A"/>
    <w:rsid w:val="738A4E48"/>
    <w:rsid w:val="73B4E871"/>
    <w:rsid w:val="73CF2239"/>
    <w:rsid w:val="73E8D4A2"/>
    <w:rsid w:val="73ECAD5A"/>
    <w:rsid w:val="73EFE8BF"/>
    <w:rsid w:val="73F05EAD"/>
    <w:rsid w:val="7404B807"/>
    <w:rsid w:val="740864FB"/>
    <w:rsid w:val="741C6184"/>
    <w:rsid w:val="7425A53F"/>
    <w:rsid w:val="7429078F"/>
    <w:rsid w:val="74369506"/>
    <w:rsid w:val="74443D26"/>
    <w:rsid w:val="746DBC88"/>
    <w:rsid w:val="74783F8C"/>
    <w:rsid w:val="747A6758"/>
    <w:rsid w:val="748FF484"/>
    <w:rsid w:val="74943C55"/>
    <w:rsid w:val="7494BE1B"/>
    <w:rsid w:val="749F0ED3"/>
    <w:rsid w:val="74A5A38A"/>
    <w:rsid w:val="74AC7F36"/>
    <w:rsid w:val="74B6F48C"/>
    <w:rsid w:val="74CD5606"/>
    <w:rsid w:val="74E60FAF"/>
    <w:rsid w:val="74F2C6E0"/>
    <w:rsid w:val="74FB5FBA"/>
    <w:rsid w:val="750B1BC6"/>
    <w:rsid w:val="750CF8C3"/>
    <w:rsid w:val="750DF70A"/>
    <w:rsid w:val="7512FC70"/>
    <w:rsid w:val="7522BFF1"/>
    <w:rsid w:val="7523614E"/>
    <w:rsid w:val="75317A21"/>
    <w:rsid w:val="754DF72A"/>
    <w:rsid w:val="755DC16F"/>
    <w:rsid w:val="755E45FD"/>
    <w:rsid w:val="756FC1FF"/>
    <w:rsid w:val="7579DAD5"/>
    <w:rsid w:val="7586A851"/>
    <w:rsid w:val="758EA709"/>
    <w:rsid w:val="75991BA9"/>
    <w:rsid w:val="759C71B7"/>
    <w:rsid w:val="75A310CE"/>
    <w:rsid w:val="75A3C957"/>
    <w:rsid w:val="75AC1A4A"/>
    <w:rsid w:val="75AC9724"/>
    <w:rsid w:val="75BF03CC"/>
    <w:rsid w:val="75C4CED2"/>
    <w:rsid w:val="75CBB89F"/>
    <w:rsid w:val="75D1F905"/>
    <w:rsid w:val="75DCCC0D"/>
    <w:rsid w:val="75E27943"/>
    <w:rsid w:val="760FF1B4"/>
    <w:rsid w:val="76130554"/>
    <w:rsid w:val="76131340"/>
    <w:rsid w:val="7617F030"/>
    <w:rsid w:val="761B2E65"/>
    <w:rsid w:val="761EDDA4"/>
    <w:rsid w:val="762132A8"/>
    <w:rsid w:val="76345537"/>
    <w:rsid w:val="764FB370"/>
    <w:rsid w:val="76535CF3"/>
    <w:rsid w:val="76594892"/>
    <w:rsid w:val="765CB2EB"/>
    <w:rsid w:val="765E31D3"/>
    <w:rsid w:val="76766EB2"/>
    <w:rsid w:val="767C6720"/>
    <w:rsid w:val="767EED8E"/>
    <w:rsid w:val="76812E42"/>
    <w:rsid w:val="76863A0B"/>
    <w:rsid w:val="7686B060"/>
    <w:rsid w:val="7689940A"/>
    <w:rsid w:val="769CB4B3"/>
    <w:rsid w:val="769CF1B8"/>
    <w:rsid w:val="769EE29D"/>
    <w:rsid w:val="769F0A3F"/>
    <w:rsid w:val="769FF715"/>
    <w:rsid w:val="76AB5D32"/>
    <w:rsid w:val="76B0E6A8"/>
    <w:rsid w:val="76B7072C"/>
    <w:rsid w:val="76CFB373"/>
    <w:rsid w:val="76DBD8A8"/>
    <w:rsid w:val="76DC959F"/>
    <w:rsid w:val="76FA0DA8"/>
    <w:rsid w:val="77043791"/>
    <w:rsid w:val="7725CF69"/>
    <w:rsid w:val="77327331"/>
    <w:rsid w:val="773CA6F5"/>
    <w:rsid w:val="774676AE"/>
    <w:rsid w:val="7758B89E"/>
    <w:rsid w:val="775B7C02"/>
    <w:rsid w:val="77714B02"/>
    <w:rsid w:val="77791F1A"/>
    <w:rsid w:val="777EBA21"/>
    <w:rsid w:val="779ECB69"/>
    <w:rsid w:val="77A2D5A1"/>
    <w:rsid w:val="77AAC900"/>
    <w:rsid w:val="77B10675"/>
    <w:rsid w:val="77B75344"/>
    <w:rsid w:val="77B9B00F"/>
    <w:rsid w:val="77C3B9AF"/>
    <w:rsid w:val="77CB679F"/>
    <w:rsid w:val="77D0CF6A"/>
    <w:rsid w:val="77E7431A"/>
    <w:rsid w:val="77F1C507"/>
    <w:rsid w:val="78004788"/>
    <w:rsid w:val="780EC2F6"/>
    <w:rsid w:val="781050FA"/>
    <w:rsid w:val="7815555D"/>
    <w:rsid w:val="78175023"/>
    <w:rsid w:val="781C0FAB"/>
    <w:rsid w:val="781D0D21"/>
    <w:rsid w:val="781D3A76"/>
    <w:rsid w:val="782832F5"/>
    <w:rsid w:val="782A61EF"/>
    <w:rsid w:val="78368D94"/>
    <w:rsid w:val="783C68BC"/>
    <w:rsid w:val="78423988"/>
    <w:rsid w:val="78462A38"/>
    <w:rsid w:val="78473024"/>
    <w:rsid w:val="784C048F"/>
    <w:rsid w:val="7853B9B0"/>
    <w:rsid w:val="78566A1A"/>
    <w:rsid w:val="78675A9B"/>
    <w:rsid w:val="786D09F6"/>
    <w:rsid w:val="7877519C"/>
    <w:rsid w:val="787995CC"/>
    <w:rsid w:val="787F1357"/>
    <w:rsid w:val="78833CD6"/>
    <w:rsid w:val="78837976"/>
    <w:rsid w:val="788F824D"/>
    <w:rsid w:val="78A19525"/>
    <w:rsid w:val="78A26409"/>
    <w:rsid w:val="78AE91B4"/>
    <w:rsid w:val="78AFB2F3"/>
    <w:rsid w:val="78B34B5B"/>
    <w:rsid w:val="78B58097"/>
    <w:rsid w:val="78FDCF4F"/>
    <w:rsid w:val="79023A1A"/>
    <w:rsid w:val="79207C71"/>
    <w:rsid w:val="7925F852"/>
    <w:rsid w:val="7943846E"/>
    <w:rsid w:val="79463DE7"/>
    <w:rsid w:val="794946AC"/>
    <w:rsid w:val="794EAEDF"/>
    <w:rsid w:val="79605196"/>
    <w:rsid w:val="7967D127"/>
    <w:rsid w:val="7969F972"/>
    <w:rsid w:val="796D682D"/>
    <w:rsid w:val="79789803"/>
    <w:rsid w:val="7979C66D"/>
    <w:rsid w:val="798859F0"/>
    <w:rsid w:val="79888579"/>
    <w:rsid w:val="7995048B"/>
    <w:rsid w:val="799A11E3"/>
    <w:rsid w:val="799FA48C"/>
    <w:rsid w:val="79A1AD00"/>
    <w:rsid w:val="79BDF399"/>
    <w:rsid w:val="79D6798A"/>
    <w:rsid w:val="79DD9243"/>
    <w:rsid w:val="79DF1205"/>
    <w:rsid w:val="79E308BB"/>
    <w:rsid w:val="79F64629"/>
    <w:rsid w:val="79F78D8D"/>
    <w:rsid w:val="7A02F445"/>
    <w:rsid w:val="7A0BACD6"/>
    <w:rsid w:val="7A0C3835"/>
    <w:rsid w:val="7A118691"/>
    <w:rsid w:val="7A15A17C"/>
    <w:rsid w:val="7A1EB087"/>
    <w:rsid w:val="7A253C8F"/>
    <w:rsid w:val="7A2BDF26"/>
    <w:rsid w:val="7A344303"/>
    <w:rsid w:val="7A3BB080"/>
    <w:rsid w:val="7A49127F"/>
    <w:rsid w:val="7A4BFB16"/>
    <w:rsid w:val="7A5F488A"/>
    <w:rsid w:val="7A6C66CB"/>
    <w:rsid w:val="7A6CDECE"/>
    <w:rsid w:val="7A70A73F"/>
    <w:rsid w:val="7A712648"/>
    <w:rsid w:val="7A759450"/>
    <w:rsid w:val="7A7A1F05"/>
    <w:rsid w:val="7A7D3F2B"/>
    <w:rsid w:val="7A88BF12"/>
    <w:rsid w:val="7A964C18"/>
    <w:rsid w:val="7A9688C1"/>
    <w:rsid w:val="7AAA46E3"/>
    <w:rsid w:val="7AABCC55"/>
    <w:rsid w:val="7AB37902"/>
    <w:rsid w:val="7AB6AB01"/>
    <w:rsid w:val="7AC22A87"/>
    <w:rsid w:val="7AC22BB5"/>
    <w:rsid w:val="7ACA6C73"/>
    <w:rsid w:val="7ACDF853"/>
    <w:rsid w:val="7AD6DAF3"/>
    <w:rsid w:val="7AE4808D"/>
    <w:rsid w:val="7B002DA9"/>
    <w:rsid w:val="7B02985D"/>
    <w:rsid w:val="7B0E9966"/>
    <w:rsid w:val="7B0F77C9"/>
    <w:rsid w:val="7B16D823"/>
    <w:rsid w:val="7B2482AC"/>
    <w:rsid w:val="7B3063B2"/>
    <w:rsid w:val="7B34545A"/>
    <w:rsid w:val="7B3AC82C"/>
    <w:rsid w:val="7B53821B"/>
    <w:rsid w:val="7B5EBE70"/>
    <w:rsid w:val="7B61B04E"/>
    <w:rsid w:val="7B6837A7"/>
    <w:rsid w:val="7B6A9987"/>
    <w:rsid w:val="7B75EE48"/>
    <w:rsid w:val="7B7E3938"/>
    <w:rsid w:val="7B84D3CE"/>
    <w:rsid w:val="7B866745"/>
    <w:rsid w:val="7B968AF2"/>
    <w:rsid w:val="7B992E66"/>
    <w:rsid w:val="7BC62376"/>
    <w:rsid w:val="7BC7B5B7"/>
    <w:rsid w:val="7BCF67EF"/>
    <w:rsid w:val="7BE83DC2"/>
    <w:rsid w:val="7BEB2CD7"/>
    <w:rsid w:val="7BF45C2F"/>
    <w:rsid w:val="7BFDCFCC"/>
    <w:rsid w:val="7C003F3E"/>
    <w:rsid w:val="7C09DB18"/>
    <w:rsid w:val="7C29C5C3"/>
    <w:rsid w:val="7C2FBCFA"/>
    <w:rsid w:val="7C39ADD6"/>
    <w:rsid w:val="7C40634A"/>
    <w:rsid w:val="7C4FC1C0"/>
    <w:rsid w:val="7C4FD24B"/>
    <w:rsid w:val="7C628C9D"/>
    <w:rsid w:val="7C62D557"/>
    <w:rsid w:val="7C81ACD8"/>
    <w:rsid w:val="7C8EF6AE"/>
    <w:rsid w:val="7C9770FD"/>
    <w:rsid w:val="7CA0AB60"/>
    <w:rsid w:val="7CA2ACFD"/>
    <w:rsid w:val="7CA854CE"/>
    <w:rsid w:val="7CAA67D1"/>
    <w:rsid w:val="7CAFE12B"/>
    <w:rsid w:val="7CB44B86"/>
    <w:rsid w:val="7CB65A02"/>
    <w:rsid w:val="7CBD0161"/>
    <w:rsid w:val="7CC1FB3E"/>
    <w:rsid w:val="7CD4242B"/>
    <w:rsid w:val="7CD9FB8A"/>
    <w:rsid w:val="7CDBBA57"/>
    <w:rsid w:val="7CE5CE5A"/>
    <w:rsid w:val="7CE6799F"/>
    <w:rsid w:val="7CFC0231"/>
    <w:rsid w:val="7D11BDC8"/>
    <w:rsid w:val="7D14891A"/>
    <w:rsid w:val="7D3900FC"/>
    <w:rsid w:val="7D39AC5A"/>
    <w:rsid w:val="7D3DD2FB"/>
    <w:rsid w:val="7D4A610C"/>
    <w:rsid w:val="7D71912B"/>
    <w:rsid w:val="7D71B5EA"/>
    <w:rsid w:val="7D7672E5"/>
    <w:rsid w:val="7D91E98C"/>
    <w:rsid w:val="7D9D7FFA"/>
    <w:rsid w:val="7DA2337B"/>
    <w:rsid w:val="7DA8D45A"/>
    <w:rsid w:val="7DABB8DF"/>
    <w:rsid w:val="7DB2D94E"/>
    <w:rsid w:val="7DB6F17F"/>
    <w:rsid w:val="7DEA7635"/>
    <w:rsid w:val="7E081C31"/>
    <w:rsid w:val="7E084148"/>
    <w:rsid w:val="7E08A93B"/>
    <w:rsid w:val="7E09F8A2"/>
    <w:rsid w:val="7E1FE637"/>
    <w:rsid w:val="7E2E5A1F"/>
    <w:rsid w:val="7E2E728F"/>
    <w:rsid w:val="7E3DE187"/>
    <w:rsid w:val="7E626408"/>
    <w:rsid w:val="7E627462"/>
    <w:rsid w:val="7E671058"/>
    <w:rsid w:val="7E6BD2F9"/>
    <w:rsid w:val="7E7D1844"/>
    <w:rsid w:val="7E9011D0"/>
    <w:rsid w:val="7E9732DA"/>
    <w:rsid w:val="7EA0D715"/>
    <w:rsid w:val="7EAE7316"/>
    <w:rsid w:val="7EB06779"/>
    <w:rsid w:val="7EBC2FEB"/>
    <w:rsid w:val="7EC903D4"/>
    <w:rsid w:val="7ECC555C"/>
    <w:rsid w:val="7ED09209"/>
    <w:rsid w:val="7EF83C15"/>
    <w:rsid w:val="7EFFB28A"/>
    <w:rsid w:val="7F19F518"/>
    <w:rsid w:val="7F33C310"/>
    <w:rsid w:val="7F3418C2"/>
    <w:rsid w:val="7F397A3A"/>
    <w:rsid w:val="7F406351"/>
    <w:rsid w:val="7F545D37"/>
    <w:rsid w:val="7F559006"/>
    <w:rsid w:val="7F57249A"/>
    <w:rsid w:val="7F58EDCB"/>
    <w:rsid w:val="7F6074AF"/>
    <w:rsid w:val="7F6CB23A"/>
    <w:rsid w:val="7F7139EE"/>
    <w:rsid w:val="7F744149"/>
    <w:rsid w:val="7F74C3F7"/>
    <w:rsid w:val="7F754E3D"/>
    <w:rsid w:val="7F79D51B"/>
    <w:rsid w:val="7F959BAA"/>
    <w:rsid w:val="7F9F31CD"/>
    <w:rsid w:val="7FA5F0FA"/>
    <w:rsid w:val="7FB343EB"/>
    <w:rsid w:val="7FCD7EBC"/>
    <w:rsid w:val="7FE88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FA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sl"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36"/>
  </w:style>
  <w:style w:type="paragraph" w:styleId="Heading1">
    <w:name w:val="heading 1"/>
    <w:basedOn w:val="Normal"/>
    <w:next w:val="Text1"/>
    <w:link w:val="Heading1Char"/>
    <w:uiPriority w:val="9"/>
    <w:qFormat/>
    <w:rsid w:val="14F0B435"/>
    <w:pPr>
      <w:keepNext/>
      <w:tabs>
        <w:tab w:val="num" w:pos="850"/>
      </w:tabs>
      <w:spacing w:before="360" w:after="0"/>
      <w:ind w:left="850" w:hanging="850"/>
      <w:jc w:val="both"/>
      <w:outlineLvl w:val="0"/>
    </w:pPr>
    <w:rPr>
      <w:rFonts w:ascii="Times New Roman" w:eastAsiaTheme="majorEastAsia" w:hAnsi="Times New Roman" w:cs="Times New Roman"/>
      <w:b/>
      <w:smallCaps/>
      <w:sz w:val="24"/>
    </w:rPr>
  </w:style>
  <w:style w:type="paragraph" w:styleId="Heading2">
    <w:name w:val="heading 2"/>
    <w:basedOn w:val="Normal"/>
    <w:next w:val="Text1"/>
    <w:link w:val="Heading2Char"/>
    <w:uiPriority w:val="9"/>
    <w:unhideWhenUsed/>
    <w:qFormat/>
    <w:rsid w:val="14F0B435"/>
    <w:pPr>
      <w:keepNext/>
      <w:spacing w:before="40" w:after="0"/>
      <w:ind w:left="130" w:firstLine="720"/>
      <w:jc w:val="both"/>
      <w:outlineLvl w:val="1"/>
    </w:pPr>
    <w:rPr>
      <w:rFonts w:ascii="Times New Roman" w:eastAsiaTheme="minorEastAsia" w:hAnsi="Times New Roman" w:cs="Times New Roman"/>
      <w:b/>
      <w:sz w:val="24"/>
      <w:u w:val="single"/>
    </w:rPr>
  </w:style>
  <w:style w:type="paragraph" w:styleId="Heading3">
    <w:name w:val="heading 3"/>
    <w:basedOn w:val="Normal"/>
    <w:next w:val="Text1"/>
    <w:link w:val="Heading3Char"/>
    <w:uiPriority w:val="9"/>
    <w:unhideWhenUsed/>
    <w:qFormat/>
    <w:rsid w:val="14F0B435"/>
    <w:pPr>
      <w:keepNext/>
      <w:spacing w:before="240" w:after="0"/>
      <w:ind w:left="851"/>
      <w:jc w:val="both"/>
      <w:outlineLvl w:val="2"/>
    </w:pPr>
    <w:rPr>
      <w:rFonts w:ascii="Times New Roman" w:eastAsiaTheme="minorEastAsia" w:hAnsi="Times New Roman" w:cs="Times New Roman"/>
      <w:sz w:val="24"/>
      <w:u w:val="single"/>
    </w:rPr>
  </w:style>
  <w:style w:type="paragraph" w:styleId="Heading4">
    <w:name w:val="heading 4"/>
    <w:basedOn w:val="Normal"/>
    <w:next w:val="Text1"/>
    <w:link w:val="Heading4Char"/>
    <w:uiPriority w:val="9"/>
    <w:unhideWhenUsed/>
    <w:qFormat/>
    <w:rsid w:val="29DEDBAE"/>
    <w:pPr>
      <w:keepNext/>
      <w:numPr>
        <w:ilvl w:val="3"/>
        <w:numId w:val="7"/>
      </w:numPr>
      <w:spacing w:before="40" w:after="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unhideWhenUsed/>
    <w:qFormat/>
    <w:rsid w:val="00510B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0B5B"/>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510B5B"/>
    <w:pPr>
      <w:keepNext/>
      <w:keepLines/>
      <w:spacing w:before="40" w:after="0"/>
      <w:outlineLvl w:val="6"/>
    </w:pPr>
    <w:rPr>
      <w:rFonts w:asciiTheme="majorHAnsi" w:eastAsiaTheme="majorEastAsia" w:hAnsiTheme="majorHAnsi" w:cstheme="majorBidi"/>
      <w:i/>
      <w:color w:val="243F60"/>
    </w:rPr>
  </w:style>
  <w:style w:type="paragraph" w:styleId="Heading8">
    <w:name w:val="heading 8"/>
    <w:basedOn w:val="Normal"/>
    <w:next w:val="Normal"/>
    <w:link w:val="Heading8Char"/>
    <w:uiPriority w:val="9"/>
    <w:unhideWhenUsed/>
    <w:qFormat/>
    <w:rsid w:val="00510B5B"/>
    <w:pPr>
      <w:keepNext/>
      <w:keepLines/>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00510B5B"/>
    <w:pPr>
      <w:keepNext/>
      <w:keepLines/>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0D"/>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B4580D"/>
    <w:rPr>
      <w:rFonts w:ascii="Times New Roman" w:eastAsiaTheme="minorEastAsia" w:hAnsi="Times New Roman" w:cs="Times New Roman"/>
      <w:b/>
      <w:sz w:val="24"/>
      <w:u w:val="single"/>
    </w:rPr>
  </w:style>
  <w:style w:type="character" w:customStyle="1" w:styleId="Heading3Char">
    <w:name w:val="Heading 3 Char"/>
    <w:basedOn w:val="DefaultParagraphFont"/>
    <w:link w:val="Heading3"/>
    <w:uiPriority w:val="9"/>
    <w:rsid w:val="00B4580D"/>
    <w:rPr>
      <w:rFonts w:ascii="Times New Roman" w:eastAsiaTheme="minorEastAsia" w:hAnsi="Times New Roman" w:cs="Times New Roman"/>
      <w:sz w:val="24"/>
      <w:u w:val="single"/>
    </w:rPr>
  </w:style>
  <w:style w:type="character" w:customStyle="1" w:styleId="Heading4Char">
    <w:name w:val="Heading 4 Char"/>
    <w:basedOn w:val="DefaultParagraphFont"/>
    <w:link w:val="Heading4"/>
    <w:uiPriority w:val="9"/>
    <w:rsid w:val="00B4580D"/>
    <w:rPr>
      <w:rFonts w:ascii="Times New Roman" w:eastAsiaTheme="majorEastAsia" w:hAnsi="Times New Roman" w:cs="Times New Roman"/>
      <w:sz w:val="24"/>
    </w:rPr>
  </w:style>
  <w:style w:type="paragraph" w:styleId="Header">
    <w:name w:val="header"/>
    <w:basedOn w:val="Normal"/>
    <w:link w:val="HeaderChar"/>
    <w:uiPriority w:val="99"/>
    <w:unhideWhenUsed/>
    <w:rsid w:val="14F0B435"/>
    <w:pPr>
      <w:tabs>
        <w:tab w:val="center" w:pos="4535"/>
        <w:tab w:val="right" w:pos="9071"/>
      </w:tabs>
      <w:spacing w:after="120"/>
      <w:jc w:val="both"/>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B4580D"/>
    <w:rPr>
      <w:rFonts w:ascii="Times New Roman" w:eastAsiaTheme="minorEastAsia" w:hAnsi="Times New Roman" w:cs="Times New Roman"/>
      <w:sz w:val="24"/>
    </w:rPr>
  </w:style>
  <w:style w:type="paragraph" w:styleId="Footer">
    <w:name w:val="footer"/>
    <w:basedOn w:val="Normal"/>
    <w:link w:val="FooterChar"/>
    <w:uiPriority w:val="99"/>
    <w:unhideWhenUsed/>
    <w:rsid w:val="14F0B435"/>
    <w:pPr>
      <w:tabs>
        <w:tab w:val="center" w:pos="4535"/>
        <w:tab w:val="right" w:pos="9071"/>
        <w:tab w:val="right" w:pos="9921"/>
      </w:tabs>
      <w:spacing w:before="360" w:after="0"/>
      <w:ind w:left="-850" w:right="-850"/>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B4580D"/>
    <w:rPr>
      <w:rFonts w:ascii="Times New Roman" w:eastAsiaTheme="minorEastAsia" w:hAnsi="Times New Roman" w:cs="Times New Roman"/>
      <w:sz w:val="24"/>
    </w:rPr>
  </w:style>
  <w:style w:type="paragraph" w:styleId="FootnoteText">
    <w:name w:val="footnote text"/>
    <w:basedOn w:val="Normal"/>
    <w:link w:val="FootnoteTextChar"/>
    <w:uiPriority w:val="99"/>
    <w:unhideWhenUsed/>
    <w:rsid w:val="14F0B435"/>
    <w:pPr>
      <w:keepNext/>
      <w:spacing w:after="0"/>
      <w:ind w:left="720" w:hanging="720"/>
      <w:jc w:val="both"/>
    </w:pPr>
    <w:rPr>
      <w:rFonts w:ascii="Times New Roman" w:eastAsiaTheme="minorEastAsia" w:hAnsi="Times New Roman" w:cs="Times New Roman"/>
      <w:sz w:val="20"/>
    </w:rPr>
  </w:style>
  <w:style w:type="character" w:customStyle="1" w:styleId="FootnoteTextChar">
    <w:name w:val="Footnote Text Char"/>
    <w:basedOn w:val="DefaultParagraphFont"/>
    <w:link w:val="FootnoteText"/>
    <w:uiPriority w:val="99"/>
    <w:rsid w:val="00B4580D"/>
    <w:rPr>
      <w:rFonts w:ascii="Times New Roman" w:eastAsiaTheme="minorEastAsia" w:hAnsi="Times New Roman" w:cs="Times New Roman"/>
      <w:sz w:val="20"/>
    </w:rPr>
  </w:style>
  <w:style w:type="paragraph" w:styleId="TOCHeading">
    <w:name w:val="TOC Heading"/>
    <w:basedOn w:val="Normal"/>
    <w:next w:val="Normal"/>
    <w:uiPriority w:val="39"/>
    <w:unhideWhenUsed/>
    <w:qFormat/>
    <w:rsid w:val="14F0B435"/>
    <w:pPr>
      <w:keepNext/>
      <w:spacing w:before="40" w:after="0"/>
      <w:jc w:val="center"/>
    </w:pPr>
    <w:rPr>
      <w:rFonts w:ascii="Times New Roman" w:eastAsiaTheme="minorEastAsia" w:hAnsi="Times New Roman" w:cs="Times New Roman"/>
      <w:b/>
      <w:sz w:val="28"/>
    </w:rPr>
  </w:style>
  <w:style w:type="paragraph" w:styleId="TOC1">
    <w:name w:val="toc 1"/>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2">
    <w:name w:val="toc 2"/>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3">
    <w:name w:val="toc 3"/>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4">
    <w:name w:val="toc 4"/>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5">
    <w:name w:val="toc 5"/>
    <w:basedOn w:val="Normal"/>
    <w:next w:val="Normal"/>
    <w:uiPriority w:val="39"/>
    <w:unhideWhenUsed/>
    <w:rsid w:val="14F0B435"/>
    <w:pPr>
      <w:keepNext/>
      <w:tabs>
        <w:tab w:val="right" w:leader="dot" w:pos="9071"/>
      </w:tabs>
      <w:spacing w:before="300" w:after="0"/>
      <w:jc w:val="both"/>
    </w:pPr>
    <w:rPr>
      <w:rFonts w:ascii="Times New Roman" w:eastAsiaTheme="minorEastAsia" w:hAnsi="Times New Roman" w:cs="Times New Roman"/>
      <w:sz w:val="24"/>
    </w:rPr>
  </w:style>
  <w:style w:type="paragraph" w:styleId="TOC6">
    <w:name w:val="toc 6"/>
    <w:basedOn w:val="Normal"/>
    <w:next w:val="Normal"/>
    <w:uiPriority w:val="39"/>
    <w:unhideWhenUsed/>
    <w:rsid w:val="14F0B435"/>
    <w:pPr>
      <w:keepNext/>
      <w:tabs>
        <w:tab w:val="right" w:leader="dot" w:pos="9071"/>
      </w:tabs>
      <w:spacing w:before="240" w:after="0"/>
      <w:jc w:val="both"/>
    </w:pPr>
    <w:rPr>
      <w:rFonts w:ascii="Times New Roman" w:eastAsiaTheme="minorEastAsia" w:hAnsi="Times New Roman" w:cs="Times New Roman"/>
      <w:sz w:val="24"/>
    </w:rPr>
  </w:style>
  <w:style w:type="paragraph" w:styleId="TOC7">
    <w:name w:val="toc 7"/>
    <w:basedOn w:val="Normal"/>
    <w:next w:val="Normal"/>
    <w:uiPriority w:val="39"/>
    <w:unhideWhenUsed/>
    <w:rsid w:val="14F0B435"/>
    <w:pPr>
      <w:keepNext/>
      <w:tabs>
        <w:tab w:val="right" w:leader="dot" w:pos="9071"/>
      </w:tabs>
      <w:spacing w:before="180" w:after="0"/>
      <w:jc w:val="both"/>
    </w:pPr>
    <w:rPr>
      <w:rFonts w:ascii="Times New Roman" w:eastAsiaTheme="minorEastAsia" w:hAnsi="Times New Roman" w:cs="Times New Roman"/>
      <w:sz w:val="24"/>
    </w:rPr>
  </w:style>
  <w:style w:type="paragraph" w:styleId="TOC8">
    <w:name w:val="toc 8"/>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styleId="TOC9">
    <w:name w:val="toc 9"/>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customStyle="1" w:styleId="HeaderLandscape">
    <w:name w:val="HeaderLandscape"/>
    <w:basedOn w:val="Normal"/>
    <w:uiPriority w:val="1"/>
    <w:rsid w:val="14F0B435"/>
    <w:pPr>
      <w:tabs>
        <w:tab w:val="center" w:pos="7285"/>
        <w:tab w:val="right" w:pos="14003"/>
      </w:tabs>
      <w:spacing w:after="120"/>
      <w:jc w:val="both"/>
    </w:pPr>
    <w:rPr>
      <w:rFonts w:ascii="Times New Roman" w:eastAsiaTheme="minorEastAsia" w:hAnsi="Times New Roman" w:cs="Times New Roman"/>
      <w:sz w:val="24"/>
    </w:rPr>
  </w:style>
  <w:style w:type="paragraph" w:customStyle="1" w:styleId="FooterLandscape">
    <w:name w:val="FooterLandscape"/>
    <w:basedOn w:val="Normal"/>
    <w:uiPriority w:val="1"/>
    <w:rsid w:val="14F0B435"/>
    <w:pPr>
      <w:tabs>
        <w:tab w:val="center" w:pos="7285"/>
        <w:tab w:val="center" w:pos="10913"/>
        <w:tab w:val="right" w:pos="15137"/>
      </w:tabs>
      <w:spacing w:before="360" w:after="0"/>
      <w:ind w:left="-567" w:right="-567"/>
    </w:pPr>
    <w:rPr>
      <w:rFonts w:ascii="Times New Roman" w:eastAsiaTheme="minorEastAsia" w:hAnsi="Times New Roman" w:cs="Times New Roman"/>
      <w:sz w:val="24"/>
    </w:rPr>
  </w:style>
  <w:style w:type="character" w:styleId="FootnoteReference">
    <w:name w:val="footnote reference"/>
    <w:basedOn w:val="DefaultParagraphFont"/>
    <w:uiPriority w:val="99"/>
    <w:semiHidden/>
    <w:unhideWhenUsed/>
    <w:rsid w:val="00B4580D"/>
    <w:rPr>
      <w:shd w:val="clear" w:color="auto" w:fill="auto"/>
      <w:vertAlign w:val="superscript"/>
    </w:rPr>
  </w:style>
  <w:style w:type="paragraph" w:customStyle="1" w:styleId="HeaderSensitivity">
    <w:name w:val="Header Sensitivity"/>
    <w:basedOn w:val="Normal"/>
    <w:uiPriority w:val="1"/>
    <w:rsid w:val="14F0B4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uiPriority w:val="1"/>
    <w:rsid w:val="14F0B435"/>
    <w:pPr>
      <w:spacing w:after="120" w:line="240" w:lineRule="auto"/>
      <w:jc w:val="right"/>
    </w:pPr>
    <w:rPr>
      <w:rFonts w:ascii="Times New Roman" w:hAnsi="Times New Roman" w:cs="Times New Roman"/>
      <w:sz w:val="28"/>
    </w:rPr>
  </w:style>
  <w:style w:type="paragraph" w:customStyle="1" w:styleId="FooterSensitivity">
    <w:name w:val="Footer Sensitivity"/>
    <w:basedOn w:val="Normal"/>
    <w:uiPriority w:val="1"/>
    <w:rsid w:val="14F0B4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Text2">
    <w:name w:val="Text 2"/>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Text3">
    <w:name w:val="Text 3"/>
    <w:basedOn w:val="Normal"/>
    <w:uiPriority w:val="1"/>
    <w:rsid w:val="14F0B435"/>
    <w:pPr>
      <w:keepNext/>
      <w:spacing w:before="40" w:after="0"/>
      <w:ind w:left="1984"/>
      <w:jc w:val="both"/>
    </w:pPr>
    <w:rPr>
      <w:rFonts w:ascii="Times New Roman" w:eastAsiaTheme="minorEastAsia" w:hAnsi="Times New Roman" w:cs="Times New Roman"/>
      <w:sz w:val="24"/>
    </w:rPr>
  </w:style>
  <w:style w:type="paragraph" w:customStyle="1" w:styleId="Text4">
    <w:name w:val="Text 4"/>
    <w:basedOn w:val="Normal"/>
    <w:uiPriority w:val="1"/>
    <w:rsid w:val="14F0B435"/>
    <w:pPr>
      <w:keepNext/>
      <w:spacing w:before="40" w:after="0"/>
      <w:ind w:left="2551"/>
      <w:jc w:val="both"/>
    </w:pPr>
    <w:rPr>
      <w:rFonts w:ascii="Times New Roman" w:eastAsiaTheme="minorEastAsia" w:hAnsi="Times New Roman" w:cs="Times New Roman"/>
      <w:sz w:val="24"/>
    </w:rPr>
  </w:style>
  <w:style w:type="paragraph" w:customStyle="1" w:styleId="NormalCentered">
    <w:name w:val="Normal Centered"/>
    <w:basedOn w:val="Normal"/>
    <w:uiPriority w:val="1"/>
    <w:rsid w:val="14F0B435"/>
    <w:pPr>
      <w:keepNext/>
      <w:spacing w:before="40" w:after="0"/>
      <w:jc w:val="center"/>
    </w:pPr>
    <w:rPr>
      <w:rFonts w:ascii="Times New Roman" w:eastAsiaTheme="minorEastAsia" w:hAnsi="Times New Roman" w:cs="Times New Roman"/>
      <w:sz w:val="24"/>
    </w:rPr>
  </w:style>
  <w:style w:type="paragraph" w:customStyle="1" w:styleId="NormalLeft">
    <w:name w:val="Normal Left"/>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NormalRight">
    <w:name w:val="Normal Right"/>
    <w:basedOn w:val="Normal"/>
    <w:uiPriority w:val="1"/>
    <w:rsid w:val="14F0B435"/>
    <w:pPr>
      <w:keepNext/>
      <w:spacing w:before="40" w:after="0"/>
      <w:jc w:val="right"/>
    </w:pPr>
    <w:rPr>
      <w:rFonts w:ascii="Times New Roman" w:eastAsiaTheme="minorEastAsia" w:hAnsi="Times New Roman" w:cs="Times New Roman"/>
      <w:sz w:val="24"/>
    </w:rPr>
  </w:style>
  <w:style w:type="paragraph" w:customStyle="1" w:styleId="QuotedText">
    <w:name w:val="Quoted Text"/>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Point0">
    <w:name w:val="Point 0"/>
    <w:basedOn w:val="Normal"/>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Point1">
    <w:name w:val="Point 1"/>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Point2">
    <w:name w:val="Point 2"/>
    <w:basedOn w:val="Normal"/>
    <w:uiPriority w:val="1"/>
    <w:rsid w:val="14F0B435"/>
    <w:pPr>
      <w:keepNext/>
      <w:spacing w:before="40" w:after="0"/>
      <w:ind w:left="1984" w:hanging="567"/>
      <w:jc w:val="both"/>
    </w:pPr>
    <w:rPr>
      <w:rFonts w:ascii="Times New Roman" w:eastAsiaTheme="minorEastAsia" w:hAnsi="Times New Roman" w:cs="Times New Roman"/>
      <w:sz w:val="24"/>
    </w:rPr>
  </w:style>
  <w:style w:type="paragraph" w:customStyle="1" w:styleId="Point3">
    <w:name w:val="Point 3"/>
    <w:basedOn w:val="Normal"/>
    <w:uiPriority w:val="1"/>
    <w:rsid w:val="14F0B435"/>
    <w:pPr>
      <w:keepNext/>
      <w:spacing w:before="40" w:after="0"/>
      <w:ind w:left="2551" w:hanging="567"/>
      <w:jc w:val="both"/>
    </w:pPr>
    <w:rPr>
      <w:rFonts w:ascii="Times New Roman" w:eastAsiaTheme="minorEastAsia" w:hAnsi="Times New Roman" w:cs="Times New Roman"/>
      <w:sz w:val="24"/>
    </w:rPr>
  </w:style>
  <w:style w:type="paragraph" w:customStyle="1" w:styleId="Point4">
    <w:name w:val="Point 4"/>
    <w:basedOn w:val="Normal"/>
    <w:uiPriority w:val="1"/>
    <w:rsid w:val="14F0B435"/>
    <w:pPr>
      <w:keepNext/>
      <w:spacing w:before="40" w:after="0"/>
      <w:ind w:left="3118" w:hanging="567"/>
      <w:jc w:val="both"/>
    </w:pPr>
    <w:rPr>
      <w:rFonts w:ascii="Times New Roman" w:eastAsiaTheme="minorEastAsia" w:hAnsi="Times New Roman" w:cs="Times New Roman"/>
      <w:sz w:val="24"/>
    </w:rPr>
  </w:style>
  <w:style w:type="paragraph" w:customStyle="1" w:styleId="Tiret0">
    <w:name w:val="Tiret 0"/>
    <w:basedOn w:val="Point0"/>
    <w:uiPriority w:val="1"/>
    <w:rsid w:val="00B4580D"/>
    <w:pPr>
      <w:numPr>
        <w:numId w:val="1"/>
      </w:numPr>
    </w:pPr>
  </w:style>
  <w:style w:type="paragraph" w:customStyle="1" w:styleId="Tiret1">
    <w:name w:val="Tiret 1"/>
    <w:basedOn w:val="Point1"/>
    <w:uiPriority w:val="1"/>
    <w:rsid w:val="00B4580D"/>
    <w:pPr>
      <w:numPr>
        <w:numId w:val="2"/>
      </w:numPr>
    </w:pPr>
  </w:style>
  <w:style w:type="paragraph" w:customStyle="1" w:styleId="Tiret2">
    <w:name w:val="Tiret 2"/>
    <w:basedOn w:val="Point2"/>
    <w:uiPriority w:val="1"/>
    <w:rsid w:val="00B4580D"/>
    <w:pPr>
      <w:numPr>
        <w:numId w:val="3"/>
      </w:numPr>
    </w:pPr>
  </w:style>
  <w:style w:type="paragraph" w:customStyle="1" w:styleId="Tiret3">
    <w:name w:val="Tiret 3"/>
    <w:basedOn w:val="Point3"/>
    <w:uiPriority w:val="1"/>
    <w:rsid w:val="00B4580D"/>
    <w:pPr>
      <w:numPr>
        <w:numId w:val="4"/>
      </w:numPr>
    </w:pPr>
  </w:style>
  <w:style w:type="paragraph" w:customStyle="1" w:styleId="Tiret4">
    <w:name w:val="Tiret 4"/>
    <w:basedOn w:val="Point4"/>
    <w:uiPriority w:val="1"/>
    <w:rsid w:val="00B4580D"/>
    <w:pPr>
      <w:numPr>
        <w:numId w:val="5"/>
      </w:numPr>
    </w:pPr>
  </w:style>
  <w:style w:type="paragraph" w:customStyle="1" w:styleId="PointDouble0">
    <w:name w:val="PointDouble 0"/>
    <w:basedOn w:val="Normal"/>
    <w:uiPriority w:val="1"/>
    <w:rsid w:val="14F0B435"/>
    <w:pPr>
      <w:keepNext/>
      <w:tabs>
        <w:tab w:val="left" w:pos="850"/>
      </w:tabs>
      <w:spacing w:before="40" w:after="0"/>
      <w:ind w:left="1417" w:hanging="1417"/>
      <w:jc w:val="both"/>
    </w:pPr>
    <w:rPr>
      <w:rFonts w:ascii="Times New Roman" w:eastAsiaTheme="minorEastAsia" w:hAnsi="Times New Roman" w:cs="Times New Roman"/>
      <w:sz w:val="24"/>
    </w:rPr>
  </w:style>
  <w:style w:type="paragraph" w:customStyle="1" w:styleId="PointDouble1">
    <w:name w:val="PointDouble 1"/>
    <w:basedOn w:val="Normal"/>
    <w:uiPriority w:val="1"/>
    <w:rsid w:val="14F0B435"/>
    <w:pPr>
      <w:keepNext/>
      <w:tabs>
        <w:tab w:val="left" w:pos="1417"/>
      </w:tabs>
      <w:spacing w:before="40" w:after="0"/>
      <w:ind w:left="1984" w:hanging="1134"/>
      <w:jc w:val="both"/>
    </w:pPr>
    <w:rPr>
      <w:rFonts w:ascii="Times New Roman" w:eastAsiaTheme="minorEastAsia" w:hAnsi="Times New Roman" w:cs="Times New Roman"/>
      <w:sz w:val="24"/>
    </w:rPr>
  </w:style>
  <w:style w:type="paragraph" w:customStyle="1" w:styleId="PointDouble2">
    <w:name w:val="PointDouble 2"/>
    <w:basedOn w:val="Normal"/>
    <w:uiPriority w:val="1"/>
    <w:rsid w:val="14F0B435"/>
    <w:pPr>
      <w:keepNext/>
      <w:tabs>
        <w:tab w:val="left" w:pos="1984"/>
      </w:tabs>
      <w:spacing w:before="40" w:after="0"/>
      <w:ind w:left="2551" w:hanging="1134"/>
      <w:jc w:val="both"/>
    </w:pPr>
    <w:rPr>
      <w:rFonts w:ascii="Times New Roman" w:eastAsiaTheme="minorEastAsia" w:hAnsi="Times New Roman" w:cs="Times New Roman"/>
      <w:sz w:val="24"/>
    </w:rPr>
  </w:style>
  <w:style w:type="paragraph" w:customStyle="1" w:styleId="PointDouble3">
    <w:name w:val="PointDouble 3"/>
    <w:basedOn w:val="Normal"/>
    <w:uiPriority w:val="1"/>
    <w:rsid w:val="14F0B435"/>
    <w:pPr>
      <w:keepNext/>
      <w:tabs>
        <w:tab w:val="left" w:pos="2551"/>
      </w:tabs>
      <w:spacing w:before="40" w:after="0"/>
      <w:ind w:left="3118" w:hanging="1134"/>
      <w:jc w:val="both"/>
    </w:pPr>
    <w:rPr>
      <w:rFonts w:ascii="Times New Roman" w:eastAsiaTheme="minorEastAsia" w:hAnsi="Times New Roman" w:cs="Times New Roman"/>
      <w:sz w:val="24"/>
    </w:rPr>
  </w:style>
  <w:style w:type="paragraph" w:customStyle="1" w:styleId="PointDouble4">
    <w:name w:val="PointDouble 4"/>
    <w:basedOn w:val="Normal"/>
    <w:uiPriority w:val="1"/>
    <w:rsid w:val="14F0B435"/>
    <w:pPr>
      <w:keepNext/>
      <w:tabs>
        <w:tab w:val="left" w:pos="3118"/>
      </w:tabs>
      <w:spacing w:before="40" w:after="0"/>
      <w:ind w:left="3685" w:hanging="1134"/>
      <w:jc w:val="both"/>
    </w:pPr>
    <w:rPr>
      <w:rFonts w:ascii="Times New Roman" w:eastAsiaTheme="minorEastAsia" w:hAnsi="Times New Roman" w:cs="Times New Roman"/>
      <w:sz w:val="24"/>
    </w:rPr>
  </w:style>
  <w:style w:type="paragraph" w:customStyle="1" w:styleId="PointTriple0">
    <w:name w:val="PointTriple 0"/>
    <w:basedOn w:val="Normal"/>
    <w:uiPriority w:val="1"/>
    <w:rsid w:val="14F0B435"/>
    <w:pPr>
      <w:keepNext/>
      <w:tabs>
        <w:tab w:val="left" w:pos="850"/>
        <w:tab w:val="left" w:pos="1417"/>
      </w:tabs>
      <w:spacing w:before="40" w:after="0"/>
      <w:ind w:left="1984" w:hanging="1984"/>
      <w:jc w:val="both"/>
    </w:pPr>
    <w:rPr>
      <w:rFonts w:ascii="Times New Roman" w:eastAsiaTheme="minorEastAsia" w:hAnsi="Times New Roman" w:cs="Times New Roman"/>
      <w:sz w:val="24"/>
    </w:rPr>
  </w:style>
  <w:style w:type="paragraph" w:customStyle="1" w:styleId="PointTriple1">
    <w:name w:val="PointTriple 1"/>
    <w:basedOn w:val="Normal"/>
    <w:uiPriority w:val="1"/>
    <w:rsid w:val="14F0B435"/>
    <w:pPr>
      <w:keepNext/>
      <w:tabs>
        <w:tab w:val="left" w:pos="1417"/>
        <w:tab w:val="left" w:pos="1984"/>
      </w:tabs>
      <w:spacing w:before="40" w:after="0"/>
      <w:ind w:left="2551" w:hanging="1701"/>
      <w:jc w:val="both"/>
    </w:pPr>
    <w:rPr>
      <w:rFonts w:ascii="Times New Roman" w:eastAsiaTheme="minorEastAsia" w:hAnsi="Times New Roman" w:cs="Times New Roman"/>
      <w:sz w:val="24"/>
    </w:rPr>
  </w:style>
  <w:style w:type="paragraph" w:customStyle="1" w:styleId="PointTriple2">
    <w:name w:val="PointTriple 2"/>
    <w:basedOn w:val="Normal"/>
    <w:uiPriority w:val="1"/>
    <w:rsid w:val="14F0B435"/>
    <w:pPr>
      <w:keepNext/>
      <w:tabs>
        <w:tab w:val="left" w:pos="1984"/>
        <w:tab w:val="left" w:pos="2551"/>
      </w:tabs>
      <w:spacing w:before="40" w:after="0"/>
      <w:ind w:left="3118" w:hanging="1701"/>
      <w:jc w:val="both"/>
    </w:pPr>
    <w:rPr>
      <w:rFonts w:ascii="Times New Roman" w:eastAsiaTheme="minorEastAsia" w:hAnsi="Times New Roman" w:cs="Times New Roman"/>
      <w:sz w:val="24"/>
    </w:rPr>
  </w:style>
  <w:style w:type="paragraph" w:customStyle="1" w:styleId="PointTriple3">
    <w:name w:val="PointTriple 3"/>
    <w:basedOn w:val="Normal"/>
    <w:uiPriority w:val="1"/>
    <w:rsid w:val="14F0B435"/>
    <w:pPr>
      <w:keepNext/>
      <w:tabs>
        <w:tab w:val="left" w:pos="2551"/>
        <w:tab w:val="left" w:pos="3118"/>
      </w:tabs>
      <w:spacing w:before="40" w:after="0"/>
      <w:ind w:left="3685" w:hanging="1701"/>
      <w:jc w:val="both"/>
    </w:pPr>
    <w:rPr>
      <w:rFonts w:ascii="Times New Roman" w:eastAsiaTheme="minorEastAsia" w:hAnsi="Times New Roman" w:cs="Times New Roman"/>
      <w:sz w:val="24"/>
    </w:rPr>
  </w:style>
  <w:style w:type="paragraph" w:customStyle="1" w:styleId="PointTriple4">
    <w:name w:val="PointTriple 4"/>
    <w:basedOn w:val="Normal"/>
    <w:uiPriority w:val="1"/>
    <w:rsid w:val="14F0B435"/>
    <w:pPr>
      <w:keepNext/>
      <w:tabs>
        <w:tab w:val="left" w:pos="3118"/>
        <w:tab w:val="left" w:pos="3685"/>
      </w:tabs>
      <w:spacing w:before="40" w:after="0"/>
      <w:ind w:left="4252" w:hanging="1701"/>
      <w:jc w:val="both"/>
    </w:pPr>
    <w:rPr>
      <w:rFonts w:ascii="Times New Roman" w:eastAsiaTheme="minorEastAsia" w:hAnsi="Times New Roman" w:cs="Times New Roman"/>
      <w:sz w:val="24"/>
    </w:rPr>
  </w:style>
  <w:style w:type="paragraph" w:customStyle="1" w:styleId="NumPar1">
    <w:name w:val="NumPar 1"/>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2">
    <w:name w:val="NumPar 2"/>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3">
    <w:name w:val="NumPar 3"/>
    <w:basedOn w:val="Normal"/>
    <w:next w:val="Text1"/>
    <w:uiPriority w:val="1"/>
    <w:rsid w:val="29DEDBAE"/>
    <w:pPr>
      <w:keepNext/>
      <w:numPr>
        <w:ilvl w:val="2"/>
        <w:numId w:val="6"/>
      </w:numPr>
      <w:spacing w:before="40" w:after="0"/>
      <w:jc w:val="both"/>
    </w:pPr>
    <w:rPr>
      <w:rFonts w:ascii="Times New Roman" w:eastAsiaTheme="minorEastAsia" w:hAnsi="Times New Roman" w:cs="Times New Roman"/>
      <w:sz w:val="24"/>
    </w:rPr>
  </w:style>
  <w:style w:type="paragraph" w:customStyle="1" w:styleId="NumPar4">
    <w:name w:val="NumPar 4"/>
    <w:basedOn w:val="Normal"/>
    <w:next w:val="Text1"/>
    <w:uiPriority w:val="1"/>
    <w:rsid w:val="29DEDBAE"/>
    <w:pPr>
      <w:keepNext/>
      <w:numPr>
        <w:ilvl w:val="3"/>
        <w:numId w:val="6"/>
      </w:numPr>
      <w:spacing w:before="40" w:after="0"/>
      <w:jc w:val="both"/>
    </w:pPr>
    <w:rPr>
      <w:rFonts w:ascii="Times New Roman" w:eastAsiaTheme="minorEastAsia" w:hAnsi="Times New Roman" w:cs="Times New Roman"/>
      <w:sz w:val="24"/>
    </w:rPr>
  </w:style>
  <w:style w:type="paragraph" w:customStyle="1" w:styleId="ManualNumPar1">
    <w:name w:val="Manual NumPar 1"/>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2">
    <w:name w:val="Manual NumPar 2"/>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3">
    <w:name w:val="Manual NumPar 3"/>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4">
    <w:name w:val="Manual NumPar 4"/>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QuotedNumPar">
    <w:name w:val="Quoted NumPar"/>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ManualHeading1">
    <w:name w:val="Manual Heading 1"/>
    <w:basedOn w:val="Normal"/>
    <w:next w:val="Text1"/>
    <w:uiPriority w:val="1"/>
    <w:rsid w:val="14F0B435"/>
    <w:pPr>
      <w:keepNext/>
      <w:tabs>
        <w:tab w:val="left" w:pos="850"/>
      </w:tabs>
      <w:spacing w:before="360" w:after="0"/>
      <w:ind w:hanging="850"/>
      <w:jc w:val="both"/>
      <w:outlineLvl w:val="0"/>
    </w:pPr>
    <w:rPr>
      <w:rFonts w:ascii="Times New Roman" w:eastAsiaTheme="minorEastAsia" w:hAnsi="Times New Roman" w:cs="Times New Roman"/>
      <w:b/>
      <w:smallCaps/>
      <w:sz w:val="24"/>
    </w:rPr>
  </w:style>
  <w:style w:type="paragraph" w:customStyle="1" w:styleId="ManualHeading2">
    <w:name w:val="Manual Heading 2"/>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b/>
      <w:sz w:val="24"/>
    </w:rPr>
  </w:style>
  <w:style w:type="paragraph" w:customStyle="1" w:styleId="ManualHeading3">
    <w:name w:val="Manual Heading 3"/>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i/>
      <w:sz w:val="24"/>
    </w:rPr>
  </w:style>
  <w:style w:type="paragraph" w:customStyle="1" w:styleId="ManualHeading4">
    <w:name w:val="Manual Heading 4"/>
    <w:basedOn w:val="Normal"/>
    <w:next w:val="Text1"/>
    <w:uiPriority w:val="1"/>
    <w:rsid w:val="14F0B435"/>
    <w:pPr>
      <w:keepNext/>
      <w:tabs>
        <w:tab w:val="left" w:pos="850"/>
      </w:tabs>
      <w:spacing w:before="40" w:after="0"/>
      <w:ind w:hanging="850"/>
      <w:jc w:val="both"/>
      <w:outlineLvl w:val="3"/>
    </w:pPr>
    <w:rPr>
      <w:rFonts w:ascii="Times New Roman" w:eastAsiaTheme="minorEastAsia" w:hAnsi="Times New Roman" w:cs="Times New Roman"/>
      <w:sz w:val="24"/>
    </w:rPr>
  </w:style>
  <w:style w:type="paragraph" w:customStyle="1" w:styleId="ChapterTitle">
    <w:name w:val="ChapterTitle"/>
    <w:basedOn w:val="Normal"/>
    <w:next w:val="Normal"/>
    <w:uiPriority w:val="1"/>
    <w:rsid w:val="14F0B435"/>
    <w:pPr>
      <w:keepNext/>
      <w:spacing w:before="40" w:after="360"/>
      <w:jc w:val="center"/>
    </w:pPr>
    <w:rPr>
      <w:rFonts w:ascii="Times New Roman" w:eastAsiaTheme="minorEastAsia" w:hAnsi="Times New Roman" w:cs="Times New Roman"/>
      <w:b/>
      <w:sz w:val="32"/>
    </w:rPr>
  </w:style>
  <w:style w:type="paragraph" w:customStyle="1" w:styleId="PartTitle">
    <w:name w:val="PartTitle"/>
    <w:basedOn w:val="Normal"/>
    <w:next w:val="ChapterTitle"/>
    <w:uiPriority w:val="1"/>
    <w:rsid w:val="14F0B435"/>
    <w:pPr>
      <w:keepNext/>
      <w:spacing w:before="40" w:after="360"/>
      <w:jc w:val="center"/>
    </w:pPr>
    <w:rPr>
      <w:rFonts w:ascii="Times New Roman" w:eastAsiaTheme="minorEastAsia" w:hAnsi="Times New Roman" w:cs="Times New Roman"/>
      <w:b/>
      <w:sz w:val="36"/>
    </w:rPr>
  </w:style>
  <w:style w:type="paragraph" w:customStyle="1" w:styleId="SectionTitle">
    <w:name w:val="SectionTitle"/>
    <w:basedOn w:val="Normal"/>
    <w:next w:val="Heading1"/>
    <w:uiPriority w:val="1"/>
    <w:rsid w:val="14F0B435"/>
    <w:pPr>
      <w:keepNext/>
      <w:spacing w:before="40" w:after="360"/>
      <w:jc w:val="center"/>
    </w:pPr>
    <w:rPr>
      <w:rFonts w:ascii="Times New Roman" w:eastAsiaTheme="minorEastAsia" w:hAnsi="Times New Roman" w:cs="Times New Roman"/>
      <w:b/>
      <w:smallCaps/>
      <w:sz w:val="28"/>
    </w:rPr>
  </w:style>
  <w:style w:type="paragraph" w:customStyle="1" w:styleId="TableTitle">
    <w:name w:val="Table Title"/>
    <w:basedOn w:val="Normal"/>
    <w:next w:val="Normal"/>
    <w:uiPriority w:val="1"/>
    <w:rsid w:val="14F0B435"/>
    <w:pPr>
      <w:keepNext/>
      <w:spacing w:before="40" w:after="0"/>
      <w:jc w:val="center"/>
    </w:pPr>
    <w:rPr>
      <w:rFonts w:ascii="Times New Roman" w:eastAsiaTheme="minorEastAsia" w:hAnsi="Times New Roman" w:cs="Times New Roman"/>
      <w:b/>
      <w:sz w:val="24"/>
    </w:rPr>
  </w:style>
  <w:style w:type="character" w:customStyle="1" w:styleId="Marker">
    <w:name w:val="Marker"/>
    <w:basedOn w:val="DefaultParagraphFont"/>
    <w:rsid w:val="00EE72C8"/>
    <w:rPr>
      <w:color w:val="0000FF"/>
      <w:shd w:val="clear" w:color="auto" w:fill="auto"/>
    </w:rPr>
  </w:style>
  <w:style w:type="character" w:customStyle="1" w:styleId="Marker1">
    <w:name w:val="Marker1"/>
    <w:basedOn w:val="DefaultParagraphFont"/>
    <w:rsid w:val="00B4580D"/>
    <w:rPr>
      <w:color w:val="008000"/>
      <w:shd w:val="clear" w:color="auto" w:fill="auto"/>
    </w:rPr>
  </w:style>
  <w:style w:type="character" w:customStyle="1" w:styleId="Marker2">
    <w:name w:val="Marker2"/>
    <w:basedOn w:val="DefaultParagraphFont"/>
    <w:rsid w:val="00B4580D"/>
    <w:rPr>
      <w:color w:val="FF0000"/>
      <w:shd w:val="clear" w:color="auto" w:fill="auto"/>
    </w:rPr>
  </w:style>
  <w:style w:type="paragraph" w:customStyle="1" w:styleId="Point0number">
    <w:name w:val="Point 0 (numb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number">
    <w:name w:val="Point 1 (number)"/>
    <w:basedOn w:val="Normal"/>
    <w:uiPriority w:val="1"/>
    <w:rsid w:val="29DEDBAE"/>
    <w:pPr>
      <w:keepNext/>
      <w:numPr>
        <w:ilvl w:val="2"/>
        <w:numId w:val="8"/>
      </w:numPr>
      <w:spacing w:before="40" w:after="0"/>
      <w:jc w:val="both"/>
    </w:pPr>
    <w:rPr>
      <w:rFonts w:ascii="Times New Roman" w:eastAsiaTheme="minorEastAsia" w:hAnsi="Times New Roman" w:cs="Times New Roman"/>
      <w:sz w:val="24"/>
    </w:rPr>
  </w:style>
  <w:style w:type="paragraph" w:customStyle="1" w:styleId="Point2number">
    <w:name w:val="Point 2 (number)"/>
    <w:basedOn w:val="Normal"/>
    <w:uiPriority w:val="1"/>
    <w:rsid w:val="29DEDBAE"/>
    <w:pPr>
      <w:keepNext/>
      <w:numPr>
        <w:ilvl w:val="4"/>
        <w:numId w:val="8"/>
      </w:numPr>
      <w:spacing w:before="40" w:after="0"/>
      <w:jc w:val="both"/>
    </w:pPr>
    <w:rPr>
      <w:rFonts w:ascii="Times New Roman" w:eastAsiaTheme="minorEastAsia" w:hAnsi="Times New Roman" w:cs="Times New Roman"/>
      <w:sz w:val="24"/>
    </w:rPr>
  </w:style>
  <w:style w:type="paragraph" w:customStyle="1" w:styleId="Point3number">
    <w:name w:val="Point 3 (number)"/>
    <w:basedOn w:val="Normal"/>
    <w:uiPriority w:val="1"/>
    <w:rsid w:val="29DEDBAE"/>
    <w:pPr>
      <w:keepNext/>
      <w:numPr>
        <w:ilvl w:val="6"/>
        <w:numId w:val="8"/>
      </w:numPr>
      <w:spacing w:before="40" w:after="0"/>
      <w:jc w:val="both"/>
    </w:pPr>
    <w:rPr>
      <w:rFonts w:ascii="Times New Roman" w:eastAsiaTheme="minorEastAsia" w:hAnsi="Times New Roman" w:cs="Times New Roman"/>
      <w:sz w:val="24"/>
    </w:rPr>
  </w:style>
  <w:style w:type="paragraph" w:customStyle="1" w:styleId="Point0letter">
    <w:name w:val="Point 0 (lett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letter">
    <w:name w:val="Point 1 (letter)"/>
    <w:basedOn w:val="Normal"/>
    <w:uiPriority w:val="1"/>
    <w:rsid w:val="29DEDBAE"/>
    <w:pPr>
      <w:keepNext/>
      <w:numPr>
        <w:ilvl w:val="3"/>
        <w:numId w:val="8"/>
      </w:numPr>
      <w:spacing w:before="40" w:after="0"/>
      <w:jc w:val="both"/>
    </w:pPr>
    <w:rPr>
      <w:rFonts w:ascii="Times New Roman" w:eastAsiaTheme="minorEastAsia" w:hAnsi="Times New Roman" w:cs="Times New Roman"/>
      <w:sz w:val="24"/>
    </w:rPr>
  </w:style>
  <w:style w:type="paragraph" w:customStyle="1" w:styleId="Point2letter">
    <w:name w:val="Point 2 (letter)"/>
    <w:basedOn w:val="Normal"/>
    <w:uiPriority w:val="1"/>
    <w:rsid w:val="29DEDBAE"/>
    <w:pPr>
      <w:keepNext/>
      <w:numPr>
        <w:ilvl w:val="5"/>
        <w:numId w:val="8"/>
      </w:numPr>
      <w:spacing w:before="40" w:after="0"/>
      <w:jc w:val="both"/>
    </w:pPr>
    <w:rPr>
      <w:rFonts w:ascii="Times New Roman" w:eastAsiaTheme="minorEastAsia" w:hAnsi="Times New Roman" w:cs="Times New Roman"/>
      <w:sz w:val="24"/>
    </w:rPr>
  </w:style>
  <w:style w:type="paragraph" w:customStyle="1" w:styleId="Point3letter">
    <w:name w:val="Point 3 (letter)"/>
    <w:basedOn w:val="Normal"/>
    <w:uiPriority w:val="1"/>
    <w:rsid w:val="29DEDBAE"/>
    <w:pPr>
      <w:keepNext/>
      <w:numPr>
        <w:ilvl w:val="7"/>
        <w:numId w:val="8"/>
      </w:numPr>
      <w:spacing w:before="40" w:after="0"/>
      <w:jc w:val="both"/>
    </w:pPr>
    <w:rPr>
      <w:rFonts w:ascii="Times New Roman" w:eastAsiaTheme="minorEastAsia" w:hAnsi="Times New Roman" w:cs="Times New Roman"/>
      <w:sz w:val="24"/>
    </w:rPr>
  </w:style>
  <w:style w:type="paragraph" w:customStyle="1" w:styleId="Point4letter">
    <w:name w:val="Point 4 (letter)"/>
    <w:basedOn w:val="Normal"/>
    <w:uiPriority w:val="1"/>
    <w:rsid w:val="29DEDBAE"/>
    <w:pPr>
      <w:keepNext/>
      <w:numPr>
        <w:ilvl w:val="8"/>
        <w:numId w:val="8"/>
      </w:numPr>
      <w:spacing w:before="40" w:after="0"/>
      <w:jc w:val="both"/>
    </w:pPr>
    <w:rPr>
      <w:rFonts w:ascii="Times New Roman" w:eastAsiaTheme="minorEastAsia" w:hAnsi="Times New Roman" w:cs="Times New Roman"/>
      <w:sz w:val="24"/>
    </w:rPr>
  </w:style>
  <w:style w:type="paragraph" w:customStyle="1" w:styleId="Bullet0">
    <w:name w:val="Bullet 0"/>
    <w:basedOn w:val="Normal"/>
    <w:uiPriority w:val="1"/>
    <w:rsid w:val="29DEDBAE"/>
    <w:pPr>
      <w:keepNext/>
      <w:numPr>
        <w:numId w:val="9"/>
      </w:numPr>
      <w:spacing w:before="40" w:after="0"/>
      <w:jc w:val="both"/>
    </w:pPr>
    <w:rPr>
      <w:rFonts w:ascii="Times New Roman" w:eastAsiaTheme="minorEastAsia" w:hAnsi="Times New Roman" w:cs="Times New Roman"/>
      <w:sz w:val="24"/>
    </w:rPr>
  </w:style>
  <w:style w:type="paragraph" w:customStyle="1" w:styleId="Bullet1">
    <w:name w:val="Bullet 1"/>
    <w:basedOn w:val="Normal"/>
    <w:uiPriority w:val="1"/>
    <w:rsid w:val="29DEDBAE"/>
    <w:pPr>
      <w:keepNext/>
      <w:numPr>
        <w:numId w:val="10"/>
      </w:numPr>
      <w:spacing w:before="40" w:after="0"/>
      <w:jc w:val="both"/>
    </w:pPr>
    <w:rPr>
      <w:rFonts w:ascii="Times New Roman" w:eastAsiaTheme="minorEastAsia" w:hAnsi="Times New Roman" w:cs="Times New Roman"/>
      <w:sz w:val="24"/>
    </w:rPr>
  </w:style>
  <w:style w:type="paragraph" w:customStyle="1" w:styleId="Bullet2">
    <w:name w:val="Bullet 2"/>
    <w:basedOn w:val="Normal"/>
    <w:uiPriority w:val="1"/>
    <w:rsid w:val="29DEDBAE"/>
    <w:pPr>
      <w:keepNext/>
      <w:numPr>
        <w:numId w:val="11"/>
      </w:numPr>
      <w:spacing w:before="40" w:after="0"/>
      <w:jc w:val="both"/>
    </w:pPr>
    <w:rPr>
      <w:rFonts w:ascii="Times New Roman" w:eastAsiaTheme="minorEastAsia" w:hAnsi="Times New Roman" w:cs="Times New Roman"/>
      <w:sz w:val="24"/>
    </w:rPr>
  </w:style>
  <w:style w:type="paragraph" w:customStyle="1" w:styleId="Bullet3">
    <w:name w:val="Bullet 3"/>
    <w:basedOn w:val="Normal"/>
    <w:uiPriority w:val="1"/>
    <w:rsid w:val="29DEDBAE"/>
    <w:pPr>
      <w:keepNext/>
      <w:numPr>
        <w:numId w:val="12"/>
      </w:numPr>
      <w:spacing w:before="40" w:after="0"/>
      <w:jc w:val="both"/>
    </w:pPr>
    <w:rPr>
      <w:rFonts w:ascii="Times New Roman" w:eastAsiaTheme="minorEastAsia" w:hAnsi="Times New Roman" w:cs="Times New Roman"/>
      <w:sz w:val="24"/>
    </w:rPr>
  </w:style>
  <w:style w:type="paragraph" w:customStyle="1" w:styleId="Bullet4">
    <w:name w:val="Bullet 4"/>
    <w:basedOn w:val="Normal"/>
    <w:uiPriority w:val="1"/>
    <w:rsid w:val="29DEDBAE"/>
    <w:pPr>
      <w:keepNext/>
      <w:numPr>
        <w:numId w:val="13"/>
      </w:numPr>
      <w:spacing w:before="40" w:after="0"/>
      <w:jc w:val="both"/>
    </w:pPr>
    <w:rPr>
      <w:rFonts w:ascii="Times New Roman" w:eastAsiaTheme="minorEastAsia" w:hAnsi="Times New Roman" w:cs="Times New Roman"/>
      <w:sz w:val="24"/>
    </w:rPr>
  </w:style>
  <w:style w:type="paragraph" w:customStyle="1" w:styleId="Langue">
    <w:name w:val="Langue"/>
    <w:basedOn w:val="Normal"/>
    <w:next w:val="Rfrenceinterne"/>
    <w:uiPriority w:val="1"/>
    <w:rsid w:val="14F0B435"/>
    <w:pPr>
      <w:keepNext/>
      <w:spacing w:after="600"/>
      <w:jc w:val="center"/>
    </w:pPr>
    <w:rPr>
      <w:rFonts w:ascii="Times New Roman" w:eastAsiaTheme="minorEastAsia" w:hAnsi="Times New Roman" w:cs="Times New Roman"/>
      <w:b/>
      <w:caps/>
      <w:sz w:val="24"/>
    </w:rPr>
  </w:style>
  <w:style w:type="paragraph" w:customStyle="1" w:styleId="Nomdelinstitution">
    <w:name w:val="Nom de l'institution"/>
    <w:basedOn w:val="Normal"/>
    <w:next w:val="Emission"/>
    <w:uiPriority w:val="1"/>
    <w:rsid w:val="14F0B435"/>
    <w:pPr>
      <w:keepNext/>
      <w:spacing w:after="0"/>
      <w:jc w:val="both"/>
    </w:pPr>
    <w:rPr>
      <w:rFonts w:ascii="Arial" w:eastAsiaTheme="minorEastAsia" w:hAnsi="Arial" w:cs="Arial"/>
      <w:sz w:val="24"/>
    </w:rPr>
  </w:style>
  <w:style w:type="paragraph" w:customStyle="1" w:styleId="Emission">
    <w:name w:val="Emission"/>
    <w:basedOn w:val="Normal"/>
    <w:next w:val="Rfrence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stitutionnelle">
    <w:name w:val="Référence institutionnell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Pagedecouverture">
    <w:name w:val="Page de couverture"/>
    <w:basedOn w:val="Normal"/>
    <w:next w:val="Normal"/>
    <w:link w:val="PagedecouvertureChar"/>
    <w:uiPriority w:val="1"/>
    <w:rsid w:val="14F0B435"/>
    <w:pPr>
      <w:keepNext/>
      <w:spacing w:after="0"/>
      <w:jc w:val="both"/>
    </w:pPr>
    <w:rPr>
      <w:rFonts w:ascii="Times New Roman" w:eastAsiaTheme="minorEastAsia" w:hAnsi="Times New Roman" w:cs="Times New Roman"/>
      <w:sz w:val="24"/>
    </w:rPr>
  </w:style>
  <w:style w:type="paragraph" w:customStyle="1" w:styleId="Declassification">
    <w:name w:val="Declassification"/>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isclaimer">
    <w:name w:val="Disclaimer"/>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B4580D"/>
    <w:pPr>
      <w:spacing w:after="0"/>
      <w:ind w:left="5103"/>
    </w:pPr>
    <w:rPr>
      <w:rFonts w:ascii="Times New Roman" w:hAnsi="Times New Roman" w:cs="Times New Roman"/>
      <w:sz w:val="28"/>
    </w:rPr>
  </w:style>
  <w:style w:type="paragraph" w:customStyle="1" w:styleId="DateMarking">
    <w:name w:val="DateMarking"/>
    <w:basedOn w:val="Normal"/>
    <w:uiPriority w:val="1"/>
    <w:rsid w:val="00B4580D"/>
    <w:pPr>
      <w:spacing w:after="0"/>
      <w:ind w:left="5103"/>
    </w:pPr>
    <w:rPr>
      <w:rFonts w:ascii="Times New Roman" w:hAnsi="Times New Roman" w:cs="Times New Roman"/>
      <w:i/>
      <w:sz w:val="28"/>
    </w:rPr>
  </w:style>
  <w:style w:type="paragraph" w:customStyle="1" w:styleId="ReleasableTo">
    <w:name w:val="ReleasableTo"/>
    <w:basedOn w:val="Normal"/>
    <w:uiPriority w:val="1"/>
    <w:rsid w:val="00B4580D"/>
    <w:pPr>
      <w:spacing w:after="0"/>
      <w:ind w:left="5103"/>
    </w:pPr>
    <w:rPr>
      <w:rFonts w:ascii="Times New Roman" w:hAnsi="Times New Roman" w:cs="Times New Roman"/>
      <w:i/>
      <w:sz w:val="28"/>
    </w:rPr>
  </w:style>
  <w:style w:type="paragraph" w:customStyle="1" w:styleId="Annexetitreexpos">
    <w:name w:val="Annexe titre (exposé)"/>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
    <w:name w:val="Annex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fichefinancire">
    <w:name w:val="Annexe titre (fiche financiè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pplicationdirecte">
    <w:name w:val="Application directe"/>
    <w:basedOn w:val="Normal"/>
    <w:next w:val="Fait"/>
    <w:uiPriority w:val="1"/>
    <w:rsid w:val="14F0B435"/>
    <w:pPr>
      <w:keepNext/>
      <w:spacing w:before="480" w:after="0"/>
      <w:jc w:val="both"/>
    </w:pPr>
    <w:rPr>
      <w:rFonts w:ascii="Times New Roman" w:eastAsiaTheme="minorEastAsia" w:hAnsi="Times New Roman" w:cs="Times New Roman"/>
      <w:sz w:val="24"/>
    </w:rPr>
  </w:style>
  <w:style w:type="paragraph" w:customStyle="1" w:styleId="Avertissementtitre">
    <w:name w:val="Avertissement titre"/>
    <w:basedOn w:val="Normal"/>
    <w:next w:val="Normal"/>
    <w:uiPriority w:val="1"/>
    <w:rsid w:val="14F0B435"/>
    <w:pPr>
      <w:keepNext/>
      <w:spacing w:before="480" w:after="0"/>
      <w:jc w:val="both"/>
    </w:pPr>
    <w:rPr>
      <w:rFonts w:ascii="Times New Roman" w:eastAsiaTheme="minorEastAsia" w:hAnsi="Times New Roman" w:cs="Times New Roman"/>
      <w:sz w:val="24"/>
      <w:u w:val="single"/>
    </w:rPr>
  </w:style>
  <w:style w:type="paragraph" w:customStyle="1" w:styleId="Confidence">
    <w:name w:val="Confidence"/>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Confidentialit">
    <w:name w:val="Confidentialité"/>
    <w:basedOn w:val="Normal"/>
    <w:next w:val="TypedudocumentPagedecouverture"/>
    <w:uiPriority w:val="1"/>
    <w:rsid w:val="14F0B435"/>
    <w:pPr>
      <w:keepNext/>
      <w:spacing w:before="240" w:after="0"/>
      <w:ind w:left="5103"/>
      <w:jc w:val="both"/>
    </w:pPr>
    <w:rPr>
      <w:rFonts w:ascii="Times New Roman" w:eastAsiaTheme="minorEastAsia" w:hAnsi="Times New Roman" w:cs="Times New Roman"/>
      <w:i/>
      <w:sz w:val="32"/>
    </w:rPr>
  </w:style>
  <w:style w:type="paragraph" w:customStyle="1" w:styleId="Considrant">
    <w:name w:val="Considérant"/>
    <w:basedOn w:val="Normal"/>
    <w:uiPriority w:val="1"/>
    <w:rsid w:val="29DEDBAE"/>
    <w:pPr>
      <w:keepNext/>
      <w:numPr>
        <w:numId w:val="14"/>
      </w:numPr>
      <w:spacing w:before="40" w:after="0"/>
      <w:jc w:val="both"/>
    </w:pPr>
    <w:rPr>
      <w:rFonts w:ascii="Times New Roman" w:eastAsiaTheme="minorEastAsia" w:hAnsi="Times New Roman" w:cs="Times New Roman"/>
      <w:sz w:val="24"/>
    </w:rPr>
  </w:style>
  <w:style w:type="paragraph" w:customStyle="1" w:styleId="Corrigendum">
    <w:name w:val="Corrigendum"/>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atedadoption">
    <w:name w:val="Date d'adoption"/>
    <w:basedOn w:val="Normal"/>
    <w:next w:val="IntrtEEE"/>
    <w:uiPriority w:val="1"/>
    <w:rsid w:val="14F0B435"/>
    <w:pPr>
      <w:keepNext/>
      <w:spacing w:before="360" w:after="0"/>
      <w:jc w:val="center"/>
    </w:pPr>
    <w:rPr>
      <w:rFonts w:ascii="Times New Roman" w:eastAsiaTheme="minorEastAsia" w:hAnsi="Times New Roman" w:cs="Times New Roman"/>
      <w:b/>
      <w:sz w:val="24"/>
    </w:rPr>
  </w:style>
  <w:style w:type="paragraph" w:customStyle="1" w:styleId="Exposdesmotifstitre">
    <w:name w:val="Exposé des motifs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Fait">
    <w:name w:val="Fait à"/>
    <w:basedOn w:val="Normal"/>
    <w:next w:val="Institutionquisigne"/>
    <w:uiPriority w:val="1"/>
    <w:rsid w:val="14F0B435"/>
    <w:pPr>
      <w:keepNext/>
      <w:spacing w:before="40" w:after="0"/>
      <w:jc w:val="both"/>
    </w:pPr>
    <w:rPr>
      <w:rFonts w:ascii="Times New Roman" w:eastAsiaTheme="minorEastAsia" w:hAnsi="Times New Roman" w:cs="Times New Roman"/>
      <w:sz w:val="24"/>
    </w:rPr>
  </w:style>
  <w:style w:type="paragraph" w:customStyle="1" w:styleId="Formuledadoption">
    <w:name w:val="Formule d'adoption"/>
    <w:basedOn w:val="Normal"/>
    <w:next w:val="Titrearticle"/>
    <w:uiPriority w:val="1"/>
    <w:rsid w:val="14F0B435"/>
    <w:pPr>
      <w:keepNext/>
      <w:spacing w:before="40" w:after="0"/>
      <w:jc w:val="both"/>
    </w:pPr>
    <w:rPr>
      <w:rFonts w:ascii="Times New Roman" w:eastAsiaTheme="minorEastAsia" w:hAnsi="Times New Roman" w:cs="Times New Roman"/>
      <w:sz w:val="24"/>
    </w:rPr>
  </w:style>
  <w:style w:type="paragraph" w:customStyle="1" w:styleId="Institutionquiagit">
    <w:name w:val="Institution qui agit"/>
    <w:basedOn w:val="Normal"/>
    <w:next w:val="Normal"/>
    <w:uiPriority w:val="1"/>
    <w:rsid w:val="14F0B435"/>
    <w:pPr>
      <w:keepNext/>
      <w:spacing w:before="600" w:after="0"/>
      <w:jc w:val="both"/>
    </w:pPr>
    <w:rPr>
      <w:rFonts w:ascii="Times New Roman" w:eastAsiaTheme="minorEastAsia" w:hAnsi="Times New Roman" w:cs="Times New Roman"/>
      <w:sz w:val="24"/>
    </w:rPr>
  </w:style>
  <w:style w:type="paragraph" w:customStyle="1" w:styleId="Institutionquisigne">
    <w:name w:val="Institution qui signe"/>
    <w:basedOn w:val="Normal"/>
    <w:next w:val="Personnequisigne"/>
    <w:uiPriority w:val="1"/>
    <w:rsid w:val="14F0B435"/>
    <w:pPr>
      <w:keepNext/>
      <w:tabs>
        <w:tab w:val="left" w:pos="4252"/>
      </w:tabs>
      <w:spacing w:before="720" w:after="0"/>
      <w:jc w:val="both"/>
    </w:pPr>
    <w:rPr>
      <w:rFonts w:ascii="Times New Roman" w:eastAsiaTheme="minorEastAsia" w:hAnsi="Times New Roman" w:cs="Times New Roman"/>
      <w:i/>
      <w:sz w:val="24"/>
    </w:rPr>
  </w:style>
  <w:style w:type="paragraph" w:customStyle="1" w:styleId="ManualConsidrant">
    <w:name w:val="Manual Considérant"/>
    <w:basedOn w:val="Normal"/>
    <w:uiPriority w:val="1"/>
    <w:rsid w:val="14F0B435"/>
    <w:pPr>
      <w:keepNext/>
      <w:spacing w:before="40" w:after="0"/>
      <w:ind w:left="709" w:hanging="709"/>
      <w:jc w:val="both"/>
    </w:pPr>
    <w:rPr>
      <w:rFonts w:ascii="Times New Roman" w:eastAsiaTheme="minorEastAsia" w:hAnsi="Times New Roman" w:cs="Times New Roman"/>
      <w:sz w:val="24"/>
    </w:rPr>
  </w:style>
  <w:style w:type="paragraph" w:customStyle="1" w:styleId="Personnequisigne">
    <w:name w:val="Personne qui signe"/>
    <w:basedOn w:val="Normal"/>
    <w:next w:val="Institutionquisigne"/>
    <w:uiPriority w:val="1"/>
    <w:rsid w:val="14F0B435"/>
    <w:pPr>
      <w:keepNext/>
      <w:tabs>
        <w:tab w:val="left" w:pos="4252"/>
      </w:tabs>
      <w:spacing w:after="0"/>
      <w:jc w:val="both"/>
    </w:pPr>
    <w:rPr>
      <w:rFonts w:ascii="Times New Roman" w:eastAsiaTheme="minorEastAsia" w:hAnsi="Times New Roman" w:cs="Times New Roman"/>
      <w:i/>
      <w:sz w:val="24"/>
    </w:rPr>
  </w:style>
  <w:style w:type="paragraph" w:customStyle="1" w:styleId="Rfrenceinterinstitutionnelle">
    <w:name w:val="Référence interinstitutionnelle"/>
    <w:basedOn w:val="Normal"/>
    <w:next w:val="Statut"/>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terne">
    <w:name w:val="Référence interne"/>
    <w:basedOn w:val="Normal"/>
    <w:next w:val="Rfrenceinter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Statut">
    <w:name w:val="Statut"/>
    <w:basedOn w:val="Normal"/>
    <w:next w:val="Typedudocument"/>
    <w:uiPriority w:val="1"/>
    <w:rsid w:val="14F0B435"/>
    <w:pPr>
      <w:keepNext/>
      <w:spacing w:after="0"/>
      <w:jc w:val="center"/>
    </w:pPr>
    <w:rPr>
      <w:rFonts w:ascii="Times New Roman" w:eastAsiaTheme="minorEastAsia" w:hAnsi="Times New Roman" w:cs="Times New Roman"/>
      <w:sz w:val="24"/>
    </w:rPr>
  </w:style>
  <w:style w:type="paragraph" w:customStyle="1" w:styleId="Titrearticle">
    <w:name w:val="Titre article"/>
    <w:basedOn w:val="Normal"/>
    <w:next w:val="Normal"/>
    <w:uiPriority w:val="1"/>
    <w:rsid w:val="14F0B435"/>
    <w:pPr>
      <w:keepNext/>
      <w:spacing w:before="360" w:after="0"/>
      <w:jc w:val="center"/>
    </w:pPr>
    <w:rPr>
      <w:rFonts w:ascii="Times New Roman" w:eastAsiaTheme="minorEastAsia" w:hAnsi="Times New Roman" w:cs="Times New Roman"/>
      <w:i/>
      <w:sz w:val="24"/>
    </w:rPr>
  </w:style>
  <w:style w:type="paragraph" w:customStyle="1" w:styleId="Typedudocument">
    <w:name w:val="Type du document"/>
    <w:basedOn w:val="Normal"/>
    <w:next w:val="Accompagnant"/>
    <w:uiPriority w:val="1"/>
    <w:rsid w:val="14F0B435"/>
    <w:pPr>
      <w:keepNext/>
      <w:spacing w:before="360" w:after="180"/>
      <w:jc w:val="center"/>
    </w:pPr>
    <w:rPr>
      <w:rFonts w:ascii="Times New Roman" w:eastAsiaTheme="minorEastAsia" w:hAnsi="Times New Roman" w:cs="Times New Roman"/>
      <w:b/>
      <w:sz w:val="24"/>
    </w:rPr>
  </w:style>
  <w:style w:type="character" w:customStyle="1" w:styleId="Added">
    <w:name w:val="Added"/>
    <w:basedOn w:val="DefaultParagraphFont"/>
    <w:rsid w:val="00B4580D"/>
    <w:rPr>
      <w:b/>
      <w:u w:val="single"/>
      <w:shd w:val="clear" w:color="auto" w:fill="auto"/>
    </w:rPr>
  </w:style>
  <w:style w:type="character" w:customStyle="1" w:styleId="Deleted">
    <w:name w:val="Deleted"/>
    <w:basedOn w:val="DefaultParagraphFont"/>
    <w:rsid w:val="00B4580D"/>
    <w:rPr>
      <w:strike/>
      <w:dstrike w:val="0"/>
      <w:shd w:val="clear" w:color="auto" w:fill="auto"/>
    </w:rPr>
  </w:style>
  <w:style w:type="paragraph" w:customStyle="1" w:styleId="Address">
    <w:name w:val="Address"/>
    <w:basedOn w:val="Normal"/>
    <w:next w:val="Normal"/>
    <w:uiPriority w:val="1"/>
    <w:rsid w:val="14F0B435"/>
    <w:pPr>
      <w:keepNext/>
      <w:keepLines/>
      <w:spacing w:before="40" w:after="0"/>
      <w:ind w:left="3402"/>
      <w:jc w:val="both"/>
    </w:pPr>
    <w:rPr>
      <w:rFonts w:ascii="Times New Roman" w:eastAsiaTheme="minorEastAsia" w:hAnsi="Times New Roman" w:cs="Times New Roman"/>
      <w:sz w:val="24"/>
    </w:rPr>
  </w:style>
  <w:style w:type="paragraph" w:customStyle="1" w:styleId="Objetexterne">
    <w:name w:val="Objet externe"/>
    <w:basedOn w:val="Normal"/>
    <w:next w:val="Normal"/>
    <w:uiPriority w:val="1"/>
    <w:rsid w:val="14F0B435"/>
    <w:pPr>
      <w:keepNext/>
      <w:spacing w:before="40" w:after="0"/>
      <w:jc w:val="both"/>
    </w:pPr>
    <w:rPr>
      <w:rFonts w:ascii="Times New Roman" w:eastAsiaTheme="minorEastAsia" w:hAnsi="Times New Roman" w:cs="Times New Roman"/>
      <w:i/>
      <w:caps/>
      <w:sz w:val="24"/>
    </w:rPr>
  </w:style>
  <w:style w:type="paragraph" w:customStyle="1" w:styleId="Supertitre">
    <w:name w:val="Supertitre"/>
    <w:basedOn w:val="Normal"/>
    <w:next w:val="Normal"/>
    <w:uiPriority w:val="1"/>
    <w:rsid w:val="14F0B435"/>
    <w:pPr>
      <w:keepNext/>
      <w:spacing w:after="600"/>
      <w:jc w:val="center"/>
    </w:pPr>
    <w:rPr>
      <w:rFonts w:ascii="Times New Roman" w:eastAsiaTheme="minorEastAsia" w:hAnsi="Times New Roman" w:cs="Times New Roman"/>
      <w:b/>
      <w:sz w:val="24"/>
    </w:rPr>
  </w:style>
  <w:style w:type="paragraph" w:customStyle="1" w:styleId="Languesfaisantfoi">
    <w:name w:val="Langues faisant foi"/>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Rfrencecroise">
    <w:name w:val="Référence croisée"/>
    <w:basedOn w:val="Normal"/>
    <w:uiPriority w:val="1"/>
    <w:rsid w:val="14F0B435"/>
    <w:pPr>
      <w:keepNext/>
      <w:spacing w:after="0"/>
      <w:jc w:val="center"/>
    </w:pPr>
    <w:rPr>
      <w:rFonts w:ascii="Times New Roman" w:eastAsiaTheme="minorEastAsia" w:hAnsi="Times New Roman" w:cs="Times New Roman"/>
      <w:sz w:val="24"/>
    </w:rPr>
  </w:style>
  <w:style w:type="paragraph" w:customStyle="1" w:styleId="Fichefinanciretitre">
    <w:name w:val="Fiche financièr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DatedadoptionPagedecouverture">
    <w:name w:val="Date d'adoption (Page de couverture)"/>
    <w:basedOn w:val="Datedadoption"/>
    <w:next w:val="IntrtEEEPagedecouverture"/>
    <w:uiPriority w:val="1"/>
    <w:rsid w:val="00B4580D"/>
  </w:style>
  <w:style w:type="paragraph" w:customStyle="1" w:styleId="RfrenceinterinstitutionnellePagedecouverture">
    <w:name w:val="Référence interinstitutionnelle (Page de couverture)"/>
    <w:basedOn w:val="Rfrenceinterinstitutionnelle"/>
    <w:next w:val="Confidentialit"/>
    <w:uiPriority w:val="1"/>
    <w:rsid w:val="00B4580D"/>
  </w:style>
  <w:style w:type="paragraph" w:customStyle="1" w:styleId="StatutPagedecouverture">
    <w:name w:val="Statut (Page de couverture)"/>
    <w:basedOn w:val="Statut"/>
    <w:next w:val="TypedudocumentPagedecouverture"/>
    <w:uiPriority w:val="1"/>
    <w:rsid w:val="00B4580D"/>
  </w:style>
  <w:style w:type="paragraph" w:customStyle="1" w:styleId="TypedudocumentPagedecouverture">
    <w:name w:val="Type du document (Page de couverture)"/>
    <w:basedOn w:val="Typedudocument"/>
    <w:next w:val="AccompagnantPagedecouverture"/>
    <w:uiPriority w:val="1"/>
    <w:rsid w:val="00B4580D"/>
  </w:style>
  <w:style w:type="paragraph" w:customStyle="1" w:styleId="Volume">
    <w:name w:val="Volum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IntrtEEE">
    <w:name w:val="Intérêt EEE"/>
    <w:basedOn w:val="Languesfaisantfoi"/>
    <w:next w:val="Normal"/>
    <w:uiPriority w:val="1"/>
    <w:rsid w:val="00B4580D"/>
  </w:style>
  <w:style w:type="paragraph" w:customStyle="1" w:styleId="Accompagnant">
    <w:name w:val="Accompagnant"/>
    <w:basedOn w:val="Normal"/>
    <w:next w:val="Typeacteprincipal"/>
    <w:uiPriority w:val="1"/>
    <w:rsid w:val="14F0B435"/>
    <w:pPr>
      <w:keepNext/>
      <w:spacing w:before="180" w:after="0"/>
      <w:jc w:val="center"/>
    </w:pPr>
    <w:rPr>
      <w:rFonts w:ascii="Times New Roman" w:eastAsiaTheme="minorEastAsia" w:hAnsi="Times New Roman" w:cs="Times New Roman"/>
      <w:b/>
      <w:sz w:val="24"/>
    </w:rPr>
  </w:style>
  <w:style w:type="paragraph" w:customStyle="1" w:styleId="Typeacteprincipal">
    <w:name w:val="Type acte principal"/>
    <w:basedOn w:val="Normal"/>
    <w:next w:val="Objetacteprincipal"/>
    <w:uiPriority w:val="1"/>
    <w:rsid w:val="14F0B435"/>
    <w:pPr>
      <w:keepNext/>
      <w:spacing w:after="0"/>
      <w:jc w:val="center"/>
    </w:pPr>
    <w:rPr>
      <w:rFonts w:ascii="Times New Roman" w:eastAsiaTheme="minorEastAsia" w:hAnsi="Times New Roman" w:cs="Times New Roman"/>
      <w:b/>
      <w:sz w:val="24"/>
    </w:rPr>
  </w:style>
  <w:style w:type="paragraph" w:customStyle="1" w:styleId="Objetacteprincipal">
    <w:name w:val="Objet acte principal"/>
    <w:basedOn w:val="Normal"/>
    <w:next w:val="Titrearticle"/>
    <w:uiPriority w:val="1"/>
    <w:rsid w:val="14F0B435"/>
    <w:pPr>
      <w:keepNext/>
      <w:spacing w:after="360"/>
      <w:jc w:val="center"/>
    </w:pPr>
    <w:rPr>
      <w:rFonts w:ascii="Times New Roman" w:eastAsiaTheme="minorEastAsia" w:hAnsi="Times New Roman" w:cs="Times New Roman"/>
      <w:b/>
      <w:sz w:val="24"/>
    </w:rPr>
  </w:style>
  <w:style w:type="paragraph" w:customStyle="1" w:styleId="IntrtEEEPagedecouverture">
    <w:name w:val="Intérêt EEE (Page de couverture)"/>
    <w:basedOn w:val="IntrtEEE"/>
    <w:next w:val="Rfrencecroise"/>
    <w:uiPriority w:val="1"/>
    <w:rsid w:val="00B4580D"/>
  </w:style>
  <w:style w:type="paragraph" w:customStyle="1" w:styleId="AccompagnantPagedecouverture">
    <w:name w:val="Accompagnant (Page de couverture)"/>
    <w:basedOn w:val="Accompagnant"/>
    <w:next w:val="TypeacteprincipalPagedecouverture"/>
    <w:uiPriority w:val="1"/>
    <w:rsid w:val="00B4580D"/>
  </w:style>
  <w:style w:type="paragraph" w:customStyle="1" w:styleId="TypeacteprincipalPagedecouverture">
    <w:name w:val="Type acte principal (Page de couverture)"/>
    <w:basedOn w:val="Typeacteprincipal"/>
    <w:next w:val="ObjetacteprincipalPagedecouverture"/>
    <w:uiPriority w:val="1"/>
    <w:rsid w:val="00B4580D"/>
  </w:style>
  <w:style w:type="paragraph" w:customStyle="1" w:styleId="ObjetacteprincipalPagedecouverture">
    <w:name w:val="Objet acte principal (Page de couverture)"/>
    <w:basedOn w:val="Objetacteprincipal"/>
    <w:next w:val="Rfrencecroise"/>
    <w:uiPriority w:val="1"/>
    <w:rsid w:val="00B4580D"/>
  </w:style>
  <w:style w:type="paragraph" w:customStyle="1" w:styleId="LanguesfaisantfoiPagedecouverture">
    <w:name w:val="Langues faisant foi (Page de couverture)"/>
    <w:basedOn w:val="Normal"/>
    <w:next w:val="Normal"/>
    <w:uiPriority w:val="1"/>
    <w:rsid w:val="14F0B435"/>
    <w:pPr>
      <w:keepNext/>
      <w:spacing w:before="360" w:after="0"/>
      <w:jc w:val="center"/>
    </w:pPr>
    <w:rPr>
      <w:rFonts w:ascii="Times New Roman" w:eastAsiaTheme="minorEastAsia" w:hAnsi="Times New Roman" w:cs="Times New Roman"/>
      <w:sz w:val="24"/>
    </w:rPr>
  </w:style>
  <w:style w:type="character" w:styleId="CommentReference">
    <w:name w:val="annotation reference"/>
    <w:basedOn w:val="DefaultParagraphFont"/>
    <w:uiPriority w:val="99"/>
    <w:unhideWhenUsed/>
    <w:rsid w:val="00B4580D"/>
    <w:rPr>
      <w:sz w:val="16"/>
    </w:rPr>
  </w:style>
  <w:style w:type="paragraph" w:styleId="CommentText">
    <w:name w:val="annotation text"/>
    <w:basedOn w:val="Normal"/>
    <w:link w:val="CommentTextChar"/>
    <w:uiPriority w:val="99"/>
    <w:unhideWhenUsed/>
    <w:rsid w:val="14F0B435"/>
    <w:pPr>
      <w:keepNext/>
      <w:spacing w:before="40" w:after="0"/>
      <w:jc w:val="both"/>
    </w:pPr>
    <w:rPr>
      <w:rFonts w:ascii="Times New Roman" w:eastAsiaTheme="minorEastAsia" w:hAnsi="Times New Roman" w:cs="Times New Roman"/>
      <w:sz w:val="20"/>
    </w:rPr>
  </w:style>
  <w:style w:type="character" w:customStyle="1" w:styleId="CommentTextChar">
    <w:name w:val="Comment Text Char"/>
    <w:basedOn w:val="DefaultParagraphFont"/>
    <w:link w:val="CommentText"/>
    <w:uiPriority w:val="99"/>
    <w:rsid w:val="00B4580D"/>
    <w:rPr>
      <w:rFonts w:ascii="Times New Roman" w:eastAsiaTheme="minorEastAsia" w:hAnsi="Times New Roman" w:cs="Times New Roman"/>
      <w:sz w:val="20"/>
    </w:rPr>
  </w:style>
  <w:style w:type="paragraph" w:styleId="ListParagraph">
    <w:name w:val="List Paragraph"/>
    <w:basedOn w:val="Normal"/>
    <w:link w:val="ListParagraphChar"/>
    <w:uiPriority w:val="34"/>
    <w:qFormat/>
    <w:rsid w:val="14F0B435"/>
    <w:pPr>
      <w:keepNext/>
      <w:spacing w:after="160"/>
      <w:ind w:left="1571" w:hanging="360"/>
      <w:contextualSpacing/>
      <w:jc w:val="both"/>
    </w:pPr>
    <w:rPr>
      <w:rFonts w:ascii="Times New Roman" w:eastAsiaTheme="minorEastAsia" w:hAnsi="Times New Roman" w:cs="Times New Roman"/>
      <w:sz w:val="24"/>
    </w:rPr>
  </w:style>
  <w:style w:type="character" w:customStyle="1" w:styleId="ListParagraphChar">
    <w:name w:val="List Paragraph Char"/>
    <w:basedOn w:val="DefaultParagraphFont"/>
    <w:link w:val="ListParagraph"/>
    <w:uiPriority w:val="1"/>
    <w:qFormat/>
    <w:rsid w:val="00B4580D"/>
    <w:rPr>
      <w:rFonts w:ascii="Times New Roman" w:eastAsiaTheme="minorEastAsia" w:hAnsi="Times New Roman" w:cs="Times New Roman"/>
      <w:sz w:val="24"/>
    </w:rPr>
  </w:style>
  <w:style w:type="character" w:styleId="IntenseEmphasis">
    <w:name w:val="Intense Emphasis"/>
    <w:basedOn w:val="DefaultParagraphFont"/>
    <w:uiPriority w:val="21"/>
    <w:qFormat/>
    <w:rsid w:val="00B4580D"/>
    <w:rPr>
      <w:i/>
      <w:color w:val="4F81BD" w:themeColor="accent1"/>
    </w:rPr>
  </w:style>
  <w:style w:type="paragraph" w:styleId="BalloonText">
    <w:name w:val="Balloon Text"/>
    <w:basedOn w:val="Normal"/>
    <w:link w:val="BalloonTextChar"/>
    <w:uiPriority w:val="99"/>
    <w:semiHidden/>
    <w:unhideWhenUsed/>
    <w:rsid w:val="14F0B435"/>
    <w:pPr>
      <w:keepNext/>
      <w:spacing w:after="0"/>
      <w:jc w:val="both"/>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B4580D"/>
    <w:rPr>
      <w:rFonts w:ascii="Segoe UI" w:eastAsiaTheme="minorEastAsia" w:hAnsi="Segoe UI" w:cs="Segoe UI"/>
      <w:sz w:val="18"/>
    </w:rPr>
  </w:style>
  <w:style w:type="paragraph" w:styleId="ListBullet">
    <w:name w:val="List Bullet"/>
    <w:basedOn w:val="Normal"/>
    <w:uiPriority w:val="99"/>
    <w:semiHidden/>
    <w:unhideWhenUsed/>
    <w:rsid w:val="29DEDBAE"/>
    <w:pPr>
      <w:keepNext/>
      <w:numPr>
        <w:numId w:val="15"/>
      </w:numPr>
      <w:spacing w:before="40" w:after="0"/>
      <w:contextualSpacing/>
      <w:jc w:val="both"/>
    </w:pPr>
    <w:rPr>
      <w:rFonts w:ascii="Times New Roman" w:eastAsiaTheme="minorEastAsia" w:hAnsi="Times New Roman" w:cs="Times New Roman"/>
      <w:sz w:val="24"/>
    </w:rPr>
  </w:style>
  <w:style w:type="paragraph" w:styleId="ListBullet2">
    <w:name w:val="List Bullet 2"/>
    <w:basedOn w:val="Normal"/>
    <w:uiPriority w:val="99"/>
    <w:semiHidden/>
    <w:unhideWhenUsed/>
    <w:rsid w:val="29DEDBAE"/>
    <w:pPr>
      <w:keepNext/>
      <w:numPr>
        <w:numId w:val="16"/>
      </w:numPr>
      <w:spacing w:before="40" w:after="0"/>
      <w:contextualSpacing/>
      <w:jc w:val="both"/>
    </w:pPr>
    <w:rPr>
      <w:rFonts w:ascii="Times New Roman" w:eastAsiaTheme="minorEastAsia" w:hAnsi="Times New Roman" w:cs="Times New Roman"/>
      <w:sz w:val="24"/>
    </w:rPr>
  </w:style>
  <w:style w:type="paragraph" w:styleId="ListBullet3">
    <w:name w:val="List Bullet 3"/>
    <w:basedOn w:val="Normal"/>
    <w:uiPriority w:val="99"/>
    <w:semiHidden/>
    <w:unhideWhenUsed/>
    <w:rsid w:val="29DEDBAE"/>
    <w:pPr>
      <w:keepNext/>
      <w:numPr>
        <w:numId w:val="17"/>
      </w:numPr>
      <w:spacing w:before="40" w:after="0"/>
      <w:contextualSpacing/>
      <w:jc w:val="both"/>
    </w:pPr>
    <w:rPr>
      <w:rFonts w:ascii="Times New Roman" w:eastAsiaTheme="minorEastAsia" w:hAnsi="Times New Roman" w:cs="Times New Roman"/>
      <w:sz w:val="24"/>
    </w:rPr>
  </w:style>
  <w:style w:type="paragraph" w:styleId="ListBullet4">
    <w:name w:val="List Bullet 4"/>
    <w:basedOn w:val="Normal"/>
    <w:uiPriority w:val="99"/>
    <w:semiHidden/>
    <w:unhideWhenUsed/>
    <w:rsid w:val="29DEDBAE"/>
    <w:pPr>
      <w:keepNext/>
      <w:numPr>
        <w:numId w:val="18"/>
      </w:numPr>
      <w:spacing w:before="40" w:after="0"/>
      <w:contextualSpacing/>
      <w:jc w:val="both"/>
    </w:pPr>
    <w:rPr>
      <w:rFonts w:ascii="Times New Roman" w:eastAsiaTheme="minorEastAsia" w:hAnsi="Times New Roman" w:cs="Times New Roman"/>
      <w:sz w:val="24"/>
    </w:rPr>
  </w:style>
  <w:style w:type="paragraph" w:styleId="CommentSubject">
    <w:name w:val="annotation subject"/>
    <w:basedOn w:val="CommentText"/>
    <w:next w:val="CommentText"/>
    <w:link w:val="CommentSubjectChar"/>
    <w:uiPriority w:val="99"/>
    <w:semiHidden/>
    <w:unhideWhenUsed/>
    <w:rsid w:val="00B4580D"/>
    <w:rPr>
      <w:b/>
    </w:rPr>
  </w:style>
  <w:style w:type="character" w:customStyle="1" w:styleId="CommentSubjectChar">
    <w:name w:val="Comment Subject Char"/>
    <w:basedOn w:val="CommentTextChar"/>
    <w:link w:val="CommentSubject"/>
    <w:uiPriority w:val="99"/>
    <w:semiHidden/>
    <w:rsid w:val="00B4580D"/>
    <w:rPr>
      <w:rFonts w:ascii="Times New Roman" w:eastAsiaTheme="minorEastAsia" w:hAnsi="Times New Roman" w:cs="Times New Roman"/>
      <w:b/>
      <w:sz w:val="20"/>
    </w:rPr>
  </w:style>
  <w:style w:type="paragraph" w:styleId="Revision">
    <w:name w:val="Revision"/>
    <w:hidden/>
    <w:uiPriority w:val="99"/>
    <w:semiHidden/>
    <w:rsid w:val="00B4580D"/>
    <w:pPr>
      <w:spacing w:after="0" w:line="240" w:lineRule="auto"/>
    </w:pPr>
    <w:rPr>
      <w:rFonts w:ascii="Times New Roman" w:hAnsi="Times New Roman" w:cs="Times New Roman"/>
      <w:sz w:val="24"/>
    </w:rPr>
  </w:style>
  <w:style w:type="paragraph" w:customStyle="1" w:styleId="Default">
    <w:name w:val="Default"/>
    <w:rsid w:val="00B4580D"/>
    <w:pPr>
      <w:autoSpaceDE w:val="0"/>
      <w:autoSpaceDN w:val="0"/>
      <w:adjustRightInd w:val="0"/>
      <w:spacing w:after="0" w:line="240" w:lineRule="auto"/>
    </w:pPr>
    <w:rPr>
      <w:rFonts w:ascii="Times New Roman" w:hAnsi="Times New Roman" w:cs="Times New Roman"/>
      <w:color w:val="000000"/>
      <w:sz w:val="24"/>
    </w:rPr>
  </w:style>
  <w:style w:type="character" w:styleId="Hyperlink">
    <w:name w:val="Hyperlink"/>
    <w:basedOn w:val="DefaultParagraphFont"/>
    <w:uiPriority w:val="99"/>
    <w:unhideWhenUsed/>
    <w:rsid w:val="00B4580D"/>
    <w:rPr>
      <w:color w:val="0000FF" w:themeColor="hyperlink"/>
      <w:u w:val="single"/>
    </w:rPr>
  </w:style>
  <w:style w:type="paragraph" w:customStyle="1" w:styleId="paragraph">
    <w:name w:val="paragraph"/>
    <w:basedOn w:val="Normal"/>
    <w:rsid w:val="14F0B435"/>
    <w:pPr>
      <w:spacing w:beforeAutospacing="1" w:afterAutospacing="1"/>
      <w:ind w:left="851"/>
    </w:pPr>
    <w:rPr>
      <w:rFonts w:ascii="Times New Roman" w:eastAsia="Times New Roman" w:hAnsi="Times New Roman" w:cs="Times New Roman"/>
      <w:sz w:val="24"/>
    </w:rPr>
  </w:style>
  <w:style w:type="character" w:customStyle="1" w:styleId="normaltextrun">
    <w:name w:val="normaltextrun"/>
    <w:basedOn w:val="DefaultParagraphFont"/>
    <w:rsid w:val="00B4580D"/>
  </w:style>
  <w:style w:type="table" w:styleId="TableGrid">
    <w:name w:val="Table Grid"/>
    <w:basedOn w:val="TableNormal"/>
    <w:uiPriority w:val="59"/>
    <w:rsid w:val="00B458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B458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2">
    <w:name w:val="Body text|2_"/>
    <w:basedOn w:val="DefaultParagraphFont"/>
    <w:link w:val="Bodytext20"/>
    <w:rsid w:val="00B4580D"/>
    <w:rPr>
      <w:rFonts w:ascii="Calibri" w:eastAsia="Calibri" w:hAnsi="Calibri" w:cs="Calibri"/>
      <w:sz w:val="21"/>
      <w:shd w:val="clear" w:color="auto" w:fill="FFFFFF"/>
    </w:rPr>
  </w:style>
  <w:style w:type="character" w:customStyle="1" w:styleId="Bodytext2Italic">
    <w:name w:val="Body text|2 + Italic"/>
    <w:basedOn w:val="Bodytext2"/>
    <w:semiHidden/>
    <w:unhideWhenUsed/>
    <w:rsid w:val="00B4580D"/>
    <w:rPr>
      <w:rFonts w:ascii="Calibri" w:eastAsia="Calibri" w:hAnsi="Calibri" w:cs="Calibri"/>
      <w:i/>
      <w:color w:val="000000"/>
      <w:position w:val="0"/>
      <w:sz w:val="21"/>
      <w:shd w:val="clear" w:color="auto" w:fill="FFFFFF"/>
    </w:rPr>
  </w:style>
  <w:style w:type="character" w:customStyle="1" w:styleId="Heading81">
    <w:name w:val="Heading #8|1_"/>
    <w:basedOn w:val="DefaultParagraphFont"/>
    <w:link w:val="Heading810"/>
    <w:rsid w:val="00B4580D"/>
    <w:rPr>
      <w:rFonts w:ascii="Calibri" w:eastAsia="Calibri" w:hAnsi="Calibri" w:cs="Calibri"/>
      <w:b/>
      <w:sz w:val="21"/>
      <w:shd w:val="clear" w:color="auto" w:fill="FFFFFF"/>
    </w:rPr>
  </w:style>
  <w:style w:type="paragraph" w:customStyle="1" w:styleId="Bodytext20">
    <w:name w:val="Body text|2"/>
    <w:basedOn w:val="Normal"/>
    <w:link w:val="Bodytext2"/>
    <w:qFormat/>
    <w:rsid w:val="00B4580D"/>
    <w:pPr>
      <w:widowControl w:val="0"/>
      <w:shd w:val="clear" w:color="auto" w:fill="FFFFFF"/>
      <w:spacing w:before="140" w:after="140" w:line="226" w:lineRule="exact"/>
      <w:ind w:hanging="640"/>
    </w:pPr>
    <w:rPr>
      <w:rFonts w:ascii="Calibri" w:eastAsia="Calibri" w:hAnsi="Calibri" w:cs="Calibri"/>
      <w:sz w:val="21"/>
    </w:rPr>
  </w:style>
  <w:style w:type="paragraph" w:customStyle="1" w:styleId="Heading810">
    <w:name w:val="Heading #8|1"/>
    <w:basedOn w:val="Normal"/>
    <w:link w:val="Heading81"/>
    <w:qFormat/>
    <w:rsid w:val="00B4580D"/>
    <w:pPr>
      <w:widowControl w:val="0"/>
      <w:shd w:val="clear" w:color="auto" w:fill="FFFFFF"/>
      <w:spacing w:before="120" w:after="0" w:line="256" w:lineRule="exact"/>
      <w:ind w:hanging="580"/>
      <w:outlineLvl w:val="7"/>
    </w:pPr>
    <w:rPr>
      <w:rFonts w:ascii="Calibri" w:eastAsia="Calibri" w:hAnsi="Calibri" w:cs="Calibri"/>
      <w:b/>
      <w:sz w:val="21"/>
    </w:rPr>
  </w:style>
  <w:style w:type="character" w:customStyle="1" w:styleId="eop">
    <w:name w:val="eop"/>
    <w:basedOn w:val="DefaultParagraphFont"/>
    <w:rsid w:val="00B4580D"/>
  </w:style>
  <w:style w:type="character" w:customStyle="1" w:styleId="Heading81NotBold">
    <w:name w:val="Heading #8|1 + Not Bold"/>
    <w:basedOn w:val="Heading81"/>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Bold">
    <w:name w:val="Body text|2 + Bold"/>
    <w:basedOn w:val="Bodytext2"/>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Arial95ptBold">
    <w:name w:val="Body text|2 + Arial;9.5 pt;Bold"/>
    <w:basedOn w:val="Bodytext2"/>
    <w:semiHidden/>
    <w:unhideWhenUsed/>
    <w:rsid w:val="00B4580D"/>
    <w:rPr>
      <w:rFonts w:ascii="Arial" w:eastAsia="Arial" w:hAnsi="Arial" w:cs="Arial"/>
      <w:b/>
      <w:i w:val="0"/>
      <w:smallCaps w:val="0"/>
      <w:strike w:val="0"/>
      <w:color w:val="000000"/>
      <w:position w:val="0"/>
      <w:sz w:val="19"/>
      <w:u w:val="none"/>
      <w:shd w:val="clear" w:color="auto" w:fill="FFFFFF"/>
    </w:rPr>
  </w:style>
  <w:style w:type="character" w:customStyle="1" w:styleId="Tablecaption7">
    <w:name w:val="Table caption|7_"/>
    <w:basedOn w:val="DefaultParagraphFont"/>
    <w:link w:val="Tablecaption70"/>
    <w:rsid w:val="00B4580D"/>
    <w:rPr>
      <w:rFonts w:ascii="Calibri" w:eastAsia="Calibri" w:hAnsi="Calibri" w:cs="Calibri"/>
      <w:sz w:val="21"/>
      <w:shd w:val="clear" w:color="auto" w:fill="FFFFFF"/>
    </w:rPr>
  </w:style>
  <w:style w:type="character" w:customStyle="1" w:styleId="Heading71NotBold">
    <w:name w:val="Heading #7|1 + Not Bold"/>
    <w:basedOn w:val="DefaultParagraphFont"/>
    <w:semiHidden/>
    <w:unhideWhenUsed/>
    <w:rsid w:val="00B4580D"/>
    <w:rPr>
      <w:rFonts w:ascii="Calibri" w:eastAsia="Calibri" w:hAnsi="Calibri" w:cs="Calibri"/>
      <w:b/>
      <w:i w:val="0"/>
      <w:smallCaps w:val="0"/>
      <w:strike w:val="0"/>
      <w:color w:val="000000"/>
      <w:position w:val="0"/>
      <w:sz w:val="21"/>
      <w:u w:val="none"/>
    </w:rPr>
  </w:style>
  <w:style w:type="paragraph" w:customStyle="1" w:styleId="Tablecaption70">
    <w:name w:val="Table caption|7"/>
    <w:basedOn w:val="Normal"/>
    <w:link w:val="Tablecaption7"/>
    <w:rsid w:val="00B4580D"/>
    <w:pPr>
      <w:widowControl w:val="0"/>
      <w:shd w:val="clear" w:color="auto" w:fill="FFFFFF"/>
      <w:spacing w:after="0" w:line="256" w:lineRule="exact"/>
    </w:pPr>
    <w:rPr>
      <w:rFonts w:ascii="Calibri" w:eastAsia="Calibri" w:hAnsi="Calibri" w:cs="Calibri"/>
      <w:sz w:val="21"/>
    </w:rPr>
  </w:style>
  <w:style w:type="paragraph" w:customStyle="1" w:styleId="LegalNumPar">
    <w:name w:val="LegalNumPar"/>
    <w:basedOn w:val="Normal"/>
    <w:uiPriority w:val="1"/>
    <w:rsid w:val="14F0B435"/>
    <w:pPr>
      <w:keepNext/>
      <w:spacing w:before="40" w:after="0"/>
      <w:ind w:left="476" w:hanging="476"/>
      <w:jc w:val="both"/>
    </w:pPr>
    <w:rPr>
      <w:rFonts w:ascii="Times New Roman" w:eastAsiaTheme="minorEastAsia" w:hAnsi="Times New Roman" w:cs="Times New Roman"/>
      <w:sz w:val="24"/>
    </w:rPr>
  </w:style>
  <w:style w:type="paragraph" w:customStyle="1" w:styleId="LegalNumPar2">
    <w:name w:val="LegalNumPar2"/>
    <w:basedOn w:val="Normal"/>
    <w:uiPriority w:val="1"/>
    <w:rsid w:val="14F0B435"/>
    <w:pPr>
      <w:keepNext/>
      <w:spacing w:before="40" w:after="0"/>
      <w:ind w:left="953" w:hanging="477"/>
      <w:jc w:val="both"/>
    </w:pPr>
    <w:rPr>
      <w:rFonts w:ascii="Times New Roman" w:eastAsiaTheme="minorEastAsia" w:hAnsi="Times New Roman" w:cs="Times New Roman"/>
      <w:sz w:val="24"/>
    </w:rPr>
  </w:style>
  <w:style w:type="paragraph" w:customStyle="1" w:styleId="LegalNumPar3">
    <w:name w:val="LegalNumPar3"/>
    <w:basedOn w:val="Normal"/>
    <w:uiPriority w:val="1"/>
    <w:rsid w:val="14F0B435"/>
    <w:pPr>
      <w:keepNext/>
      <w:spacing w:before="40" w:after="0"/>
      <w:ind w:left="1429" w:hanging="476"/>
      <w:jc w:val="both"/>
    </w:pPr>
    <w:rPr>
      <w:rFonts w:ascii="Times New Roman" w:eastAsiaTheme="minorEastAsia" w:hAnsi="Times New Roman" w:cs="Times New Roman"/>
      <w:sz w:val="24"/>
    </w:rPr>
  </w:style>
  <w:style w:type="paragraph" w:styleId="NormalWeb">
    <w:name w:val="Normal (Web)"/>
    <w:basedOn w:val="Normal"/>
    <w:uiPriority w:val="99"/>
    <w:semiHidden/>
    <w:unhideWhenUsed/>
    <w:rsid w:val="14F0B435"/>
    <w:pPr>
      <w:spacing w:beforeAutospacing="1" w:afterAutospacing="1"/>
    </w:pPr>
    <w:rPr>
      <w:rFonts w:ascii="Times New Roman" w:eastAsia="Times New Roman" w:hAnsi="Times New Roman" w:cs="Times New Roman"/>
      <w:sz w:val="24"/>
    </w:rPr>
  </w:style>
  <w:style w:type="character" w:styleId="Strong">
    <w:name w:val="Strong"/>
    <w:basedOn w:val="DefaultParagraphFont"/>
    <w:uiPriority w:val="22"/>
    <w:qFormat/>
    <w:rsid w:val="00B4580D"/>
    <w:rPr>
      <w:b/>
    </w:rPr>
  </w:style>
  <w:style w:type="character" w:customStyle="1" w:styleId="h5">
    <w:name w:val="h5"/>
    <w:basedOn w:val="DefaultParagraphFont"/>
    <w:rsid w:val="00B4580D"/>
  </w:style>
  <w:style w:type="character" w:customStyle="1" w:styleId="viiyi">
    <w:name w:val="viiyi"/>
    <w:basedOn w:val="DefaultParagraphFont"/>
    <w:rsid w:val="00B4580D"/>
  </w:style>
  <w:style w:type="character" w:customStyle="1" w:styleId="jlqj4b">
    <w:name w:val="jlqj4b"/>
    <w:basedOn w:val="DefaultParagraphFont"/>
    <w:rsid w:val="00B4580D"/>
  </w:style>
  <w:style w:type="paragraph" w:customStyle="1" w:styleId="oj-doc-ti">
    <w:name w:val="oj-doc-ti"/>
    <w:basedOn w:val="Normal"/>
    <w:uiPriority w:val="1"/>
    <w:rsid w:val="14F0B435"/>
    <w:pPr>
      <w:spacing w:beforeAutospacing="1" w:afterAutospacing="1"/>
    </w:pPr>
    <w:rPr>
      <w:rFonts w:ascii="Times New Roman" w:eastAsia="Times New Roman" w:hAnsi="Times New Roman" w:cs="Times New Roman"/>
      <w:sz w:val="24"/>
    </w:rPr>
  </w:style>
  <w:style w:type="character" w:customStyle="1" w:styleId="acopre">
    <w:name w:val="acopre"/>
    <w:basedOn w:val="DefaultParagraphFont"/>
    <w:rsid w:val="00B4580D"/>
  </w:style>
  <w:style w:type="character" w:styleId="FollowedHyperlink">
    <w:name w:val="FollowedHyperlink"/>
    <w:basedOn w:val="DefaultParagraphFont"/>
    <w:uiPriority w:val="99"/>
    <w:semiHidden/>
    <w:unhideWhenUsed/>
    <w:rsid w:val="00B4580D"/>
    <w:rPr>
      <w:color w:val="800080" w:themeColor="followedHyperlink"/>
      <w:u w:val="single"/>
    </w:rPr>
  </w:style>
  <w:style w:type="character" w:styleId="PlaceholderText">
    <w:name w:val="Placeholder Text"/>
    <w:basedOn w:val="DefaultParagraphFont"/>
    <w:uiPriority w:val="99"/>
    <w:semiHidden/>
    <w:rsid w:val="00B4580D"/>
    <w:rPr>
      <w:color w:val="808080"/>
    </w:rPr>
  </w:style>
  <w:style w:type="paragraph" w:customStyle="1" w:styleId="FooterCoverPage">
    <w:name w:val="Footer Cover Page"/>
    <w:basedOn w:val="Normal"/>
    <w:link w:val="FooterCoverPageChar"/>
    <w:uiPriority w:val="1"/>
    <w:rsid w:val="14F0B435"/>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B4580D"/>
    <w:rPr>
      <w:rFonts w:ascii="Times New Roman" w:hAnsi="Times New Roman" w:cs="Times New Roman"/>
      <w:sz w:val="24"/>
    </w:rPr>
  </w:style>
  <w:style w:type="paragraph" w:customStyle="1" w:styleId="HeaderCoverPage">
    <w:name w:val="Header Cover Page"/>
    <w:basedOn w:val="Normal"/>
    <w:link w:val="HeaderCoverPageChar"/>
    <w:uiPriority w:val="1"/>
    <w:rsid w:val="14F0B435"/>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B4580D"/>
    <w:rPr>
      <w:rFonts w:ascii="Times New Roman" w:hAnsi="Times New Roman" w:cs="Times New Roman"/>
      <w:sz w:val="24"/>
    </w:rPr>
  </w:style>
  <w:style w:type="paragraph" w:styleId="NoSpacing">
    <w:name w:val="No Spacing"/>
    <w:uiPriority w:val="1"/>
    <w:qFormat/>
    <w:rsid w:val="00B4580D"/>
    <w:pPr>
      <w:spacing w:after="0" w:line="240" w:lineRule="auto"/>
    </w:pPr>
  </w:style>
  <w:style w:type="paragraph" w:customStyle="1" w:styleId="TechnicalBlock">
    <w:name w:val="Technical Block"/>
    <w:basedOn w:val="Pagedecouverture"/>
    <w:link w:val="TechnicalBlockChar"/>
    <w:uiPriority w:val="1"/>
    <w:rsid w:val="14F0B435"/>
    <w:pPr>
      <w:spacing w:after="240"/>
      <w:jc w:val="center"/>
    </w:pPr>
  </w:style>
  <w:style w:type="character" w:customStyle="1" w:styleId="PagedecouvertureChar">
    <w:name w:val="Page de couverture Char"/>
    <w:basedOn w:val="DefaultParagraphFont"/>
    <w:link w:val="Pagedecouverture"/>
    <w:uiPriority w:val="1"/>
    <w:rsid w:val="00B4580D"/>
    <w:rPr>
      <w:rFonts w:ascii="Times New Roman" w:eastAsiaTheme="minorEastAsia" w:hAnsi="Times New Roman" w:cs="Times New Roman"/>
      <w:sz w:val="24"/>
    </w:rPr>
  </w:style>
  <w:style w:type="character" w:customStyle="1" w:styleId="TechnicalBlockChar">
    <w:name w:val="Technical Block Char"/>
    <w:basedOn w:val="PagedecouvertureChar"/>
    <w:link w:val="TechnicalBlock"/>
    <w:uiPriority w:val="1"/>
    <w:rsid w:val="00B4580D"/>
    <w:rPr>
      <w:rFonts w:ascii="Times New Roman" w:eastAsiaTheme="minorEastAsia" w:hAnsi="Times New Roman" w:cs="Times New Roman"/>
      <w:sz w:val="24"/>
    </w:rPr>
  </w:style>
  <w:style w:type="paragraph" w:customStyle="1" w:styleId="EntText">
    <w:name w:val="EntText"/>
    <w:basedOn w:val="Normal"/>
    <w:uiPriority w:val="1"/>
    <w:rsid w:val="14F0B435"/>
    <w:pPr>
      <w:spacing w:before="120" w:after="120"/>
    </w:pPr>
    <w:rPr>
      <w:rFonts w:ascii="Times New Roman" w:eastAsiaTheme="minorEastAsia" w:hAnsi="Times New Roman" w:cs="Times New Roman"/>
      <w:sz w:val="24"/>
    </w:rPr>
  </w:style>
  <w:style w:type="paragraph" w:customStyle="1" w:styleId="Lignefinal">
    <w:name w:val="Ligne final"/>
    <w:basedOn w:val="Normal"/>
    <w:next w:val="Normal"/>
    <w:uiPriority w:val="1"/>
    <w:rsid w:val="14F0B435"/>
    <w:pPr>
      <w:spacing w:before="360" w:after="120"/>
      <w:ind w:left="3400" w:right="3400"/>
      <w:jc w:val="center"/>
    </w:pPr>
    <w:rPr>
      <w:rFonts w:ascii="Times New Roman" w:eastAsiaTheme="minorEastAsia" w:hAnsi="Times New Roman" w:cs="Times New Roman"/>
      <w:b/>
      <w:sz w:val="24"/>
    </w:rPr>
  </w:style>
  <w:style w:type="paragraph" w:customStyle="1" w:styleId="pj">
    <w:name w:val="p.j."/>
    <w:basedOn w:val="Normal"/>
    <w:link w:val="pjChar"/>
    <w:uiPriority w:val="1"/>
    <w:rsid w:val="14F0B435"/>
    <w:pPr>
      <w:spacing w:before="1200" w:after="120"/>
      <w:ind w:left="1440" w:hanging="1440"/>
    </w:pPr>
    <w:rPr>
      <w:rFonts w:ascii="Times New Roman" w:eastAsiaTheme="minorEastAsia" w:hAnsi="Times New Roman" w:cs="Times New Roman"/>
      <w:sz w:val="24"/>
    </w:rPr>
  </w:style>
  <w:style w:type="character" w:customStyle="1" w:styleId="pjChar">
    <w:name w:val="p.j. Char"/>
    <w:basedOn w:val="PagedecouvertureChar"/>
    <w:link w:val="pj"/>
    <w:uiPriority w:val="1"/>
    <w:rsid w:val="00B4580D"/>
    <w:rPr>
      <w:rFonts w:ascii="Times New Roman" w:eastAsiaTheme="minorEastAsia" w:hAnsi="Times New Roman" w:cs="Times New Roman"/>
      <w:sz w:val="24"/>
    </w:rPr>
  </w:style>
  <w:style w:type="paragraph" w:customStyle="1" w:styleId="nbbordered">
    <w:name w:val="nb bordered"/>
    <w:basedOn w:val="Normal"/>
    <w:link w:val="nbborderedChar"/>
    <w:uiPriority w:val="1"/>
    <w:rsid w:val="14F0B435"/>
    <w:pPr>
      <w:spacing w:after="160"/>
      <w:ind w:left="480" w:hanging="480"/>
    </w:pPr>
    <w:rPr>
      <w:rFonts w:ascii="Times New Roman" w:eastAsiaTheme="minorEastAsia" w:hAnsi="Times New Roman" w:cs="Times New Roman"/>
      <w:b/>
      <w:sz w:val="24"/>
    </w:rPr>
  </w:style>
  <w:style w:type="character" w:customStyle="1" w:styleId="nbborderedChar">
    <w:name w:val="nb bordered Char"/>
    <w:basedOn w:val="PagedecouvertureChar"/>
    <w:link w:val="nbbordered"/>
    <w:uiPriority w:val="1"/>
    <w:rsid w:val="00B4580D"/>
    <w:rPr>
      <w:rFonts w:ascii="Times New Roman" w:eastAsiaTheme="minorEastAsia" w:hAnsi="Times New Roman" w:cs="Times New Roman"/>
      <w:b/>
      <w:sz w:val="24"/>
    </w:rPr>
  </w:style>
  <w:style w:type="paragraph" w:customStyle="1" w:styleId="HeaderCouncil">
    <w:name w:val="Header Council"/>
    <w:basedOn w:val="Normal"/>
    <w:link w:val="HeaderCouncilChar"/>
    <w:uiPriority w:val="1"/>
    <w:rsid w:val="00B4580D"/>
    <w:pPr>
      <w:spacing w:after="0"/>
    </w:pPr>
    <w:rPr>
      <w:sz w:val="2"/>
    </w:rPr>
  </w:style>
  <w:style w:type="character" w:customStyle="1" w:styleId="HeaderCouncilChar">
    <w:name w:val="Header Council Char"/>
    <w:basedOn w:val="DefaultParagraphFont"/>
    <w:link w:val="HeaderCouncil"/>
    <w:rsid w:val="00B4580D"/>
    <w:rPr>
      <w:sz w:val="2"/>
    </w:rPr>
  </w:style>
  <w:style w:type="paragraph" w:customStyle="1" w:styleId="HeaderCouncilLarge">
    <w:name w:val="Header Council Large"/>
    <w:basedOn w:val="Normal"/>
    <w:link w:val="HeaderCouncilLargeChar"/>
    <w:uiPriority w:val="1"/>
    <w:rsid w:val="00B4580D"/>
    <w:pPr>
      <w:spacing w:after="440"/>
    </w:pPr>
    <w:rPr>
      <w:sz w:val="2"/>
    </w:rPr>
  </w:style>
  <w:style w:type="character" w:customStyle="1" w:styleId="HeaderCouncilLargeChar">
    <w:name w:val="Header Council Large Char"/>
    <w:basedOn w:val="DefaultParagraphFont"/>
    <w:link w:val="HeaderCouncilLarge"/>
    <w:rsid w:val="00B4580D"/>
    <w:rPr>
      <w:sz w:val="2"/>
    </w:rPr>
  </w:style>
  <w:style w:type="paragraph" w:customStyle="1" w:styleId="FooterCouncil">
    <w:name w:val="Footer Council"/>
    <w:basedOn w:val="Normal"/>
    <w:link w:val="FooterCouncilChar"/>
    <w:uiPriority w:val="1"/>
    <w:rsid w:val="00B4580D"/>
    <w:pPr>
      <w:spacing w:after="0"/>
    </w:pPr>
    <w:rPr>
      <w:sz w:val="2"/>
    </w:rPr>
  </w:style>
  <w:style w:type="character" w:customStyle="1" w:styleId="FooterCouncilChar">
    <w:name w:val="Footer Council Char"/>
    <w:basedOn w:val="DefaultParagraphFont"/>
    <w:link w:val="FooterCouncil"/>
    <w:rsid w:val="00B4580D"/>
    <w:rPr>
      <w:sz w:val="2"/>
    </w:rPr>
  </w:style>
  <w:style w:type="paragraph" w:customStyle="1" w:styleId="FooterText">
    <w:name w:val="Footer Text"/>
    <w:basedOn w:val="Normal"/>
    <w:uiPriority w:val="1"/>
    <w:rsid w:val="14F0B435"/>
    <w:pPr>
      <w:spacing w:after="0"/>
    </w:pPr>
    <w:rPr>
      <w:rFonts w:ascii="Times New Roman" w:eastAsia="Times New Roman" w:hAnsi="Times New Roman" w:cs="Times New Roman"/>
      <w:sz w:val="24"/>
    </w:rPr>
  </w:style>
  <w:style w:type="character" w:customStyle="1" w:styleId="Bodytext1">
    <w:name w:val="Body text|1_"/>
    <w:basedOn w:val="DefaultParagraphFont"/>
    <w:link w:val="Bodytext10"/>
    <w:rsid w:val="001707B2"/>
    <w:rPr>
      <w:rFonts w:ascii="Arial" w:eastAsia="Arial" w:hAnsi="Arial" w:cs="Arial"/>
      <w:sz w:val="20"/>
    </w:rPr>
  </w:style>
  <w:style w:type="paragraph" w:customStyle="1" w:styleId="Bodytext10">
    <w:name w:val="Body text|1"/>
    <w:basedOn w:val="Normal"/>
    <w:link w:val="Bodytext1"/>
    <w:rsid w:val="001707B2"/>
    <w:pPr>
      <w:widowControl w:val="0"/>
      <w:spacing w:after="260"/>
    </w:pPr>
    <w:rPr>
      <w:rFonts w:ascii="Arial" w:eastAsia="Arial" w:hAnsi="Arial" w:cs="Arial"/>
      <w:sz w:val="20"/>
    </w:rPr>
  </w:style>
  <w:style w:type="character" w:customStyle="1" w:styleId="Other1">
    <w:name w:val="Other|1_"/>
    <w:basedOn w:val="DefaultParagraphFont"/>
    <w:link w:val="Other10"/>
    <w:rsid w:val="00B24A83"/>
    <w:rPr>
      <w:rFonts w:ascii="Arial" w:eastAsia="Arial" w:hAnsi="Arial" w:cs="Arial"/>
      <w:sz w:val="20"/>
    </w:rPr>
  </w:style>
  <w:style w:type="paragraph" w:customStyle="1" w:styleId="Other10">
    <w:name w:val="Other|1"/>
    <w:basedOn w:val="Normal"/>
    <w:link w:val="Other1"/>
    <w:rsid w:val="00B24A83"/>
    <w:pPr>
      <w:widowControl w:val="0"/>
      <w:spacing w:after="0"/>
    </w:pPr>
    <w:rPr>
      <w:rFonts w:ascii="Arial" w:eastAsia="Arial" w:hAnsi="Arial" w:cs="Arial"/>
      <w:sz w:val="20"/>
    </w:rPr>
  </w:style>
  <w:style w:type="character" w:customStyle="1" w:styleId="Mention1">
    <w:name w:val="Mention1"/>
    <w:basedOn w:val="DefaultParagraphFont"/>
    <w:uiPriority w:val="99"/>
    <w:unhideWhenUsed/>
    <w:rsid w:val="005109BE"/>
    <w:rPr>
      <w:color w:val="2B579A"/>
      <w:shd w:val="clear" w:color="auto" w:fill="E6E6E6"/>
    </w:rPr>
  </w:style>
  <w:style w:type="character" w:customStyle="1" w:styleId="UnresolvedMention1">
    <w:name w:val="Unresolved Mention1"/>
    <w:basedOn w:val="DefaultParagraphFont"/>
    <w:uiPriority w:val="99"/>
    <w:unhideWhenUsed/>
    <w:rsid w:val="005109BE"/>
    <w:rPr>
      <w:color w:val="605E5C"/>
      <w:shd w:val="clear" w:color="auto" w:fill="E1DFDD"/>
    </w:rPr>
  </w:style>
  <w:style w:type="character" w:customStyle="1" w:styleId="UnresolvedMention2">
    <w:name w:val="Unresolved Mention2"/>
    <w:basedOn w:val="DefaultParagraphFont"/>
    <w:uiPriority w:val="99"/>
    <w:unhideWhenUsed/>
    <w:rsid w:val="00BE3CE5"/>
    <w:rPr>
      <w:color w:val="605E5C"/>
      <w:shd w:val="clear" w:color="auto" w:fill="E1DFDD"/>
    </w:rPr>
  </w:style>
  <w:style w:type="character" w:customStyle="1" w:styleId="Mention2">
    <w:name w:val="Mention2"/>
    <w:basedOn w:val="DefaultParagraphFont"/>
    <w:uiPriority w:val="99"/>
    <w:unhideWhenUsed/>
    <w:rsid w:val="00BE3CE5"/>
    <w:rPr>
      <w:color w:val="2B579A"/>
      <w:shd w:val="clear" w:color="auto" w:fill="E1DFDD"/>
    </w:rPr>
  </w:style>
  <w:style w:type="character" w:customStyle="1" w:styleId="Heading5Char">
    <w:name w:val="Heading 5 Char"/>
    <w:basedOn w:val="DefaultParagraphFont"/>
    <w:link w:val="Heading5"/>
    <w:uiPriority w:val="9"/>
    <w:rsid w:val="00510B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0B5B"/>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510B5B"/>
    <w:rPr>
      <w:rFonts w:asciiTheme="majorHAnsi" w:eastAsiaTheme="majorEastAsia" w:hAnsiTheme="majorHAnsi" w:cstheme="majorBidi"/>
      <w:i/>
      <w:color w:val="243F60"/>
    </w:rPr>
  </w:style>
  <w:style w:type="character" w:customStyle="1" w:styleId="Heading8Char">
    <w:name w:val="Heading 8 Char"/>
    <w:basedOn w:val="DefaultParagraphFont"/>
    <w:link w:val="Heading8"/>
    <w:uiPriority w:val="9"/>
    <w:rsid w:val="00510B5B"/>
    <w:rPr>
      <w:rFonts w:asciiTheme="majorHAnsi" w:eastAsiaTheme="majorEastAsia" w:hAnsiTheme="majorHAnsi" w:cstheme="majorBidi"/>
      <w:color w:val="272727"/>
      <w:sz w:val="21"/>
    </w:rPr>
  </w:style>
  <w:style w:type="character" w:customStyle="1" w:styleId="Heading9Char">
    <w:name w:val="Heading 9 Char"/>
    <w:basedOn w:val="DefaultParagraphFont"/>
    <w:link w:val="Heading9"/>
    <w:uiPriority w:val="9"/>
    <w:rsid w:val="00510B5B"/>
    <w:rPr>
      <w:rFonts w:asciiTheme="majorHAnsi" w:eastAsiaTheme="majorEastAsia" w:hAnsiTheme="majorHAnsi" w:cstheme="majorBidi"/>
      <w:i/>
      <w:color w:val="272727"/>
      <w:sz w:val="21"/>
    </w:rPr>
  </w:style>
  <w:style w:type="paragraph" w:styleId="Title">
    <w:name w:val="Title"/>
    <w:basedOn w:val="Normal"/>
    <w:next w:val="Normal"/>
    <w:link w:val="TitleChar"/>
    <w:uiPriority w:val="10"/>
    <w:qFormat/>
    <w:rsid w:val="00510B5B"/>
    <w:pPr>
      <w:spacing w:after="0"/>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510B5B"/>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00510B5B"/>
    <w:rPr>
      <w:rFonts w:eastAsiaTheme="minorEastAsia"/>
      <w:color w:val="5A5A5A"/>
    </w:rPr>
  </w:style>
  <w:style w:type="character" w:customStyle="1" w:styleId="SubtitleChar">
    <w:name w:val="Subtitle Char"/>
    <w:basedOn w:val="DefaultParagraphFont"/>
    <w:link w:val="Subtitle"/>
    <w:uiPriority w:val="11"/>
    <w:rsid w:val="00510B5B"/>
    <w:rPr>
      <w:rFonts w:eastAsiaTheme="minorEastAsia"/>
      <w:color w:val="5A5A5A"/>
    </w:rPr>
  </w:style>
  <w:style w:type="paragraph" w:styleId="Quote">
    <w:name w:val="Quote"/>
    <w:basedOn w:val="Normal"/>
    <w:next w:val="Normal"/>
    <w:link w:val="QuoteChar"/>
    <w:uiPriority w:val="29"/>
    <w:qFormat/>
    <w:rsid w:val="00510B5B"/>
    <w:pPr>
      <w:spacing w:before="200"/>
      <w:ind w:left="864" w:right="864"/>
      <w:jc w:val="center"/>
    </w:pPr>
    <w:rPr>
      <w:i/>
      <w:color w:val="404040" w:themeColor="text1" w:themeTint="BF"/>
    </w:rPr>
  </w:style>
  <w:style w:type="character" w:customStyle="1" w:styleId="QuoteChar">
    <w:name w:val="Quote Char"/>
    <w:basedOn w:val="DefaultParagraphFont"/>
    <w:link w:val="Quote"/>
    <w:uiPriority w:val="29"/>
    <w:rsid w:val="00510B5B"/>
    <w:rPr>
      <w:i/>
      <w:color w:val="404040" w:themeColor="text1" w:themeTint="BF"/>
    </w:rPr>
  </w:style>
  <w:style w:type="paragraph" w:styleId="IntenseQuote">
    <w:name w:val="Intense Quote"/>
    <w:basedOn w:val="Normal"/>
    <w:next w:val="Normal"/>
    <w:link w:val="IntenseQuoteChar"/>
    <w:uiPriority w:val="30"/>
    <w:qFormat/>
    <w:rsid w:val="00510B5B"/>
    <w:pPr>
      <w:spacing w:before="360" w:after="360"/>
      <w:ind w:left="864" w:right="864"/>
      <w:jc w:val="center"/>
    </w:pPr>
    <w:rPr>
      <w:i/>
      <w:color w:val="4F81BD" w:themeColor="accent1"/>
    </w:rPr>
  </w:style>
  <w:style w:type="character" w:customStyle="1" w:styleId="IntenseQuoteChar">
    <w:name w:val="Intense Quote Char"/>
    <w:basedOn w:val="DefaultParagraphFont"/>
    <w:link w:val="IntenseQuote"/>
    <w:uiPriority w:val="30"/>
    <w:rsid w:val="00510B5B"/>
    <w:rPr>
      <w:i/>
      <w:color w:val="4F81BD" w:themeColor="accent1"/>
    </w:rPr>
  </w:style>
  <w:style w:type="paragraph" w:styleId="EndnoteText">
    <w:name w:val="endnote text"/>
    <w:basedOn w:val="Normal"/>
    <w:link w:val="EndnoteTextChar"/>
    <w:uiPriority w:val="99"/>
    <w:semiHidden/>
    <w:unhideWhenUsed/>
    <w:rsid w:val="00510B5B"/>
    <w:pPr>
      <w:spacing w:after="0"/>
    </w:pPr>
    <w:rPr>
      <w:sz w:val="20"/>
    </w:rPr>
  </w:style>
  <w:style w:type="character" w:customStyle="1" w:styleId="EndnoteTextChar">
    <w:name w:val="Endnote Text Char"/>
    <w:basedOn w:val="DefaultParagraphFont"/>
    <w:link w:val="EndnoteText"/>
    <w:uiPriority w:val="99"/>
    <w:semiHidden/>
    <w:rsid w:val="00510B5B"/>
    <w:rPr>
      <w:sz w:val="20"/>
    </w:rPr>
  </w:style>
  <w:style w:type="character" w:customStyle="1" w:styleId="findhit">
    <w:name w:val="findhit"/>
    <w:basedOn w:val="DefaultParagraphFont"/>
    <w:rsid w:val="00510B5B"/>
  </w:style>
  <w:style w:type="character" w:customStyle="1" w:styleId="Mention3">
    <w:name w:val="Mention3"/>
    <w:basedOn w:val="DefaultParagraphFont"/>
    <w:uiPriority w:val="99"/>
    <w:unhideWhenUsed/>
    <w:rsid w:val="000776D0"/>
    <w:rPr>
      <w:color w:val="2B579A"/>
      <w:shd w:val="clear" w:color="auto" w:fill="E6E6E6"/>
    </w:rPr>
  </w:style>
  <w:style w:type="character" w:customStyle="1" w:styleId="UnresolvedMention3">
    <w:name w:val="Unresolved Mention3"/>
    <w:basedOn w:val="DefaultParagraphFont"/>
    <w:uiPriority w:val="99"/>
    <w:unhideWhenUsed/>
    <w:rsid w:val="000776D0"/>
    <w:rPr>
      <w:color w:val="605E5C"/>
      <w:shd w:val="clear" w:color="auto" w:fill="E1DFDD"/>
    </w:rPr>
  </w:style>
  <w:style w:type="character" w:customStyle="1" w:styleId="UnresolvedMention4">
    <w:name w:val="Unresolved Mention4"/>
    <w:basedOn w:val="DefaultParagraphFont"/>
    <w:uiPriority w:val="99"/>
    <w:unhideWhenUsed/>
    <w:rsid w:val="00234BD4"/>
    <w:rPr>
      <w:color w:val="605E5C"/>
      <w:shd w:val="clear" w:color="auto" w:fill="E1DFDD"/>
    </w:rPr>
  </w:style>
  <w:style w:type="character" w:customStyle="1" w:styleId="Mention4">
    <w:name w:val="Mention4"/>
    <w:basedOn w:val="DefaultParagraphFont"/>
    <w:uiPriority w:val="99"/>
    <w:unhideWhenUsed/>
    <w:rsid w:val="00234BD4"/>
    <w:rPr>
      <w:color w:val="2B579A"/>
      <w:shd w:val="clear" w:color="auto" w:fill="E1DFDD"/>
    </w:rPr>
  </w:style>
  <w:style w:type="paragraph" w:customStyle="1" w:styleId="commentcontentpara">
    <w:name w:val="commentcontentpara"/>
    <w:basedOn w:val="Normal"/>
    <w:rsid w:val="00AC7B48"/>
    <w:pPr>
      <w:spacing w:before="100" w:beforeAutospacing="1" w:after="100" w:afterAutospacing="1" w:line="240" w:lineRule="auto"/>
    </w:pPr>
    <w:rPr>
      <w:rFonts w:ascii="Times New Roman" w:eastAsia="Times New Roman" w:hAnsi="Times New Roman" w:cs="Times New Roman"/>
      <w:sz w:val="24"/>
    </w:rPr>
  </w:style>
  <w:style w:type="character" w:customStyle="1" w:styleId="Bodytext3">
    <w:name w:val="Body text|3_"/>
    <w:basedOn w:val="DefaultParagraphFont"/>
    <w:link w:val="Bodytext30"/>
    <w:rsid w:val="00D66508"/>
    <w:rPr>
      <w:rFonts w:ascii="@MS Mincho" w:eastAsia="@MS Mincho" w:hAnsi="@MS Mincho" w:cs="@MS Mincho"/>
      <w:sz w:val="20"/>
    </w:rPr>
  </w:style>
  <w:style w:type="paragraph" w:customStyle="1" w:styleId="Bodytext30">
    <w:name w:val="Body text|3"/>
    <w:basedOn w:val="Normal"/>
    <w:link w:val="Bodytext3"/>
    <w:rsid w:val="00D66508"/>
    <w:pPr>
      <w:widowControl w:val="0"/>
      <w:spacing w:after="140" w:line="293" w:lineRule="auto"/>
    </w:pPr>
    <w:rPr>
      <w:rFonts w:ascii="@MS Mincho" w:eastAsia="@MS Mincho" w:hAnsi="@MS Mincho" w:cs="@MS Mincho"/>
      <w:sz w:val="20"/>
    </w:rPr>
  </w:style>
  <w:style w:type="character" w:customStyle="1" w:styleId="Mention5">
    <w:name w:val="Mention5"/>
    <w:basedOn w:val="DefaultParagraphFont"/>
    <w:uiPriority w:val="99"/>
    <w:unhideWhenUsed/>
    <w:rsid w:val="002671B2"/>
    <w:rPr>
      <w:color w:val="2B579A"/>
      <w:shd w:val="clear" w:color="auto" w:fill="E1DFDD"/>
    </w:rPr>
  </w:style>
  <w:style w:type="character" w:customStyle="1" w:styleId="UnresolvedMention5">
    <w:name w:val="Unresolved Mention5"/>
    <w:basedOn w:val="DefaultParagraphFont"/>
    <w:uiPriority w:val="99"/>
    <w:unhideWhenUsed/>
    <w:rsid w:val="002671B2"/>
    <w:rPr>
      <w:color w:val="605E5C"/>
      <w:shd w:val="clear" w:color="auto" w:fill="E1DFDD"/>
    </w:rPr>
  </w:style>
  <w:style w:type="character" w:customStyle="1" w:styleId="Mention6">
    <w:name w:val="Mention6"/>
    <w:basedOn w:val="DefaultParagraphFont"/>
    <w:uiPriority w:val="99"/>
    <w:unhideWhenUsed/>
    <w:rsid w:val="002671B2"/>
    <w:rPr>
      <w:color w:val="2B579A"/>
      <w:shd w:val="clear" w:color="auto" w:fill="E1DFDD"/>
    </w:rPr>
  </w:style>
  <w:style w:type="character" w:customStyle="1" w:styleId="Mention7">
    <w:name w:val="Mention7"/>
    <w:basedOn w:val="DefaultParagraphFont"/>
    <w:uiPriority w:val="99"/>
    <w:unhideWhenUsed/>
    <w:rsid w:val="001349D8"/>
    <w:rPr>
      <w:color w:val="2B579A"/>
      <w:shd w:val="clear" w:color="auto" w:fill="E6E6E6"/>
    </w:rPr>
  </w:style>
  <w:style w:type="character" w:customStyle="1" w:styleId="Mention">
    <w:name w:val="Mention"/>
    <w:basedOn w:val="DefaultParagraphFont"/>
    <w:uiPriority w:val="99"/>
    <w:unhideWhenUsed/>
    <w:rsid w:val="00F94BC6"/>
    <w:rPr>
      <w:color w:val="2B579A"/>
      <w:shd w:val="clear" w:color="auto" w:fill="E1DFDD"/>
    </w:rPr>
  </w:style>
  <w:style w:type="paragraph" w:customStyle="1" w:styleId="NumPar5">
    <w:name w:val="NumPar 5"/>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6">
    <w:name w:val="NumPar 6"/>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7">
    <w:name w:val="NumPar 7"/>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character" w:customStyle="1" w:styleId="Mention8">
    <w:name w:val="Mention8"/>
    <w:basedOn w:val="DefaultParagraphFont"/>
    <w:uiPriority w:val="99"/>
    <w:unhideWhenUsed/>
    <w:rsid w:val="00DC1162"/>
    <w:rPr>
      <w:color w:val="2B579A"/>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b/>
      <w:smallCaps/>
      <w:sz w:val="24"/>
    </w:rPr>
  </w:style>
  <w:style w:type="paragraph" w:customStyle="1" w:styleId="P68B1DB1-Normal3">
    <w:name w:val="P68B1DB1-Normal3"/>
    <w:basedOn w:val="Normal"/>
    <w:rPr>
      <w:rFonts w:ascii="Times New Roman" w:hAnsi="Times New Roman"/>
      <w:b/>
      <w:sz w:val="24"/>
      <w:u w:val="single"/>
    </w:rPr>
  </w:style>
  <w:style w:type="paragraph" w:customStyle="1" w:styleId="P68B1DB1-Normal4">
    <w:name w:val="P68B1DB1-Normal4"/>
    <w:basedOn w:val="Normal"/>
    <w:rPr>
      <w:rFonts w:ascii="Times New Roman" w:hAnsi="Times New Roman"/>
      <w:sz w:val="24"/>
    </w:rPr>
  </w:style>
  <w:style w:type="paragraph" w:customStyle="1" w:styleId="P68B1DB1-Normal5">
    <w:name w:val="P68B1DB1-Normal5"/>
    <w:basedOn w:val="Normal"/>
    <w:rPr>
      <w:rFonts w:ascii="Times New Roman" w:hAnsi="Times New Roman"/>
      <w:sz w:val="24"/>
      <w:u w:val="single"/>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Calibri" w:hAnsi="Calibri"/>
      <w:b/>
      <w:sz w:val="16"/>
    </w:rPr>
  </w:style>
  <w:style w:type="paragraph" w:customStyle="1" w:styleId="P68B1DB1-Normal8">
    <w:name w:val="P68B1DB1-Normal8"/>
    <w:basedOn w:val="Normal"/>
    <w:rPr>
      <w:rFonts w:ascii="Calibri" w:hAnsi="Calibri"/>
      <w:sz w:val="16"/>
    </w:rPr>
  </w:style>
  <w:style w:type="paragraph" w:customStyle="1" w:styleId="P68B1DB1-Normal9">
    <w:name w:val="P68B1DB1-Normal9"/>
    <w:basedOn w:val="Normal"/>
    <w:rPr>
      <w:rFonts w:ascii="Calibri" w:hAnsi="Calibri"/>
    </w:rPr>
  </w:style>
  <w:style w:type="paragraph" w:customStyle="1" w:styleId="P68B1DB1-Normal10">
    <w:name w:val="P68B1DB1-Normal10"/>
    <w:basedOn w:val="Normal"/>
    <w:rPr>
      <w:rFonts w:ascii="Calibri" w:hAnsi="Calibri"/>
      <w:sz w:val="16"/>
      <w:shd w:val="clear" w:color="auto" w:fill="E6E6E6"/>
    </w:rPr>
  </w:style>
  <w:style w:type="paragraph" w:customStyle="1" w:styleId="P68B1DB1-Normal11">
    <w:name w:val="P68B1DB1-Normal11"/>
    <w:basedOn w:val="Normal"/>
    <w:rPr>
      <w:b/>
      <w:sz w:val="16"/>
    </w:rPr>
  </w:style>
  <w:style w:type="paragraph" w:customStyle="1" w:styleId="P68B1DB1-Normal12">
    <w:name w:val="P68B1DB1-Normal12"/>
    <w:basedOn w:val="Normal"/>
    <w:rPr>
      <w:sz w:val="16"/>
    </w:rPr>
  </w:style>
  <w:style w:type="paragraph" w:customStyle="1" w:styleId="P68B1DB1-Bodytext1013">
    <w:name w:val="P68B1DB1-Bodytext1013"/>
    <w:basedOn w:val="Bodytext10"/>
    <w:rPr>
      <w:rFonts w:asciiTheme="minorHAnsi" w:hAnsiTheme="minorHAnsi"/>
      <w:sz w:val="16"/>
    </w:rPr>
  </w:style>
  <w:style w:type="paragraph" w:customStyle="1" w:styleId="P68B1DB1-Heading214">
    <w:name w:val="P68B1DB1-Heading214"/>
    <w:basedOn w:val="Heading2"/>
    <w:rPr>
      <w:b w:val="0"/>
    </w:rPr>
  </w:style>
  <w:style w:type="paragraph" w:customStyle="1" w:styleId="P68B1DB1-Normal15">
    <w:name w:val="P68B1DB1-Normal15"/>
    <w:basedOn w:val="Normal"/>
    <w:rPr>
      <w:rFonts w:ascii="Calibri" w:hAnsi="Calibri"/>
      <w:sz w:val="2"/>
    </w:rPr>
  </w:style>
  <w:style w:type="paragraph" w:customStyle="1" w:styleId="P68B1DB1-Normal16">
    <w:name w:val="P68B1DB1-Normal16"/>
    <w:basedOn w:val="Normal"/>
    <w:rPr>
      <w:rFonts w:ascii="Times New Roman" w:hAnsi="Times New Roman"/>
      <w:sz w:val="18"/>
    </w:rPr>
  </w:style>
  <w:style w:type="paragraph" w:customStyle="1" w:styleId="P68B1DB1-Normal17">
    <w:name w:val="P68B1DB1-Normal17"/>
    <w:basedOn w:val="Normal"/>
    <w:rPr>
      <w:sz w:val="24"/>
    </w:rPr>
  </w:style>
  <w:style w:type="paragraph" w:customStyle="1" w:styleId="P68B1DB1-Bodytext1018">
    <w:name w:val="P68B1DB1-Bodytext1018"/>
    <w:basedOn w:val="Bodytext10"/>
    <w:rPr>
      <w:rFonts w:ascii="Calibri" w:hAnsi="Calibri"/>
      <w:sz w:val="16"/>
    </w:rPr>
  </w:style>
  <w:style w:type="paragraph" w:customStyle="1" w:styleId="P68B1DB1-Normal19">
    <w:name w:val="P68B1DB1-Normal19"/>
    <w:basedOn w:val="Normal"/>
    <w:rPr>
      <w:rFonts w:ascii="Times New Roman" w:hAnsi="Times New Roman"/>
    </w:rPr>
  </w:style>
  <w:style w:type="paragraph" w:customStyle="1" w:styleId="P68B1DB1-Bodytext2020">
    <w:name w:val="P68B1DB1-Bodytext2020"/>
    <w:basedOn w:val="Bodytext20"/>
    <w:rPr>
      <w:rFonts w:ascii="Times New Roman" w:hAnsi="Times New Roman"/>
      <w:sz w:val="24"/>
    </w:rPr>
  </w:style>
  <w:style w:type="paragraph" w:customStyle="1" w:styleId="P68B1DB1-CommentText21">
    <w:name w:val="P68B1DB1-CommentText21"/>
    <w:basedOn w:val="CommentText"/>
    <w:rPr>
      <w:rFonts w:asciiTheme="minorHAnsi" w:hAnsiTheme="minorHAnsi"/>
      <w:sz w:val="16"/>
    </w:rPr>
  </w:style>
  <w:style w:type="paragraph" w:customStyle="1" w:styleId="P68B1DB1-Normal22">
    <w:name w:val="P68B1DB1-Normal22"/>
    <w:basedOn w:val="Normal"/>
    <w:rPr>
      <w:rFonts w:ascii="Times New Roman" w:hAnsi="Times New Roman"/>
      <w:b/>
      <w:sz w:val="20"/>
    </w:rPr>
  </w:style>
  <w:style w:type="paragraph" w:customStyle="1" w:styleId="P68B1DB1-Normal23">
    <w:name w:val="P68B1DB1-Normal23"/>
    <w:basedOn w:val="Normal"/>
    <w:rPr>
      <w:rFonts w:ascii="Calibri" w:hAnsi="Calibri"/>
      <w:sz w:val="18"/>
    </w:rPr>
  </w:style>
  <w:style w:type="paragraph" w:customStyle="1" w:styleId="P68B1DB1-Normal24">
    <w:name w:val="P68B1DB1-Normal24"/>
    <w:basedOn w:val="Normal"/>
    <w:rPr>
      <w:rFonts w:ascii="Calibri" w:hAnsi="Calibri"/>
      <w:sz w:val="20"/>
    </w:rPr>
  </w:style>
  <w:style w:type="paragraph" w:customStyle="1" w:styleId="P68B1DB1-Normal25">
    <w:name w:val="P68B1DB1-Normal25"/>
    <w:basedOn w:val="Normal"/>
    <w:rPr>
      <w:rFonts w:ascii="Calibri" w:hAnsi="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6115">
      <w:bodyDiv w:val="1"/>
      <w:marLeft w:val="0"/>
      <w:marRight w:val="0"/>
      <w:marTop w:val="0"/>
      <w:marBottom w:val="0"/>
      <w:divBdr>
        <w:top w:val="none" w:sz="0" w:space="0" w:color="auto"/>
        <w:left w:val="none" w:sz="0" w:space="0" w:color="auto"/>
        <w:bottom w:val="none" w:sz="0" w:space="0" w:color="auto"/>
        <w:right w:val="none" w:sz="0" w:space="0" w:color="auto"/>
      </w:divBdr>
    </w:div>
    <w:div w:id="93717856">
      <w:bodyDiv w:val="1"/>
      <w:marLeft w:val="0"/>
      <w:marRight w:val="0"/>
      <w:marTop w:val="0"/>
      <w:marBottom w:val="0"/>
      <w:divBdr>
        <w:top w:val="none" w:sz="0" w:space="0" w:color="auto"/>
        <w:left w:val="none" w:sz="0" w:space="0" w:color="auto"/>
        <w:bottom w:val="none" w:sz="0" w:space="0" w:color="auto"/>
        <w:right w:val="none" w:sz="0" w:space="0" w:color="auto"/>
      </w:divBdr>
    </w:div>
    <w:div w:id="105124908">
      <w:bodyDiv w:val="1"/>
      <w:marLeft w:val="0"/>
      <w:marRight w:val="0"/>
      <w:marTop w:val="0"/>
      <w:marBottom w:val="0"/>
      <w:divBdr>
        <w:top w:val="none" w:sz="0" w:space="0" w:color="auto"/>
        <w:left w:val="none" w:sz="0" w:space="0" w:color="auto"/>
        <w:bottom w:val="none" w:sz="0" w:space="0" w:color="auto"/>
        <w:right w:val="none" w:sz="0" w:space="0" w:color="auto"/>
      </w:divBdr>
    </w:div>
    <w:div w:id="106392739">
      <w:bodyDiv w:val="1"/>
      <w:marLeft w:val="0"/>
      <w:marRight w:val="0"/>
      <w:marTop w:val="0"/>
      <w:marBottom w:val="0"/>
      <w:divBdr>
        <w:top w:val="none" w:sz="0" w:space="0" w:color="auto"/>
        <w:left w:val="none" w:sz="0" w:space="0" w:color="auto"/>
        <w:bottom w:val="none" w:sz="0" w:space="0" w:color="auto"/>
        <w:right w:val="none" w:sz="0" w:space="0" w:color="auto"/>
      </w:divBdr>
    </w:div>
    <w:div w:id="160197138">
      <w:bodyDiv w:val="1"/>
      <w:marLeft w:val="0"/>
      <w:marRight w:val="0"/>
      <w:marTop w:val="0"/>
      <w:marBottom w:val="0"/>
      <w:divBdr>
        <w:top w:val="none" w:sz="0" w:space="0" w:color="auto"/>
        <w:left w:val="none" w:sz="0" w:space="0" w:color="auto"/>
        <w:bottom w:val="none" w:sz="0" w:space="0" w:color="auto"/>
        <w:right w:val="none" w:sz="0" w:space="0" w:color="auto"/>
      </w:divBdr>
    </w:div>
    <w:div w:id="173224192">
      <w:bodyDiv w:val="1"/>
      <w:marLeft w:val="0"/>
      <w:marRight w:val="0"/>
      <w:marTop w:val="0"/>
      <w:marBottom w:val="0"/>
      <w:divBdr>
        <w:top w:val="none" w:sz="0" w:space="0" w:color="auto"/>
        <w:left w:val="none" w:sz="0" w:space="0" w:color="auto"/>
        <w:bottom w:val="none" w:sz="0" w:space="0" w:color="auto"/>
        <w:right w:val="none" w:sz="0" w:space="0" w:color="auto"/>
      </w:divBdr>
    </w:div>
    <w:div w:id="195849102">
      <w:bodyDiv w:val="1"/>
      <w:marLeft w:val="0"/>
      <w:marRight w:val="0"/>
      <w:marTop w:val="0"/>
      <w:marBottom w:val="0"/>
      <w:divBdr>
        <w:top w:val="none" w:sz="0" w:space="0" w:color="auto"/>
        <w:left w:val="none" w:sz="0" w:space="0" w:color="auto"/>
        <w:bottom w:val="none" w:sz="0" w:space="0" w:color="auto"/>
        <w:right w:val="none" w:sz="0" w:space="0" w:color="auto"/>
      </w:divBdr>
    </w:div>
    <w:div w:id="236524132">
      <w:bodyDiv w:val="1"/>
      <w:marLeft w:val="0"/>
      <w:marRight w:val="0"/>
      <w:marTop w:val="0"/>
      <w:marBottom w:val="0"/>
      <w:divBdr>
        <w:top w:val="none" w:sz="0" w:space="0" w:color="auto"/>
        <w:left w:val="none" w:sz="0" w:space="0" w:color="auto"/>
        <w:bottom w:val="none" w:sz="0" w:space="0" w:color="auto"/>
        <w:right w:val="none" w:sz="0" w:space="0" w:color="auto"/>
      </w:divBdr>
    </w:div>
    <w:div w:id="241181868">
      <w:bodyDiv w:val="1"/>
      <w:marLeft w:val="0"/>
      <w:marRight w:val="0"/>
      <w:marTop w:val="0"/>
      <w:marBottom w:val="0"/>
      <w:divBdr>
        <w:top w:val="none" w:sz="0" w:space="0" w:color="auto"/>
        <w:left w:val="none" w:sz="0" w:space="0" w:color="auto"/>
        <w:bottom w:val="none" w:sz="0" w:space="0" w:color="auto"/>
        <w:right w:val="none" w:sz="0" w:space="0" w:color="auto"/>
      </w:divBdr>
    </w:div>
    <w:div w:id="243271335">
      <w:bodyDiv w:val="1"/>
      <w:marLeft w:val="0"/>
      <w:marRight w:val="0"/>
      <w:marTop w:val="0"/>
      <w:marBottom w:val="0"/>
      <w:divBdr>
        <w:top w:val="none" w:sz="0" w:space="0" w:color="auto"/>
        <w:left w:val="none" w:sz="0" w:space="0" w:color="auto"/>
        <w:bottom w:val="none" w:sz="0" w:space="0" w:color="auto"/>
        <w:right w:val="none" w:sz="0" w:space="0" w:color="auto"/>
      </w:divBdr>
    </w:div>
    <w:div w:id="361133139">
      <w:bodyDiv w:val="1"/>
      <w:marLeft w:val="0"/>
      <w:marRight w:val="0"/>
      <w:marTop w:val="0"/>
      <w:marBottom w:val="0"/>
      <w:divBdr>
        <w:top w:val="none" w:sz="0" w:space="0" w:color="auto"/>
        <w:left w:val="none" w:sz="0" w:space="0" w:color="auto"/>
        <w:bottom w:val="none" w:sz="0" w:space="0" w:color="auto"/>
        <w:right w:val="none" w:sz="0" w:space="0" w:color="auto"/>
      </w:divBdr>
    </w:div>
    <w:div w:id="399523781">
      <w:bodyDiv w:val="1"/>
      <w:marLeft w:val="0"/>
      <w:marRight w:val="0"/>
      <w:marTop w:val="0"/>
      <w:marBottom w:val="0"/>
      <w:divBdr>
        <w:top w:val="none" w:sz="0" w:space="0" w:color="auto"/>
        <w:left w:val="none" w:sz="0" w:space="0" w:color="auto"/>
        <w:bottom w:val="none" w:sz="0" w:space="0" w:color="auto"/>
        <w:right w:val="none" w:sz="0" w:space="0" w:color="auto"/>
      </w:divBdr>
    </w:div>
    <w:div w:id="401219657">
      <w:bodyDiv w:val="1"/>
      <w:marLeft w:val="0"/>
      <w:marRight w:val="0"/>
      <w:marTop w:val="0"/>
      <w:marBottom w:val="0"/>
      <w:divBdr>
        <w:top w:val="none" w:sz="0" w:space="0" w:color="auto"/>
        <w:left w:val="none" w:sz="0" w:space="0" w:color="auto"/>
        <w:bottom w:val="none" w:sz="0" w:space="0" w:color="auto"/>
        <w:right w:val="none" w:sz="0" w:space="0" w:color="auto"/>
      </w:divBdr>
    </w:div>
    <w:div w:id="441844892">
      <w:bodyDiv w:val="1"/>
      <w:marLeft w:val="0"/>
      <w:marRight w:val="0"/>
      <w:marTop w:val="0"/>
      <w:marBottom w:val="0"/>
      <w:divBdr>
        <w:top w:val="none" w:sz="0" w:space="0" w:color="auto"/>
        <w:left w:val="none" w:sz="0" w:space="0" w:color="auto"/>
        <w:bottom w:val="none" w:sz="0" w:space="0" w:color="auto"/>
        <w:right w:val="none" w:sz="0" w:space="0" w:color="auto"/>
      </w:divBdr>
    </w:div>
    <w:div w:id="535584251">
      <w:bodyDiv w:val="1"/>
      <w:marLeft w:val="0"/>
      <w:marRight w:val="0"/>
      <w:marTop w:val="0"/>
      <w:marBottom w:val="0"/>
      <w:divBdr>
        <w:top w:val="none" w:sz="0" w:space="0" w:color="auto"/>
        <w:left w:val="none" w:sz="0" w:space="0" w:color="auto"/>
        <w:bottom w:val="none" w:sz="0" w:space="0" w:color="auto"/>
        <w:right w:val="none" w:sz="0" w:space="0" w:color="auto"/>
      </w:divBdr>
      <w:divsChild>
        <w:div w:id="1283269662">
          <w:marLeft w:val="0"/>
          <w:marRight w:val="0"/>
          <w:marTop w:val="0"/>
          <w:marBottom w:val="0"/>
          <w:divBdr>
            <w:top w:val="none" w:sz="0" w:space="0" w:color="auto"/>
            <w:left w:val="none" w:sz="0" w:space="0" w:color="auto"/>
            <w:bottom w:val="none" w:sz="0" w:space="0" w:color="auto"/>
            <w:right w:val="none" w:sz="0" w:space="0" w:color="auto"/>
          </w:divBdr>
        </w:div>
      </w:divsChild>
    </w:div>
    <w:div w:id="572739600">
      <w:bodyDiv w:val="1"/>
      <w:marLeft w:val="0"/>
      <w:marRight w:val="0"/>
      <w:marTop w:val="0"/>
      <w:marBottom w:val="0"/>
      <w:divBdr>
        <w:top w:val="none" w:sz="0" w:space="0" w:color="auto"/>
        <w:left w:val="none" w:sz="0" w:space="0" w:color="auto"/>
        <w:bottom w:val="none" w:sz="0" w:space="0" w:color="auto"/>
        <w:right w:val="none" w:sz="0" w:space="0" w:color="auto"/>
      </w:divBdr>
    </w:div>
    <w:div w:id="578053008">
      <w:bodyDiv w:val="1"/>
      <w:marLeft w:val="0"/>
      <w:marRight w:val="0"/>
      <w:marTop w:val="0"/>
      <w:marBottom w:val="0"/>
      <w:divBdr>
        <w:top w:val="none" w:sz="0" w:space="0" w:color="auto"/>
        <w:left w:val="none" w:sz="0" w:space="0" w:color="auto"/>
        <w:bottom w:val="none" w:sz="0" w:space="0" w:color="auto"/>
        <w:right w:val="none" w:sz="0" w:space="0" w:color="auto"/>
      </w:divBdr>
    </w:div>
    <w:div w:id="598756477">
      <w:bodyDiv w:val="1"/>
      <w:marLeft w:val="0"/>
      <w:marRight w:val="0"/>
      <w:marTop w:val="0"/>
      <w:marBottom w:val="0"/>
      <w:divBdr>
        <w:top w:val="none" w:sz="0" w:space="0" w:color="auto"/>
        <w:left w:val="none" w:sz="0" w:space="0" w:color="auto"/>
        <w:bottom w:val="none" w:sz="0" w:space="0" w:color="auto"/>
        <w:right w:val="none" w:sz="0" w:space="0" w:color="auto"/>
      </w:divBdr>
    </w:div>
    <w:div w:id="621809595">
      <w:bodyDiv w:val="1"/>
      <w:marLeft w:val="0"/>
      <w:marRight w:val="0"/>
      <w:marTop w:val="0"/>
      <w:marBottom w:val="0"/>
      <w:divBdr>
        <w:top w:val="none" w:sz="0" w:space="0" w:color="auto"/>
        <w:left w:val="none" w:sz="0" w:space="0" w:color="auto"/>
        <w:bottom w:val="none" w:sz="0" w:space="0" w:color="auto"/>
        <w:right w:val="none" w:sz="0" w:space="0" w:color="auto"/>
      </w:divBdr>
    </w:div>
    <w:div w:id="809637549">
      <w:bodyDiv w:val="1"/>
      <w:marLeft w:val="0"/>
      <w:marRight w:val="0"/>
      <w:marTop w:val="0"/>
      <w:marBottom w:val="0"/>
      <w:divBdr>
        <w:top w:val="none" w:sz="0" w:space="0" w:color="auto"/>
        <w:left w:val="none" w:sz="0" w:space="0" w:color="auto"/>
        <w:bottom w:val="none" w:sz="0" w:space="0" w:color="auto"/>
        <w:right w:val="none" w:sz="0" w:space="0" w:color="auto"/>
      </w:divBdr>
    </w:div>
    <w:div w:id="811288788">
      <w:bodyDiv w:val="1"/>
      <w:marLeft w:val="0"/>
      <w:marRight w:val="0"/>
      <w:marTop w:val="0"/>
      <w:marBottom w:val="0"/>
      <w:divBdr>
        <w:top w:val="none" w:sz="0" w:space="0" w:color="auto"/>
        <w:left w:val="none" w:sz="0" w:space="0" w:color="auto"/>
        <w:bottom w:val="none" w:sz="0" w:space="0" w:color="auto"/>
        <w:right w:val="none" w:sz="0" w:space="0" w:color="auto"/>
      </w:divBdr>
    </w:div>
    <w:div w:id="815344484">
      <w:bodyDiv w:val="1"/>
      <w:marLeft w:val="0"/>
      <w:marRight w:val="0"/>
      <w:marTop w:val="0"/>
      <w:marBottom w:val="0"/>
      <w:divBdr>
        <w:top w:val="none" w:sz="0" w:space="0" w:color="auto"/>
        <w:left w:val="none" w:sz="0" w:space="0" w:color="auto"/>
        <w:bottom w:val="none" w:sz="0" w:space="0" w:color="auto"/>
        <w:right w:val="none" w:sz="0" w:space="0" w:color="auto"/>
      </w:divBdr>
    </w:div>
    <w:div w:id="816723792">
      <w:bodyDiv w:val="1"/>
      <w:marLeft w:val="0"/>
      <w:marRight w:val="0"/>
      <w:marTop w:val="0"/>
      <w:marBottom w:val="0"/>
      <w:divBdr>
        <w:top w:val="none" w:sz="0" w:space="0" w:color="auto"/>
        <w:left w:val="none" w:sz="0" w:space="0" w:color="auto"/>
        <w:bottom w:val="none" w:sz="0" w:space="0" w:color="auto"/>
        <w:right w:val="none" w:sz="0" w:space="0" w:color="auto"/>
      </w:divBdr>
      <w:divsChild>
        <w:div w:id="1773434833">
          <w:marLeft w:val="0"/>
          <w:marRight w:val="0"/>
          <w:marTop w:val="0"/>
          <w:marBottom w:val="0"/>
          <w:divBdr>
            <w:top w:val="none" w:sz="0" w:space="0" w:color="auto"/>
            <w:left w:val="none" w:sz="0" w:space="0" w:color="auto"/>
            <w:bottom w:val="none" w:sz="0" w:space="0" w:color="auto"/>
            <w:right w:val="none" w:sz="0" w:space="0" w:color="auto"/>
          </w:divBdr>
        </w:div>
      </w:divsChild>
    </w:div>
    <w:div w:id="850224950">
      <w:bodyDiv w:val="1"/>
      <w:marLeft w:val="0"/>
      <w:marRight w:val="0"/>
      <w:marTop w:val="0"/>
      <w:marBottom w:val="0"/>
      <w:divBdr>
        <w:top w:val="none" w:sz="0" w:space="0" w:color="auto"/>
        <w:left w:val="none" w:sz="0" w:space="0" w:color="auto"/>
        <w:bottom w:val="none" w:sz="0" w:space="0" w:color="auto"/>
        <w:right w:val="none" w:sz="0" w:space="0" w:color="auto"/>
      </w:divBdr>
      <w:divsChild>
        <w:div w:id="1094280320">
          <w:marLeft w:val="0"/>
          <w:marRight w:val="0"/>
          <w:marTop w:val="0"/>
          <w:marBottom w:val="0"/>
          <w:divBdr>
            <w:top w:val="none" w:sz="0" w:space="0" w:color="auto"/>
            <w:left w:val="none" w:sz="0" w:space="0" w:color="auto"/>
            <w:bottom w:val="none" w:sz="0" w:space="0" w:color="auto"/>
            <w:right w:val="none" w:sz="0" w:space="0" w:color="auto"/>
          </w:divBdr>
        </w:div>
      </w:divsChild>
    </w:div>
    <w:div w:id="876115162">
      <w:bodyDiv w:val="1"/>
      <w:marLeft w:val="0"/>
      <w:marRight w:val="0"/>
      <w:marTop w:val="0"/>
      <w:marBottom w:val="0"/>
      <w:divBdr>
        <w:top w:val="none" w:sz="0" w:space="0" w:color="auto"/>
        <w:left w:val="none" w:sz="0" w:space="0" w:color="auto"/>
        <w:bottom w:val="none" w:sz="0" w:space="0" w:color="auto"/>
        <w:right w:val="none" w:sz="0" w:space="0" w:color="auto"/>
      </w:divBdr>
    </w:div>
    <w:div w:id="905722726">
      <w:bodyDiv w:val="1"/>
      <w:marLeft w:val="0"/>
      <w:marRight w:val="0"/>
      <w:marTop w:val="0"/>
      <w:marBottom w:val="0"/>
      <w:divBdr>
        <w:top w:val="none" w:sz="0" w:space="0" w:color="auto"/>
        <w:left w:val="none" w:sz="0" w:space="0" w:color="auto"/>
        <w:bottom w:val="none" w:sz="0" w:space="0" w:color="auto"/>
        <w:right w:val="none" w:sz="0" w:space="0" w:color="auto"/>
      </w:divBdr>
    </w:div>
    <w:div w:id="925115020">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sChild>
        <w:div w:id="867137636">
          <w:marLeft w:val="0"/>
          <w:marRight w:val="0"/>
          <w:marTop w:val="0"/>
          <w:marBottom w:val="0"/>
          <w:divBdr>
            <w:top w:val="none" w:sz="0" w:space="0" w:color="auto"/>
            <w:left w:val="none" w:sz="0" w:space="0" w:color="auto"/>
            <w:bottom w:val="none" w:sz="0" w:space="0" w:color="auto"/>
            <w:right w:val="none" w:sz="0" w:space="0" w:color="auto"/>
          </w:divBdr>
        </w:div>
        <w:div w:id="959721263">
          <w:marLeft w:val="0"/>
          <w:marRight w:val="0"/>
          <w:marTop w:val="0"/>
          <w:marBottom w:val="0"/>
          <w:divBdr>
            <w:top w:val="none" w:sz="0" w:space="0" w:color="auto"/>
            <w:left w:val="none" w:sz="0" w:space="0" w:color="auto"/>
            <w:bottom w:val="none" w:sz="0" w:space="0" w:color="auto"/>
            <w:right w:val="none" w:sz="0" w:space="0" w:color="auto"/>
          </w:divBdr>
        </w:div>
      </w:divsChild>
    </w:div>
    <w:div w:id="1037973770">
      <w:bodyDiv w:val="1"/>
      <w:marLeft w:val="0"/>
      <w:marRight w:val="0"/>
      <w:marTop w:val="0"/>
      <w:marBottom w:val="0"/>
      <w:divBdr>
        <w:top w:val="none" w:sz="0" w:space="0" w:color="auto"/>
        <w:left w:val="none" w:sz="0" w:space="0" w:color="auto"/>
        <w:bottom w:val="none" w:sz="0" w:space="0" w:color="auto"/>
        <w:right w:val="none" w:sz="0" w:space="0" w:color="auto"/>
      </w:divBdr>
    </w:div>
    <w:div w:id="1077020176">
      <w:bodyDiv w:val="1"/>
      <w:marLeft w:val="0"/>
      <w:marRight w:val="0"/>
      <w:marTop w:val="0"/>
      <w:marBottom w:val="0"/>
      <w:divBdr>
        <w:top w:val="none" w:sz="0" w:space="0" w:color="auto"/>
        <w:left w:val="none" w:sz="0" w:space="0" w:color="auto"/>
        <w:bottom w:val="none" w:sz="0" w:space="0" w:color="auto"/>
        <w:right w:val="none" w:sz="0" w:space="0" w:color="auto"/>
      </w:divBdr>
    </w:div>
    <w:div w:id="1119762649">
      <w:bodyDiv w:val="1"/>
      <w:marLeft w:val="0"/>
      <w:marRight w:val="0"/>
      <w:marTop w:val="0"/>
      <w:marBottom w:val="0"/>
      <w:divBdr>
        <w:top w:val="none" w:sz="0" w:space="0" w:color="auto"/>
        <w:left w:val="none" w:sz="0" w:space="0" w:color="auto"/>
        <w:bottom w:val="none" w:sz="0" w:space="0" w:color="auto"/>
        <w:right w:val="none" w:sz="0" w:space="0" w:color="auto"/>
      </w:divBdr>
    </w:div>
    <w:div w:id="1126973197">
      <w:bodyDiv w:val="1"/>
      <w:marLeft w:val="0"/>
      <w:marRight w:val="0"/>
      <w:marTop w:val="0"/>
      <w:marBottom w:val="0"/>
      <w:divBdr>
        <w:top w:val="none" w:sz="0" w:space="0" w:color="auto"/>
        <w:left w:val="none" w:sz="0" w:space="0" w:color="auto"/>
        <w:bottom w:val="none" w:sz="0" w:space="0" w:color="auto"/>
        <w:right w:val="none" w:sz="0" w:space="0" w:color="auto"/>
      </w:divBdr>
    </w:div>
    <w:div w:id="1154102352">
      <w:bodyDiv w:val="1"/>
      <w:marLeft w:val="0"/>
      <w:marRight w:val="0"/>
      <w:marTop w:val="0"/>
      <w:marBottom w:val="0"/>
      <w:divBdr>
        <w:top w:val="none" w:sz="0" w:space="0" w:color="auto"/>
        <w:left w:val="none" w:sz="0" w:space="0" w:color="auto"/>
        <w:bottom w:val="none" w:sz="0" w:space="0" w:color="auto"/>
        <w:right w:val="none" w:sz="0" w:space="0" w:color="auto"/>
      </w:divBdr>
    </w:div>
    <w:div w:id="1215317537">
      <w:bodyDiv w:val="1"/>
      <w:marLeft w:val="0"/>
      <w:marRight w:val="0"/>
      <w:marTop w:val="0"/>
      <w:marBottom w:val="0"/>
      <w:divBdr>
        <w:top w:val="none" w:sz="0" w:space="0" w:color="auto"/>
        <w:left w:val="none" w:sz="0" w:space="0" w:color="auto"/>
        <w:bottom w:val="none" w:sz="0" w:space="0" w:color="auto"/>
        <w:right w:val="none" w:sz="0" w:space="0" w:color="auto"/>
      </w:divBdr>
    </w:div>
    <w:div w:id="1233781754">
      <w:bodyDiv w:val="1"/>
      <w:marLeft w:val="0"/>
      <w:marRight w:val="0"/>
      <w:marTop w:val="0"/>
      <w:marBottom w:val="0"/>
      <w:divBdr>
        <w:top w:val="none" w:sz="0" w:space="0" w:color="auto"/>
        <w:left w:val="none" w:sz="0" w:space="0" w:color="auto"/>
        <w:bottom w:val="none" w:sz="0" w:space="0" w:color="auto"/>
        <w:right w:val="none" w:sz="0" w:space="0" w:color="auto"/>
      </w:divBdr>
    </w:div>
    <w:div w:id="1248003550">
      <w:bodyDiv w:val="1"/>
      <w:marLeft w:val="0"/>
      <w:marRight w:val="0"/>
      <w:marTop w:val="0"/>
      <w:marBottom w:val="0"/>
      <w:divBdr>
        <w:top w:val="none" w:sz="0" w:space="0" w:color="auto"/>
        <w:left w:val="none" w:sz="0" w:space="0" w:color="auto"/>
        <w:bottom w:val="none" w:sz="0" w:space="0" w:color="auto"/>
        <w:right w:val="none" w:sz="0" w:space="0" w:color="auto"/>
      </w:divBdr>
    </w:div>
    <w:div w:id="1261256812">
      <w:bodyDiv w:val="1"/>
      <w:marLeft w:val="0"/>
      <w:marRight w:val="0"/>
      <w:marTop w:val="0"/>
      <w:marBottom w:val="0"/>
      <w:divBdr>
        <w:top w:val="none" w:sz="0" w:space="0" w:color="auto"/>
        <w:left w:val="none" w:sz="0" w:space="0" w:color="auto"/>
        <w:bottom w:val="none" w:sz="0" w:space="0" w:color="auto"/>
        <w:right w:val="none" w:sz="0" w:space="0" w:color="auto"/>
      </w:divBdr>
    </w:div>
    <w:div w:id="1320188408">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99551650">
      <w:bodyDiv w:val="1"/>
      <w:marLeft w:val="0"/>
      <w:marRight w:val="0"/>
      <w:marTop w:val="0"/>
      <w:marBottom w:val="0"/>
      <w:divBdr>
        <w:top w:val="none" w:sz="0" w:space="0" w:color="auto"/>
        <w:left w:val="none" w:sz="0" w:space="0" w:color="auto"/>
        <w:bottom w:val="none" w:sz="0" w:space="0" w:color="auto"/>
        <w:right w:val="none" w:sz="0" w:space="0" w:color="auto"/>
      </w:divBdr>
    </w:div>
    <w:div w:id="1543901368">
      <w:bodyDiv w:val="1"/>
      <w:marLeft w:val="0"/>
      <w:marRight w:val="0"/>
      <w:marTop w:val="0"/>
      <w:marBottom w:val="0"/>
      <w:divBdr>
        <w:top w:val="none" w:sz="0" w:space="0" w:color="auto"/>
        <w:left w:val="none" w:sz="0" w:space="0" w:color="auto"/>
        <w:bottom w:val="none" w:sz="0" w:space="0" w:color="auto"/>
        <w:right w:val="none" w:sz="0" w:space="0" w:color="auto"/>
      </w:divBdr>
    </w:div>
    <w:div w:id="1561750171">
      <w:bodyDiv w:val="1"/>
      <w:marLeft w:val="0"/>
      <w:marRight w:val="0"/>
      <w:marTop w:val="0"/>
      <w:marBottom w:val="0"/>
      <w:divBdr>
        <w:top w:val="none" w:sz="0" w:space="0" w:color="auto"/>
        <w:left w:val="none" w:sz="0" w:space="0" w:color="auto"/>
        <w:bottom w:val="none" w:sz="0" w:space="0" w:color="auto"/>
        <w:right w:val="none" w:sz="0" w:space="0" w:color="auto"/>
      </w:divBdr>
    </w:div>
    <w:div w:id="1571765828">
      <w:bodyDiv w:val="1"/>
      <w:marLeft w:val="0"/>
      <w:marRight w:val="0"/>
      <w:marTop w:val="0"/>
      <w:marBottom w:val="0"/>
      <w:divBdr>
        <w:top w:val="none" w:sz="0" w:space="0" w:color="auto"/>
        <w:left w:val="none" w:sz="0" w:space="0" w:color="auto"/>
        <w:bottom w:val="none" w:sz="0" w:space="0" w:color="auto"/>
        <w:right w:val="none" w:sz="0" w:space="0" w:color="auto"/>
      </w:divBdr>
    </w:div>
    <w:div w:id="1577670648">
      <w:bodyDiv w:val="1"/>
      <w:marLeft w:val="0"/>
      <w:marRight w:val="0"/>
      <w:marTop w:val="0"/>
      <w:marBottom w:val="0"/>
      <w:divBdr>
        <w:top w:val="none" w:sz="0" w:space="0" w:color="auto"/>
        <w:left w:val="none" w:sz="0" w:space="0" w:color="auto"/>
        <w:bottom w:val="none" w:sz="0" w:space="0" w:color="auto"/>
        <w:right w:val="none" w:sz="0" w:space="0" w:color="auto"/>
      </w:divBdr>
    </w:div>
    <w:div w:id="1586300771">
      <w:bodyDiv w:val="1"/>
      <w:marLeft w:val="0"/>
      <w:marRight w:val="0"/>
      <w:marTop w:val="0"/>
      <w:marBottom w:val="0"/>
      <w:divBdr>
        <w:top w:val="none" w:sz="0" w:space="0" w:color="auto"/>
        <w:left w:val="none" w:sz="0" w:space="0" w:color="auto"/>
        <w:bottom w:val="none" w:sz="0" w:space="0" w:color="auto"/>
        <w:right w:val="none" w:sz="0" w:space="0" w:color="auto"/>
      </w:divBdr>
    </w:div>
    <w:div w:id="1593275867">
      <w:bodyDiv w:val="1"/>
      <w:marLeft w:val="0"/>
      <w:marRight w:val="0"/>
      <w:marTop w:val="0"/>
      <w:marBottom w:val="0"/>
      <w:divBdr>
        <w:top w:val="none" w:sz="0" w:space="0" w:color="auto"/>
        <w:left w:val="none" w:sz="0" w:space="0" w:color="auto"/>
        <w:bottom w:val="none" w:sz="0" w:space="0" w:color="auto"/>
        <w:right w:val="none" w:sz="0" w:space="0" w:color="auto"/>
      </w:divBdr>
    </w:div>
    <w:div w:id="1617172271">
      <w:bodyDiv w:val="1"/>
      <w:marLeft w:val="0"/>
      <w:marRight w:val="0"/>
      <w:marTop w:val="0"/>
      <w:marBottom w:val="0"/>
      <w:divBdr>
        <w:top w:val="none" w:sz="0" w:space="0" w:color="auto"/>
        <w:left w:val="none" w:sz="0" w:space="0" w:color="auto"/>
        <w:bottom w:val="none" w:sz="0" w:space="0" w:color="auto"/>
        <w:right w:val="none" w:sz="0" w:space="0" w:color="auto"/>
      </w:divBdr>
    </w:div>
    <w:div w:id="1667391532">
      <w:bodyDiv w:val="1"/>
      <w:marLeft w:val="0"/>
      <w:marRight w:val="0"/>
      <w:marTop w:val="0"/>
      <w:marBottom w:val="0"/>
      <w:divBdr>
        <w:top w:val="none" w:sz="0" w:space="0" w:color="auto"/>
        <w:left w:val="none" w:sz="0" w:space="0" w:color="auto"/>
        <w:bottom w:val="none" w:sz="0" w:space="0" w:color="auto"/>
        <w:right w:val="none" w:sz="0" w:space="0" w:color="auto"/>
      </w:divBdr>
    </w:div>
    <w:div w:id="1703094983">
      <w:bodyDiv w:val="1"/>
      <w:marLeft w:val="0"/>
      <w:marRight w:val="0"/>
      <w:marTop w:val="0"/>
      <w:marBottom w:val="0"/>
      <w:divBdr>
        <w:top w:val="none" w:sz="0" w:space="0" w:color="auto"/>
        <w:left w:val="none" w:sz="0" w:space="0" w:color="auto"/>
        <w:bottom w:val="none" w:sz="0" w:space="0" w:color="auto"/>
        <w:right w:val="none" w:sz="0" w:space="0" w:color="auto"/>
      </w:divBdr>
    </w:div>
    <w:div w:id="1802770173">
      <w:bodyDiv w:val="1"/>
      <w:marLeft w:val="0"/>
      <w:marRight w:val="0"/>
      <w:marTop w:val="0"/>
      <w:marBottom w:val="0"/>
      <w:divBdr>
        <w:top w:val="none" w:sz="0" w:space="0" w:color="auto"/>
        <w:left w:val="none" w:sz="0" w:space="0" w:color="auto"/>
        <w:bottom w:val="none" w:sz="0" w:space="0" w:color="auto"/>
        <w:right w:val="none" w:sz="0" w:space="0" w:color="auto"/>
      </w:divBdr>
    </w:div>
    <w:div w:id="1804539587">
      <w:bodyDiv w:val="1"/>
      <w:marLeft w:val="0"/>
      <w:marRight w:val="0"/>
      <w:marTop w:val="0"/>
      <w:marBottom w:val="0"/>
      <w:divBdr>
        <w:top w:val="none" w:sz="0" w:space="0" w:color="auto"/>
        <w:left w:val="none" w:sz="0" w:space="0" w:color="auto"/>
        <w:bottom w:val="none" w:sz="0" w:space="0" w:color="auto"/>
        <w:right w:val="none" w:sz="0" w:space="0" w:color="auto"/>
      </w:divBdr>
    </w:div>
    <w:div w:id="1836023479">
      <w:bodyDiv w:val="1"/>
      <w:marLeft w:val="0"/>
      <w:marRight w:val="0"/>
      <w:marTop w:val="0"/>
      <w:marBottom w:val="0"/>
      <w:divBdr>
        <w:top w:val="none" w:sz="0" w:space="0" w:color="auto"/>
        <w:left w:val="none" w:sz="0" w:space="0" w:color="auto"/>
        <w:bottom w:val="none" w:sz="0" w:space="0" w:color="auto"/>
        <w:right w:val="none" w:sz="0" w:space="0" w:color="auto"/>
      </w:divBdr>
    </w:div>
    <w:div w:id="1851674397">
      <w:bodyDiv w:val="1"/>
      <w:marLeft w:val="0"/>
      <w:marRight w:val="0"/>
      <w:marTop w:val="0"/>
      <w:marBottom w:val="0"/>
      <w:divBdr>
        <w:top w:val="none" w:sz="0" w:space="0" w:color="auto"/>
        <w:left w:val="none" w:sz="0" w:space="0" w:color="auto"/>
        <w:bottom w:val="none" w:sz="0" w:space="0" w:color="auto"/>
        <w:right w:val="none" w:sz="0" w:space="0" w:color="auto"/>
      </w:divBdr>
    </w:div>
    <w:div w:id="1924340328">
      <w:bodyDiv w:val="1"/>
      <w:marLeft w:val="0"/>
      <w:marRight w:val="0"/>
      <w:marTop w:val="0"/>
      <w:marBottom w:val="0"/>
      <w:divBdr>
        <w:top w:val="none" w:sz="0" w:space="0" w:color="auto"/>
        <w:left w:val="none" w:sz="0" w:space="0" w:color="auto"/>
        <w:bottom w:val="none" w:sz="0" w:space="0" w:color="auto"/>
        <w:right w:val="none" w:sz="0" w:space="0" w:color="auto"/>
      </w:divBdr>
      <w:divsChild>
        <w:div w:id="1846702775">
          <w:marLeft w:val="0"/>
          <w:marRight w:val="0"/>
          <w:marTop w:val="0"/>
          <w:marBottom w:val="0"/>
          <w:divBdr>
            <w:top w:val="none" w:sz="0" w:space="0" w:color="auto"/>
            <w:left w:val="none" w:sz="0" w:space="0" w:color="auto"/>
            <w:bottom w:val="none" w:sz="0" w:space="0" w:color="auto"/>
            <w:right w:val="none" w:sz="0" w:space="0" w:color="auto"/>
          </w:divBdr>
        </w:div>
        <w:div w:id="1924676225">
          <w:marLeft w:val="0"/>
          <w:marRight w:val="0"/>
          <w:marTop w:val="0"/>
          <w:marBottom w:val="0"/>
          <w:divBdr>
            <w:top w:val="none" w:sz="0" w:space="0" w:color="auto"/>
            <w:left w:val="none" w:sz="0" w:space="0" w:color="auto"/>
            <w:bottom w:val="none" w:sz="0" w:space="0" w:color="auto"/>
            <w:right w:val="none" w:sz="0" w:space="0" w:color="auto"/>
          </w:divBdr>
        </w:div>
      </w:divsChild>
    </w:div>
    <w:div w:id="1927419320">
      <w:bodyDiv w:val="1"/>
      <w:marLeft w:val="0"/>
      <w:marRight w:val="0"/>
      <w:marTop w:val="0"/>
      <w:marBottom w:val="0"/>
      <w:divBdr>
        <w:top w:val="none" w:sz="0" w:space="0" w:color="auto"/>
        <w:left w:val="none" w:sz="0" w:space="0" w:color="auto"/>
        <w:bottom w:val="none" w:sz="0" w:space="0" w:color="auto"/>
        <w:right w:val="none" w:sz="0" w:space="0" w:color="auto"/>
      </w:divBdr>
    </w:div>
    <w:div w:id="2031836471">
      <w:bodyDiv w:val="1"/>
      <w:marLeft w:val="0"/>
      <w:marRight w:val="0"/>
      <w:marTop w:val="0"/>
      <w:marBottom w:val="0"/>
      <w:divBdr>
        <w:top w:val="none" w:sz="0" w:space="0" w:color="auto"/>
        <w:left w:val="none" w:sz="0" w:space="0" w:color="auto"/>
        <w:bottom w:val="none" w:sz="0" w:space="0" w:color="auto"/>
        <w:right w:val="none" w:sz="0" w:space="0" w:color="auto"/>
      </w:divBdr>
    </w:div>
    <w:div w:id="20353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header" Target="header177.xml"/><Relationship Id="rId170" Type="http://schemas.openxmlformats.org/officeDocument/2006/relationships/footer" Target="footer79.xml"/><Relationship Id="rId226" Type="http://schemas.openxmlformats.org/officeDocument/2006/relationships/header" Target="header108.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356" Type="http://schemas.openxmlformats.org/officeDocument/2006/relationships/header" Target="header172.xml"/><Relationship Id="rId377" Type="http://schemas.openxmlformats.org/officeDocument/2006/relationships/footer" Target="footer182.xml"/><Relationship Id="rId398"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3.xml"/><Relationship Id="rId258" Type="http://schemas.openxmlformats.org/officeDocument/2006/relationships/header" Target="header124.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346" Type="http://schemas.openxmlformats.org/officeDocument/2006/relationships/header" Target="header168.xml"/><Relationship Id="rId367" Type="http://schemas.openxmlformats.org/officeDocument/2006/relationships/footer" Target="footer177.xml"/><Relationship Id="rId388" Type="http://schemas.openxmlformats.org/officeDocument/2006/relationships/footer" Target="footer187.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header" Target="header163.xml"/><Relationship Id="rId357" Type="http://schemas.openxmlformats.org/officeDocument/2006/relationships/header" Target="header173.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378" Type="http://schemas.openxmlformats.org/officeDocument/2006/relationships/header" Target="header183.xml"/><Relationship Id="rId399"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347" Type="http://schemas.openxmlformats.org/officeDocument/2006/relationships/footer" Target="foot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8.xml"/><Relationship Id="rId389" Type="http://schemas.openxmlformats.org/officeDocument/2006/relationships/footer" Target="footer188.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3.xml"/><Relationship Id="rId337" Type="http://schemas.openxmlformats.org/officeDocument/2006/relationships/header" Target="header164.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390" Type="http://schemas.openxmlformats.org/officeDocument/2006/relationships/header" Target="header189.xml"/><Relationship Id="rId250" Type="http://schemas.openxmlformats.org/officeDocument/2006/relationships/header" Target="header120.xml"/><Relationship Id="rId271" Type="http://schemas.openxmlformats.org/officeDocument/2006/relationships/header" Target="header131.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8.xml"/><Relationship Id="rId348" Type="http://schemas.openxmlformats.org/officeDocument/2006/relationships/hyperlink" Target="http://www.dados.gov.pt/" TargetMode="External"/><Relationship Id="rId369" Type="http://schemas.openxmlformats.org/officeDocument/2006/relationships/header" Target="header179.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380" Type="http://schemas.openxmlformats.org/officeDocument/2006/relationships/header" Target="header184.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17" Type="http://schemas.openxmlformats.org/officeDocument/2006/relationships/footer" Target="footer153.xml"/><Relationship Id="rId338" Type="http://schemas.openxmlformats.org/officeDocument/2006/relationships/footer" Target="foot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footer" Target="footer178.xml"/><Relationship Id="rId391" Type="http://schemas.openxmlformats.org/officeDocument/2006/relationships/footer" Target="footer189.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yperlink" Target="http://www.dados.gov.pt/" TargetMode="Externa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4.xml"/><Relationship Id="rId381" Type="http://schemas.openxmlformats.org/officeDocument/2006/relationships/header" Target="header185.xml"/><Relationship Id="rId220" Type="http://schemas.openxmlformats.org/officeDocument/2006/relationships/header" Target="header105.xml"/><Relationship Id="rId241" Type="http://schemas.openxmlformats.org/officeDocument/2006/relationships/header" Target="header116.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7.xml"/><Relationship Id="rId318" Type="http://schemas.openxmlformats.org/officeDocument/2006/relationships/header" Target="header154.xml"/><Relationship Id="rId339" Type="http://schemas.openxmlformats.org/officeDocument/2006/relationships/footer" Target="footer164.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header" Target="header169.xml"/><Relationship Id="rId371" Type="http://schemas.openxmlformats.org/officeDocument/2006/relationships/footer" Target="footer179.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header" Target="header190.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header" Target="header165.xml"/><Relationship Id="rId361" Type="http://schemas.openxmlformats.org/officeDocument/2006/relationships/footer" Target="footer174.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footer" Target="footer18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header" Target="header175.xml"/><Relationship Id="rId383" Type="http://schemas.openxmlformats.org/officeDocument/2006/relationships/footer" Target="footer18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header" Target="header176.xml"/><Relationship Id="rId384" Type="http://schemas.openxmlformats.org/officeDocument/2006/relationships/header" Target="head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footer" Target="footer175.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header" Target="header162.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6.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header" Target="header188.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1_en_act_part1_v8_0.pdf" TargetMode="External"/><Relationship Id="rId2" Type="http://schemas.openxmlformats.org/officeDocument/2006/relationships/hyperlink" Target="https://ec.europa.eu/social/main.jsp?catId=738&amp;langId=en&amp;pubId=8376&amp;furtherPubs=yes" TargetMode="External"/><Relationship Id="rId1" Type="http://schemas.openxmlformats.org/officeDocument/2006/relationships/hyperlink" Target="https://www.un.org/development/desa/disabilities/convention-on-the-rights-of-persons-with-disabilities.html" TargetMode="External"/><Relationship Id="rId6" Type="http://schemas.openxmlformats.org/officeDocument/2006/relationships/hyperlink" Target="https://dre.pt/application/conteudo/114152782" TargetMode="External"/><Relationship Id="rId5" Type="http://schemas.openxmlformats.org/officeDocument/2006/relationships/hyperlink" Target="https://ec.europa.eu/social/main.jsp?catId=738&amp;langId=en&amp;pubId=8376&amp;furtherPubs=yes" TargetMode="External"/><Relationship Id="rId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4" ma:contentTypeDescription="Create a new document." ma:contentTypeScope="" ma:versionID="d5c93e900a119563f43978a987300fc7">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85f4798ebd1fb622dfcd08e6552ffd30"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0e2cb7-5117-486c-a80c-66d1b02d57f7}"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2E18-3AF3-486E-B96C-EC2FE3E7B271}">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6c3bc29-9e11-4027-900b-c73633d7928a"/>
    <ds:schemaRef ds:uri="1700ab43-7395-48ff-866c-657c86ba7f4e"/>
  </ds:schemaRefs>
</ds:datastoreItem>
</file>

<file path=customXml/itemProps2.xml><?xml version="1.0" encoding="utf-8"?>
<ds:datastoreItem xmlns:ds="http://schemas.openxmlformats.org/officeDocument/2006/customXml" ds:itemID="{617F86BA-8C30-4316-ABCD-3480C5FB9AD1}">
  <ds:schemaRefs>
    <ds:schemaRef ds:uri="http://schemas.microsoft.com/sharepoint/v3/contenttype/forms"/>
  </ds:schemaRefs>
</ds:datastoreItem>
</file>

<file path=customXml/itemProps3.xml><?xml version="1.0" encoding="utf-8"?>
<ds:datastoreItem xmlns:ds="http://schemas.openxmlformats.org/officeDocument/2006/customXml" ds:itemID="{3704B2E4-4F53-4AE7-B83B-C398AE08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D9858-C6DC-4F02-95DA-2405EBB6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88901</Words>
  <Characters>506740</Characters>
  <Application>Microsoft Office Word</Application>
  <DocSecurity>0</DocSecurity>
  <Lines>4222</Lines>
  <Paragraphs>1188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594453</CharactersWithSpaces>
  <SharedDoc>false</SharedDoc>
  <HLinks>
    <vt:vector size="48" baseType="variant">
      <vt:variant>
        <vt:i4>1441861</vt:i4>
      </vt:variant>
      <vt:variant>
        <vt:i4>3</vt:i4>
      </vt:variant>
      <vt:variant>
        <vt:i4>0</vt:i4>
      </vt:variant>
      <vt:variant>
        <vt:i4>5</vt:i4>
      </vt:variant>
      <vt:variant>
        <vt:lpwstr>http://www.dados.gov.pt/</vt:lpwstr>
      </vt:variant>
      <vt:variant>
        <vt:lpwstr/>
      </vt:variant>
      <vt:variant>
        <vt:i4>1441861</vt:i4>
      </vt:variant>
      <vt:variant>
        <vt:i4>0</vt:i4>
      </vt:variant>
      <vt:variant>
        <vt:i4>0</vt:i4>
      </vt:variant>
      <vt:variant>
        <vt:i4>5</vt:i4>
      </vt:variant>
      <vt:variant>
        <vt:lpwstr>http://www.dados.gov.pt/</vt:lpwstr>
      </vt:variant>
      <vt:variant>
        <vt:lpwstr/>
      </vt:variant>
      <vt:variant>
        <vt:i4>917587</vt:i4>
      </vt:variant>
      <vt:variant>
        <vt:i4>15</vt:i4>
      </vt:variant>
      <vt:variant>
        <vt:i4>0</vt:i4>
      </vt:variant>
      <vt:variant>
        <vt:i4>5</vt:i4>
      </vt:variant>
      <vt:variant>
        <vt:lpwstr>https://dre.pt/application/conteudo/114152782</vt:lpwstr>
      </vt:variant>
      <vt:variant>
        <vt:lpwstr/>
      </vt:variant>
      <vt:variant>
        <vt:i4>3145826</vt:i4>
      </vt:variant>
      <vt:variant>
        <vt:i4>12</vt:i4>
      </vt:variant>
      <vt:variant>
        <vt:i4>0</vt:i4>
      </vt:variant>
      <vt:variant>
        <vt:i4>5</vt:i4>
      </vt:variant>
      <vt:variant>
        <vt:lpwstr>https://ec.europa.eu/social/main.jsp?catId=738&amp;langId=en&amp;pubId=8376&amp;furtherPubs=yes</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6094896</vt:i4>
      </vt:variant>
      <vt:variant>
        <vt:i4>6</vt:i4>
      </vt:variant>
      <vt:variant>
        <vt:i4>0</vt:i4>
      </vt:variant>
      <vt:variant>
        <vt:i4>5</vt:i4>
      </vt:variant>
      <vt:variant>
        <vt:lpwstr>https://ec.europa.eu/info/sites/default/files/1_en_act_part1_v8_0.pdf</vt:lpwstr>
      </vt:variant>
      <vt:variant>
        <vt:lpwstr/>
      </vt:variant>
      <vt:variant>
        <vt:i4>3145826</vt:i4>
      </vt:variant>
      <vt:variant>
        <vt:i4>3</vt:i4>
      </vt:variant>
      <vt:variant>
        <vt:i4>0</vt:i4>
      </vt:variant>
      <vt:variant>
        <vt:i4>5</vt:i4>
      </vt:variant>
      <vt:variant>
        <vt:lpwstr>https://ec.europa.eu/social/main.jsp?catId=738&amp;langId=en&amp;pubId=8376&amp;furtherPubs=yes</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2023-08-31T11:47:00Z</cp:lastPrinted>
  <dcterms:created xsi:type="dcterms:W3CDTF">2023-09-25T20:16:00Z</dcterms:created>
  <dcterms:modified xsi:type="dcterms:W3CDTF">2023-09-28T13:04:00Z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0x01010062094E9F29D6C04F85860C631ABC812A</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ContentBits">
    <vt:lpwstr>0</vt:lpwstr>
  </property>
  <property fmtid="{D5CDD505-2E9C-101B-9397-08002B2CF9AE}" pid="9" name="MSIP_Label_6bd9ddd1-4d20-43f6-abfa-fc3c07406f94_SetDate">
    <vt:lpwstr>2023-08-31T13:23:57Z</vt:lpwstr>
  </property>
  <property fmtid="{D5CDD505-2E9C-101B-9397-08002B2CF9AE}" pid="10" name="MSIP_Label_6bd9ddd1-4d20-43f6-abfa-fc3c07406f94_ActionId">
    <vt:lpwstr>f5076d1a-b32f-4968-9989-8cc7bc3a3494</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